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宿州市高新区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2020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年债券资金使用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安排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宿州市高新区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  <w:t>20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年债券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  <w:t>资金数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  <w:t>为零，故未做安排。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B82E98"/>
    <w:rsid w:val="6D4F5808"/>
    <w:rsid w:val="7AFA21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zhangqilin</dc:creator>
  <cp:lastModifiedBy>lizixuan</cp:lastModifiedBy>
  <dcterms:modified xsi:type="dcterms:W3CDTF">2021-07-16T02:23:29Z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64CEAEDE00134AEAA2918AADE0E3AB32</vt:lpwstr>
  </property>
</Properties>
</file>