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1" w:lineRule="auto"/>
        <w:ind w:left="192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区2022年对下一般性转移支付分地区决算表</w:t>
      </w:r>
    </w:p>
    <w:p>
      <w:pPr>
        <w:spacing w:line="184" w:lineRule="auto"/>
        <w:ind w:left="753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单位：万元</w:t>
      </w:r>
    </w:p>
    <w:tbl>
      <w:tblPr>
        <w:tblStyle w:val="4"/>
        <w:tblW w:w="86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3"/>
        <w:gridCol w:w="3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0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</w:p>
        </w:tc>
        <w:tc>
          <w:tcPr>
            <w:tcW w:w="399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1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653" w:type="dxa"/>
            <w:vAlign w:val="top"/>
          </w:tcPr>
          <w:p>
            <w:pPr>
              <w:spacing w:before="293" w:line="17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39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178" w:lineRule="exact"/>
              <w:ind w:left="37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</w:tbl>
    <w:p>
      <w:pPr>
        <w:spacing w:before="165" w:line="219" w:lineRule="auto"/>
        <w:ind w:left="6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说明：宿州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高新</w:t>
      </w:r>
      <w:bookmarkStart w:id="0" w:name="_GoBack"/>
      <w:bookmarkEnd w:id="0"/>
      <w:r>
        <w:rPr>
          <w:rFonts w:ascii="宋体" w:hAnsi="宋体" w:eastAsia="宋体" w:cs="宋体"/>
          <w:sz w:val="22"/>
          <w:szCs w:val="22"/>
        </w:rPr>
        <w:t>区2022年无对下一般性转移支付安排。</w:t>
      </w:r>
    </w:p>
    <w:sectPr>
      <w:pgSz w:w="11905" w:h="16837"/>
      <w:pgMar w:top="108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04166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2023-08-24T11:44:00Z</dcterms:created>
  <dc:creator>Administrator</dc:creator>
  <cp:lastModifiedBy>韵韵子</cp:lastModifiedBy>
  <dcterms:modified xsi:type="dcterms:W3CDTF">2023-09-14T01:43:04Z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2023-09-14T09:20:36Z</vt:filetime>
  </property>
  <property fmtid="{D5CDD505-2E9C-101B-9397-08002B2CF9AE}" pid="4" name="KSOProductBuildVer">
    <vt:lpwstr>2052-12.1.0.15120</vt:lpwstr>
  </property>
  <property fmtid="{D5CDD505-2E9C-101B-9397-08002B2CF9AE}" pid="5" name="ICV">
    <vt:lpwstr>E9FEFAB84F2A461F9E89284AE05D9A8F_12</vt:lpwstr>
  </property>
</Properties>
</file>