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jc w:val="center"/>
        <w:outlineLvl w:val="0"/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区2022年政府性基金收入决算表</w:t>
      </w:r>
    </w:p>
    <w:p>
      <w:pPr>
        <w:spacing w:before="71" w:line="240" w:lineRule="auto"/>
        <w:ind w:left="1276"/>
        <w:outlineLvl w:val="0"/>
        <w:rPr>
          <w:rFonts w:ascii="宋体" w:hAnsi="宋体" w:eastAsia="宋体" w:cs="宋体"/>
          <w:spacing w:val="10"/>
          <w:sz w:val="2"/>
          <w:szCs w:val="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wordWrap w:val="0"/>
        <w:spacing w:before="123"/>
        <w:jc w:val="right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单位：万元</w:t>
      </w:r>
      <w:r>
        <w:rPr>
          <w:rFonts w:hint="eastAsia" w:eastAsia="宋体"/>
          <w:lang w:val="en-US" w:eastAsia="zh-CN"/>
        </w:rPr>
        <w:t xml:space="preserve">          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286"/>
        <w:tblOverlap w:val="never"/>
        <w:tblW w:w="7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5"/>
        <w:gridCol w:w="2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科目名称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政府性基金预算收入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>政府性基金收入(款)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snapToGrid w:val="0"/>
                <w:color w:val="000000"/>
                <w:lang w:val="en-US" w:eastAsia="zh-CN" w:bidi="ar"/>
              </w:rPr>
              <w:t xml:space="preserve">  城市基础设施配套费收入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加: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政府性基金预算上级补助收入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政府性基金预算调入资金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债务转贷收入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137686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215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31BC0566"/>
    <w:rsid w:val="50EE24C1"/>
    <w:rsid w:val="575D5FFF"/>
    <w:rsid w:val="77FC0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2023-08-24T11:45:00Z</dcterms:created>
  <dc:creator>Administrator</dc:creator>
  <cp:lastModifiedBy>韵韵子</cp:lastModifiedBy>
  <dcterms:modified xsi:type="dcterms:W3CDTF">2023-09-14T02:09:09Z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2023-09-14T09:20:39Z</vt:filetime>
  </property>
  <property fmtid="{D5CDD505-2E9C-101B-9397-08002B2CF9AE}" pid="4" name="KSOProductBuildVer">
    <vt:lpwstr>2052-12.1.0.15120</vt:lpwstr>
  </property>
  <property fmtid="{D5CDD505-2E9C-101B-9397-08002B2CF9AE}" pid="5" name="ICV">
    <vt:lpwstr>88FAE4D00621457998C74734AD97AD24_12</vt:lpwstr>
  </property>
</Properties>
</file>