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1" w:line="321" w:lineRule="auto"/>
        <w:ind w:left="8155" w:hanging="8074"/>
        <w:jc w:val="center"/>
        <w:outlineLvl w:val="0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8"/>
          <w:sz w:val="35"/>
          <w:szCs w:val="35"/>
        </w:rPr>
        <w:t>宿州</w:t>
      </w:r>
      <w:r>
        <w:rPr>
          <w:rFonts w:hint="eastAsia" w:ascii="宋体" w:hAnsi="宋体" w:eastAsia="宋体" w:cs="宋体"/>
          <w:spacing w:val="8"/>
          <w:sz w:val="35"/>
          <w:szCs w:val="35"/>
          <w:lang w:eastAsia="zh-CN"/>
        </w:rPr>
        <w:t>高新</w:t>
      </w:r>
      <w:r>
        <w:rPr>
          <w:rFonts w:ascii="宋体" w:hAnsi="宋体" w:eastAsia="宋体" w:cs="宋体"/>
          <w:spacing w:val="8"/>
          <w:sz w:val="35"/>
          <w:szCs w:val="35"/>
        </w:rPr>
        <w:t>区2022年本级对下政府性基金转移支付分地区决算</w:t>
      </w:r>
      <w:r>
        <w:rPr>
          <w:rFonts w:ascii="宋体" w:hAnsi="宋体" w:eastAsia="宋体" w:cs="宋体"/>
          <w:spacing w:val="18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2"/>
          <w:sz w:val="22"/>
          <w:szCs w:val="22"/>
        </w:rPr>
        <w:t>单位：万元</w:t>
      </w:r>
    </w:p>
    <w:p>
      <w:pPr>
        <w:spacing w:line="153" w:lineRule="exact"/>
      </w:pPr>
    </w:p>
    <w:tbl>
      <w:tblPr>
        <w:tblStyle w:val="4"/>
        <w:tblW w:w="926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58"/>
        <w:gridCol w:w="2922"/>
        <w:gridCol w:w="33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2958" w:type="dxa"/>
            <w:tcBorders>
              <w:right w:val="nil"/>
            </w:tcBorders>
            <w:vAlign w:val="top"/>
          </w:tcPr>
          <w:p>
            <w:pPr>
              <w:pStyle w:val="5"/>
              <w:spacing w:line="384" w:lineRule="auto"/>
            </w:pPr>
          </w:p>
          <w:p>
            <w:pPr>
              <w:spacing w:before="62" w:line="190" w:lineRule="auto"/>
              <w:ind w:left="26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</w:t>
            </w:r>
          </w:p>
        </w:tc>
        <w:tc>
          <w:tcPr>
            <w:tcW w:w="2922" w:type="dxa"/>
            <w:tcBorders>
              <w:left w:val="nil"/>
            </w:tcBorders>
            <w:vAlign w:val="top"/>
          </w:tcPr>
          <w:p>
            <w:pPr>
              <w:pStyle w:val="5"/>
              <w:spacing w:line="384" w:lineRule="auto"/>
            </w:pPr>
          </w:p>
          <w:p>
            <w:pPr>
              <w:spacing w:before="62" w:line="190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区</w:t>
            </w:r>
          </w:p>
        </w:tc>
        <w:tc>
          <w:tcPr>
            <w:tcW w:w="3385" w:type="dxa"/>
            <w:vAlign w:val="top"/>
          </w:tcPr>
          <w:p>
            <w:pPr>
              <w:pStyle w:val="5"/>
              <w:spacing w:line="384" w:lineRule="auto"/>
            </w:pPr>
          </w:p>
          <w:p>
            <w:pPr>
              <w:spacing w:before="62" w:line="190" w:lineRule="auto"/>
              <w:ind w:left="10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202</w:t>
            </w:r>
            <w:r>
              <w:rPr>
                <w:rFonts w:hint="eastAsia" w:ascii="宋体" w:hAnsi="宋体" w:eastAsia="宋体" w:cs="宋体"/>
                <w:spacing w:val="8"/>
                <w:sz w:val="19"/>
                <w:szCs w:val="19"/>
                <w:lang w:val="en-US" w:eastAsia="zh-CN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bookmarkStart w:id="0" w:name="_GoBack"/>
            <w:bookmarkEnd w:id="0"/>
            <w:r>
              <w:rPr>
                <w:rFonts w:ascii="宋体" w:hAnsi="宋体" w:eastAsia="宋体" w:cs="宋体"/>
                <w:spacing w:val="8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年决算数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958" w:type="dxa"/>
            <w:tcBorders>
              <w:right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2922" w:type="dxa"/>
            <w:tcBorders>
              <w:left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3385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958" w:type="dxa"/>
            <w:tcBorders>
              <w:right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2922" w:type="dxa"/>
            <w:tcBorders>
              <w:left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3385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958" w:type="dxa"/>
            <w:tcBorders>
              <w:right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2922" w:type="dxa"/>
            <w:tcBorders>
              <w:left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3385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2958" w:type="dxa"/>
            <w:tcBorders>
              <w:right w:val="nil"/>
            </w:tcBorders>
            <w:vAlign w:val="top"/>
          </w:tcPr>
          <w:p>
            <w:pPr>
              <w:pStyle w:val="5"/>
              <w:spacing w:line="356" w:lineRule="auto"/>
            </w:pPr>
          </w:p>
          <w:p>
            <w:pPr>
              <w:spacing w:before="72" w:line="179" w:lineRule="auto"/>
              <w:ind w:left="26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</w:t>
            </w:r>
          </w:p>
        </w:tc>
        <w:tc>
          <w:tcPr>
            <w:tcW w:w="2922" w:type="dxa"/>
            <w:tcBorders>
              <w:left w:val="nil"/>
            </w:tcBorders>
            <w:vAlign w:val="top"/>
          </w:tcPr>
          <w:p>
            <w:pPr>
              <w:pStyle w:val="5"/>
              <w:spacing w:line="356" w:lineRule="auto"/>
            </w:pPr>
          </w:p>
          <w:p>
            <w:pPr>
              <w:spacing w:before="72" w:line="17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</w:t>
            </w:r>
          </w:p>
        </w:tc>
        <w:tc>
          <w:tcPr>
            <w:tcW w:w="3385" w:type="dxa"/>
            <w:vAlign w:val="top"/>
          </w:tcPr>
          <w:p>
            <w:pPr>
              <w:pStyle w:val="5"/>
              <w:spacing w:line="391" w:lineRule="auto"/>
            </w:pPr>
          </w:p>
          <w:p>
            <w:pPr>
              <w:spacing w:before="72" w:line="178" w:lineRule="exact"/>
              <w:ind w:left="31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position w:val="-2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</w:tr>
    </w:tbl>
    <w:p>
      <w:pPr>
        <w:spacing w:before="228" w:line="219" w:lineRule="auto"/>
        <w:ind w:left="59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z w:val="22"/>
          <w:szCs w:val="22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</w:rPr>
        <w:t>注：</w:t>
      </w:r>
      <w:r>
        <w:rPr>
          <w:rFonts w:ascii="宋体" w:hAnsi="宋体" w:eastAsia="宋体" w:cs="宋体"/>
          <w:sz w:val="22"/>
          <w:szCs w:val="22"/>
        </w:rPr>
        <w:t>宿州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高新</w:t>
      </w:r>
      <w:r>
        <w:rPr>
          <w:rFonts w:ascii="宋体" w:hAnsi="宋体" w:eastAsia="宋体" w:cs="宋体"/>
          <w:sz w:val="22"/>
          <w:szCs w:val="22"/>
        </w:rPr>
        <w:t>区2022年无本级对下政府性基金转移支付安排。</w:t>
      </w:r>
    </w:p>
    <w:p>
      <w:pPr>
        <w:spacing w:line="219" w:lineRule="auto"/>
        <w:rPr>
          <w:rFonts w:ascii="宋体" w:hAnsi="宋体" w:eastAsia="宋体" w:cs="宋体"/>
          <w:sz w:val="22"/>
          <w:szCs w:val="22"/>
        </w:rPr>
        <w:sectPr>
          <w:pgSz w:w="11905" w:h="16837"/>
          <w:pgMar w:top="1179" w:right="1482" w:bottom="0" w:left="998" w:header="0" w:footer="0" w:gutter="0"/>
          <w:cols w:space="720" w:num="1"/>
        </w:sectPr>
      </w:pPr>
    </w:p>
    <w:p>
      <w:pPr>
        <w:spacing w:before="72" w:line="225" w:lineRule="auto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1"/>
          <w:sz w:val="35"/>
          <w:szCs w:val="35"/>
        </w:rPr>
        <w:t>算表</w:t>
      </w:r>
    </w:p>
    <w:sectPr>
      <w:pgSz w:w="11905" w:h="16837"/>
      <w:pgMar w:top="1179" w:right="1785" w:bottom="0" w:left="81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YyZDgxMmQ3NTFjN2U1ZTdjMWZhNzk1ZTE5NzlmYWMifQ=="/>
  </w:docVars>
  <w:rsids>
    <w:rsidRoot w:val="00000000"/>
    <w:rsid w:val="190C4942"/>
    <w:rsid w:val="493A24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68</Words>
  <Characters>77</Characters>
  <TotalTime>0</TotalTime>
  <ScaleCrop>false</ScaleCrop>
  <LinksUpToDate>false</LinksUpToDate>
  <CharactersWithSpaces>78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2023-08-24T11:56:00Z</dcterms:created>
  <dc:creator>Administrator</dc:creator>
  <cp:lastModifiedBy>韵韵子</cp:lastModifiedBy>
  <dcterms:modified xsi:type="dcterms:W3CDTF">2023-09-15T09:12:48Z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2023-09-14T09:20:45Z</vt:filetime>
  </property>
  <property fmtid="{D5CDD505-2E9C-101B-9397-08002B2CF9AE}" pid="4" name="KSOProductBuildVer">
    <vt:lpwstr>2052-11.1.0.14309</vt:lpwstr>
  </property>
  <property fmtid="{D5CDD505-2E9C-101B-9397-08002B2CF9AE}" pid="5" name="ICV">
    <vt:lpwstr>A101CE1A3A024BA1991CF1A4D613E7AF_12</vt:lpwstr>
  </property>
</Properties>
</file>