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912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高新区</w:t>
      </w:r>
      <w:bookmarkStart w:id="0" w:name="_GoBack"/>
      <w:bookmarkEnd w:id="0"/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2022年国有资本经营预算支出决算表</w:t>
      </w:r>
    </w:p>
    <w:p>
      <w:pPr>
        <w:spacing w:before="15" w:line="214" w:lineRule="auto"/>
        <w:ind w:right="31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tbl>
      <w:tblPr>
        <w:tblStyle w:val="4"/>
        <w:tblW w:w="93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7"/>
        <w:gridCol w:w="1502"/>
        <w:gridCol w:w="1502"/>
        <w:gridCol w:w="1503"/>
        <w:gridCol w:w="13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57" w:line="228" w:lineRule="auto"/>
              <w:ind w:left="1340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预算科目</w:t>
            </w:r>
          </w:p>
        </w:tc>
        <w:tc>
          <w:tcPr>
            <w:tcW w:w="1502" w:type="dxa"/>
            <w:vAlign w:val="top"/>
          </w:tcPr>
          <w:p>
            <w:pPr>
              <w:pStyle w:val="5"/>
              <w:spacing w:before="157" w:line="229" w:lineRule="auto"/>
              <w:ind w:left="458"/>
            </w:pPr>
            <w:r>
              <w:rPr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1502" w:type="dxa"/>
            <w:vAlign w:val="top"/>
          </w:tcPr>
          <w:p>
            <w:pPr>
              <w:pStyle w:val="5"/>
              <w:spacing w:before="157" w:line="229" w:lineRule="auto"/>
              <w:ind w:left="259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调整预算数</w:t>
            </w:r>
          </w:p>
        </w:tc>
        <w:tc>
          <w:tcPr>
            <w:tcW w:w="1503" w:type="dxa"/>
            <w:vAlign w:val="top"/>
          </w:tcPr>
          <w:p>
            <w:pPr>
              <w:pStyle w:val="5"/>
              <w:spacing w:before="157" w:line="229" w:lineRule="auto"/>
              <w:ind w:left="468"/>
            </w:pPr>
            <w:r>
              <w:rPr>
                <w:spacing w:val="6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1387" w:type="dxa"/>
            <w:vAlign w:val="top"/>
          </w:tcPr>
          <w:p>
            <w:pPr>
              <w:pStyle w:val="5"/>
              <w:spacing w:before="157" w:line="229" w:lineRule="auto"/>
              <w:ind w:left="149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为预算数的%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50" w:line="228" w:lineRule="auto"/>
              <w:ind w:left="42"/>
            </w:pPr>
            <w:r>
              <w:rPr>
                <w:spacing w:val="8"/>
              </w:rPr>
              <w:t>解决历史遗留问题及改革成本支出</w:t>
            </w:r>
          </w:p>
        </w:tc>
        <w:tc>
          <w:tcPr>
            <w:tcW w:w="1502" w:type="dxa"/>
            <w:vAlign w:val="top"/>
          </w:tcPr>
          <w:p>
            <w:pPr>
              <w:pStyle w:val="5"/>
              <w:spacing w:before="182" w:line="190" w:lineRule="auto"/>
              <w:ind w:right="15"/>
              <w:jc w:val="right"/>
              <w:rPr>
                <w:rFonts w:hint="eastAsia" w:eastAsia="宋体"/>
                <w:lang w:eastAsia="zh-CN"/>
              </w:rPr>
            </w:pPr>
          </w:p>
        </w:tc>
        <w:tc>
          <w:tcPr>
            <w:tcW w:w="1502" w:type="dxa"/>
            <w:vAlign w:val="top"/>
          </w:tcPr>
          <w:p>
            <w:pPr>
              <w:pStyle w:val="5"/>
              <w:spacing w:before="182" w:line="189" w:lineRule="auto"/>
              <w:ind w:right="10"/>
              <w:jc w:val="right"/>
              <w:rPr>
                <w:rFonts w:hint="eastAsia" w:eastAsia="宋体"/>
                <w:lang w:eastAsia="zh-CN"/>
              </w:rPr>
            </w:pPr>
          </w:p>
        </w:tc>
        <w:tc>
          <w:tcPr>
            <w:tcW w:w="1503" w:type="dxa"/>
            <w:vAlign w:val="top"/>
          </w:tcPr>
          <w:p>
            <w:pPr>
              <w:pStyle w:val="5"/>
              <w:spacing w:before="182" w:line="189" w:lineRule="auto"/>
              <w:ind w:right="11"/>
              <w:jc w:val="right"/>
              <w:rPr>
                <w:rFonts w:hint="eastAsia" w:eastAsia="宋体"/>
                <w:lang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pStyle w:val="5"/>
              <w:spacing w:before="182" w:line="189" w:lineRule="auto"/>
              <w:ind w:right="18"/>
              <w:jc w:val="righ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52" w:line="228" w:lineRule="auto"/>
              <w:ind w:left="62"/>
            </w:pPr>
            <w:r>
              <w:rPr>
                <w:spacing w:val="5"/>
              </w:rPr>
              <w:t>国有企业资本金注入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54" w:line="229" w:lineRule="auto"/>
              <w:ind w:left="62"/>
            </w:pPr>
            <w:r>
              <w:rPr>
                <w:spacing w:val="5"/>
              </w:rPr>
              <w:t>国有企业政策性补贴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55" w:line="228" w:lineRule="auto"/>
              <w:ind w:left="44"/>
            </w:pPr>
            <w:r>
              <w:rPr>
                <w:spacing w:val="8"/>
              </w:rPr>
              <w:t>其他国有资本经营预算支出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57" w:line="228" w:lineRule="auto"/>
              <w:ind w:left="1138"/>
            </w:pPr>
            <w:r>
              <w:rPr>
                <w:spacing w:val="1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本年支出合计</w:t>
            </w:r>
          </w:p>
        </w:tc>
        <w:tc>
          <w:tcPr>
            <w:tcW w:w="1502" w:type="dxa"/>
            <w:vAlign w:val="top"/>
          </w:tcPr>
          <w:p>
            <w:pPr>
              <w:pStyle w:val="5"/>
              <w:spacing w:before="189" w:line="190" w:lineRule="auto"/>
              <w:ind w:right="17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pacing w:val="5"/>
                <w:lang w:val="en-US" w:eastAsia="zh-CN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02" w:type="dxa"/>
            <w:vAlign w:val="top"/>
          </w:tcPr>
          <w:p>
            <w:pPr>
              <w:pStyle w:val="5"/>
              <w:spacing w:before="189" w:line="189" w:lineRule="auto"/>
              <w:ind w:right="13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03" w:type="dxa"/>
            <w:vAlign w:val="top"/>
          </w:tcPr>
          <w:p>
            <w:pPr>
              <w:pStyle w:val="5"/>
              <w:spacing w:before="189" w:line="189" w:lineRule="auto"/>
              <w:ind w:right="11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387" w:type="dxa"/>
            <w:vAlign w:val="top"/>
          </w:tcPr>
          <w:p>
            <w:pPr>
              <w:pStyle w:val="5"/>
              <w:spacing w:before="189" w:line="189" w:lineRule="auto"/>
              <w:ind w:right="19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61" w:line="230" w:lineRule="auto"/>
              <w:ind w:left="44"/>
            </w:pPr>
            <w:r>
              <w:rPr>
                <w:spacing w:val="6"/>
              </w:rPr>
              <w:t>调出资金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pStyle w:val="5"/>
              <w:spacing w:before="192" w:line="189" w:lineRule="auto"/>
              <w:ind w:right="11"/>
              <w:jc w:val="right"/>
            </w:pP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62" w:line="230" w:lineRule="auto"/>
              <w:ind w:left="1340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支出总计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pStyle w:val="5"/>
              <w:spacing w:before="194" w:line="189" w:lineRule="auto"/>
              <w:ind w:right="12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3"/>
                <w:lang w:val="en-US" w:eastAsia="zh-CN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073" w:right="1529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Q4ZDY1MzFhOTdhYzdlMDBhMzZjYWYzZDRlZTM4ZjgifQ=="/>
  </w:docVars>
  <w:rsids>
    <w:rsidRoot w:val="00000000"/>
    <w:rsid w:val="01BA6192"/>
    <w:rsid w:val="206913FD"/>
    <w:rsid w:val="20C75D9C"/>
    <w:rsid w:val="25853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2023-08-24T11:56:00Z</dcterms:created>
  <dc:creator>liubing</dc:creator>
  <cp:lastModifiedBy>liubing</cp:lastModifiedBy>
  <dcterms:modified xsi:type="dcterms:W3CDTF">2023-09-14T02:41:44Z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2023-09-14T09:20:51Z</vt:filetime>
  </property>
  <property fmtid="{D5CDD505-2E9C-101B-9397-08002B2CF9AE}" pid="4" name="KSOProductBuildVer">
    <vt:lpwstr>2052-12.1.0.15374</vt:lpwstr>
  </property>
  <property fmtid="{D5CDD505-2E9C-101B-9397-08002B2CF9AE}" pid="5" name="ICV">
    <vt:lpwstr>02E4F863C6514C369421CB920A3ACE80_12</vt:lpwstr>
  </property>
</Properties>
</file>