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25" w:lineRule="auto"/>
        <w:ind w:left="549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宿州</w:t>
      </w: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高新区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2022年本级国有资本经营预算支出决算表</w:t>
      </w:r>
    </w:p>
    <w:p>
      <w:pPr>
        <w:spacing w:before="15" w:line="214" w:lineRule="auto"/>
        <w:ind w:right="31"/>
        <w:jc w:val="righ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单位：万元</w:t>
      </w:r>
    </w:p>
    <w:tbl>
      <w:tblPr>
        <w:tblStyle w:val="4"/>
        <w:tblW w:w="936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7"/>
        <w:gridCol w:w="1502"/>
        <w:gridCol w:w="1502"/>
        <w:gridCol w:w="1503"/>
        <w:gridCol w:w="13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79" w:line="228" w:lineRule="auto"/>
              <w:ind w:left="1340"/>
            </w:pPr>
            <w:r>
              <w:rPr>
                <w:spacing w:val="8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预算科目</w:t>
            </w:r>
          </w:p>
        </w:tc>
        <w:tc>
          <w:tcPr>
            <w:tcW w:w="1502" w:type="dxa"/>
            <w:vAlign w:val="top"/>
          </w:tcPr>
          <w:p>
            <w:pPr>
              <w:pStyle w:val="5"/>
              <w:spacing w:before="179" w:line="229" w:lineRule="auto"/>
              <w:ind w:left="458"/>
            </w:pPr>
            <w:r>
              <w:rPr>
                <w:spacing w:val="7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预算数</w:t>
            </w:r>
          </w:p>
        </w:tc>
        <w:tc>
          <w:tcPr>
            <w:tcW w:w="1502" w:type="dxa"/>
            <w:vAlign w:val="top"/>
          </w:tcPr>
          <w:p>
            <w:pPr>
              <w:pStyle w:val="5"/>
              <w:spacing w:before="179" w:line="229" w:lineRule="auto"/>
              <w:ind w:left="259"/>
            </w:pPr>
            <w:r>
              <w:rPr>
                <w:spacing w:val="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调整预算数</w:t>
            </w:r>
          </w:p>
        </w:tc>
        <w:tc>
          <w:tcPr>
            <w:tcW w:w="1503" w:type="dxa"/>
            <w:vAlign w:val="top"/>
          </w:tcPr>
          <w:p>
            <w:pPr>
              <w:pStyle w:val="5"/>
              <w:spacing w:before="179" w:line="229" w:lineRule="auto"/>
              <w:ind w:left="468"/>
            </w:pPr>
            <w:r>
              <w:rPr>
                <w:spacing w:val="6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决算数</w:t>
            </w:r>
          </w:p>
        </w:tc>
        <w:tc>
          <w:tcPr>
            <w:tcW w:w="1387" w:type="dxa"/>
            <w:vAlign w:val="top"/>
          </w:tcPr>
          <w:p>
            <w:pPr>
              <w:pStyle w:val="5"/>
              <w:spacing w:before="179" w:line="229" w:lineRule="auto"/>
              <w:ind w:left="149"/>
            </w:pPr>
            <w:r>
              <w:rPr>
                <w:spacing w:val="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为预算数的%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71" w:line="228" w:lineRule="auto"/>
              <w:ind w:left="42"/>
            </w:pPr>
            <w:r>
              <w:rPr>
                <w:spacing w:val="8"/>
              </w:rPr>
              <w:t>解决历史遗留问题及改革成本支出</w:t>
            </w:r>
          </w:p>
        </w:tc>
        <w:tc>
          <w:tcPr>
            <w:tcW w:w="1502" w:type="dxa"/>
            <w:vAlign w:val="top"/>
          </w:tcPr>
          <w:p>
            <w:pPr>
              <w:pStyle w:val="5"/>
              <w:spacing w:before="203" w:line="190" w:lineRule="auto"/>
              <w:ind w:right="15"/>
              <w:jc w:val="right"/>
            </w:pPr>
          </w:p>
        </w:tc>
        <w:tc>
          <w:tcPr>
            <w:tcW w:w="1502" w:type="dxa"/>
            <w:vAlign w:val="top"/>
          </w:tcPr>
          <w:p>
            <w:pPr>
              <w:pStyle w:val="5"/>
              <w:spacing w:before="203" w:line="189" w:lineRule="auto"/>
              <w:ind w:right="10"/>
              <w:jc w:val="right"/>
            </w:pPr>
          </w:p>
        </w:tc>
        <w:tc>
          <w:tcPr>
            <w:tcW w:w="1503" w:type="dxa"/>
            <w:vAlign w:val="top"/>
          </w:tcPr>
          <w:p>
            <w:pPr>
              <w:pStyle w:val="5"/>
              <w:spacing w:before="203" w:line="189" w:lineRule="auto"/>
              <w:ind w:right="11"/>
              <w:jc w:val="right"/>
            </w:pPr>
          </w:p>
        </w:tc>
        <w:tc>
          <w:tcPr>
            <w:tcW w:w="1387" w:type="dxa"/>
            <w:vAlign w:val="top"/>
          </w:tcPr>
          <w:p>
            <w:pPr>
              <w:pStyle w:val="5"/>
              <w:spacing w:before="203" w:line="189" w:lineRule="auto"/>
              <w:ind w:right="18"/>
              <w:jc w:val="right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74" w:line="228" w:lineRule="auto"/>
              <w:ind w:left="62"/>
            </w:pPr>
            <w:r>
              <w:rPr>
                <w:spacing w:val="5"/>
              </w:rPr>
              <w:t>国有企业资本金注入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76" w:line="229" w:lineRule="auto"/>
              <w:ind w:left="62"/>
            </w:pPr>
            <w:r>
              <w:rPr>
                <w:spacing w:val="5"/>
              </w:rPr>
              <w:t>国有企业政策性补贴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79" w:line="228" w:lineRule="auto"/>
              <w:ind w:left="44"/>
            </w:pPr>
            <w:r>
              <w:rPr>
                <w:spacing w:val="8"/>
              </w:rPr>
              <w:t>其他国有资本经营预算支出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80" w:line="228" w:lineRule="auto"/>
              <w:ind w:left="1138"/>
            </w:pPr>
            <w:r>
              <w:rPr>
                <w:spacing w:val="10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本年支出合计</w:t>
            </w:r>
          </w:p>
        </w:tc>
        <w:tc>
          <w:tcPr>
            <w:tcW w:w="1502" w:type="dxa"/>
            <w:vAlign w:val="top"/>
          </w:tcPr>
          <w:p>
            <w:pPr>
              <w:pStyle w:val="5"/>
              <w:spacing w:before="212" w:line="190" w:lineRule="auto"/>
              <w:ind w:right="17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pacing w:val="5"/>
                <w:lang w:val="en-US" w:eastAsia="zh-CN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02" w:type="dxa"/>
            <w:vAlign w:val="top"/>
          </w:tcPr>
          <w:p>
            <w:pPr>
              <w:pStyle w:val="5"/>
              <w:spacing w:before="212" w:line="189" w:lineRule="auto"/>
              <w:ind w:right="13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03" w:type="dxa"/>
            <w:vAlign w:val="top"/>
          </w:tcPr>
          <w:p>
            <w:pPr>
              <w:pStyle w:val="5"/>
              <w:spacing w:before="212" w:line="189" w:lineRule="auto"/>
              <w:ind w:right="11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387" w:type="dxa"/>
            <w:vAlign w:val="top"/>
          </w:tcPr>
          <w:p>
            <w:pPr>
              <w:pStyle w:val="5"/>
              <w:spacing w:before="212" w:line="189" w:lineRule="auto"/>
              <w:ind w:right="19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82" w:line="230" w:lineRule="auto"/>
              <w:ind w:left="44"/>
            </w:pPr>
            <w:r>
              <w:rPr>
                <w:spacing w:val="6"/>
              </w:rPr>
              <w:t>调出资金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503" w:type="dxa"/>
            <w:vAlign w:val="top"/>
          </w:tcPr>
          <w:p>
            <w:pPr>
              <w:pStyle w:val="5"/>
              <w:spacing w:before="213" w:line="189" w:lineRule="auto"/>
              <w:ind w:right="11"/>
              <w:jc w:val="right"/>
              <w:rPr>
                <w:rFonts w:hint="eastAsia" w:eastAsia="宋体"/>
                <w:lang w:eastAsia="zh-CN"/>
              </w:rPr>
            </w:pPr>
          </w:p>
        </w:tc>
        <w:tc>
          <w:tcPr>
            <w:tcW w:w="13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3467" w:type="dxa"/>
            <w:vAlign w:val="top"/>
          </w:tcPr>
          <w:p>
            <w:pPr>
              <w:pStyle w:val="5"/>
              <w:spacing w:before="183" w:line="230" w:lineRule="auto"/>
              <w:ind w:left="1340"/>
            </w:pPr>
            <w:r>
              <w:rPr>
                <w:spacing w:val="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支出总计</w:t>
            </w: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3" w:type="dxa"/>
            <w:vAlign w:val="top"/>
          </w:tcPr>
          <w:p>
            <w:pPr>
              <w:pStyle w:val="5"/>
              <w:spacing w:before="215" w:line="189" w:lineRule="auto"/>
              <w:ind w:right="12"/>
              <w:jc w:val="righ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pacing w:val="3"/>
                <w:lang w:val="en-US" w:eastAsia="zh-CN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1387" w:type="dxa"/>
            <w:vAlign w:val="top"/>
          </w:tcPr>
          <w:p>
            <w:pPr>
              <w:rPr>
                <w:rFonts w:hint="default" w:ascii="Arial"/>
                <w:sz w:val="21"/>
                <w:lang w:val="en-US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073" w:right="1529" w:bottom="0" w:left="9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Q4ZDY1MzFhOTdhYzdlMDBhMzZjYWYzZDRlZTM4ZjgifQ=="/>
  </w:docVars>
  <w:rsids>
    <w:rsidRoot w:val="00000000"/>
    <w:rsid w:val="159A5162"/>
    <w:rsid w:val="2EFC7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2023-08-24T11:56:00Z</dcterms:created>
  <dc:creator>liubing</dc:creator>
  <cp:lastModifiedBy>liubing</cp:lastModifiedBy>
  <dcterms:modified xsi:type="dcterms:W3CDTF">2023-09-14T07:06:38Z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2023-09-14T09:20:51Z</vt:filetime>
  </property>
  <property fmtid="{D5CDD505-2E9C-101B-9397-08002B2CF9AE}" pid="4" name="KSOProductBuildVer">
    <vt:lpwstr>2052-12.1.0.15374</vt:lpwstr>
  </property>
  <property fmtid="{D5CDD505-2E9C-101B-9397-08002B2CF9AE}" pid="5" name="ICV">
    <vt:lpwstr>E37DFB44C62D49F8BC1393B37436E5ED_12</vt:lpwstr>
  </property>
</Properties>
</file>