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3251">
      <w:pPr>
        <w:jc w:val="center"/>
        <w:rPr>
          <w:b/>
          <w:sz w:val="52"/>
        </w:rPr>
      </w:pPr>
    </w:p>
    <w:p w14:paraId="5DEEF7AF">
      <w:pPr>
        <w:pStyle w:val="21"/>
        <w:rPr>
          <w:sz w:val="21"/>
          <w:szCs w:val="21"/>
        </w:rPr>
      </w:pPr>
    </w:p>
    <w:p w14:paraId="789DB2D8">
      <w:pPr>
        <w:jc w:val="center"/>
        <w:rPr>
          <w:b/>
          <w:color w:val="000000"/>
          <w:sz w:val="72"/>
        </w:rPr>
      </w:pPr>
      <w:r>
        <w:rPr>
          <w:b/>
          <w:color w:val="000000"/>
          <w:sz w:val="72"/>
        </w:rPr>
        <w:t>建设项目环境影响报告表</w:t>
      </w:r>
    </w:p>
    <w:p w14:paraId="0E429F03">
      <w:pPr>
        <w:adjustRightInd w:val="0"/>
        <w:snapToGrid w:val="0"/>
        <w:spacing w:before="192" w:beforeLines="80"/>
        <w:jc w:val="center"/>
        <w:rPr>
          <w:rFonts w:hint="eastAsia" w:ascii="华文楷体" w:hAnsi="华文楷体" w:eastAsia="华文楷体" w:cs="华文楷体"/>
          <w:bCs/>
          <w:color w:val="auto"/>
          <w:sz w:val="48"/>
          <w:szCs w:val="48"/>
        </w:rPr>
      </w:pPr>
      <w:r>
        <w:rPr>
          <w:rFonts w:hint="eastAsia" w:ascii="楷体_GB2312" w:eastAsia="楷体_GB2312"/>
          <w:bCs/>
          <w:sz w:val="48"/>
          <w:szCs w:val="48"/>
        </w:rPr>
        <w:t>（污染影响类）</w:t>
      </w:r>
    </w:p>
    <w:p w14:paraId="1DE4B3D9">
      <w:pPr>
        <w:jc w:val="center"/>
        <w:rPr>
          <w:rFonts w:hint="eastAsia" w:eastAsia="宋体"/>
          <w:b/>
          <w:bCs/>
          <w:color w:val="000000"/>
          <w:sz w:val="36"/>
          <w:lang w:eastAsia="zh-CN"/>
        </w:rPr>
      </w:pPr>
    </w:p>
    <w:p w14:paraId="0A4CCD6E">
      <w:pPr>
        <w:jc w:val="center"/>
        <w:rPr>
          <w:color w:val="000000"/>
          <w:sz w:val="36"/>
        </w:rPr>
      </w:pPr>
    </w:p>
    <w:p w14:paraId="5AD630B3">
      <w:pPr>
        <w:jc w:val="center"/>
        <w:rPr>
          <w:color w:val="000000"/>
          <w:sz w:val="36"/>
        </w:rPr>
      </w:pPr>
    </w:p>
    <w:p w14:paraId="7DD7B549">
      <w:pPr>
        <w:jc w:val="center"/>
        <w:rPr>
          <w:color w:val="000000"/>
          <w:sz w:val="36"/>
        </w:rPr>
      </w:pPr>
    </w:p>
    <w:p w14:paraId="288A5885">
      <w:pPr>
        <w:pStyle w:val="29"/>
        <w:jc w:val="center"/>
      </w:pPr>
    </w:p>
    <w:p w14:paraId="4E346FAF">
      <w:pPr>
        <w:pStyle w:val="29"/>
        <w:jc w:val="both"/>
      </w:pPr>
    </w:p>
    <w:p w14:paraId="77B28A6D">
      <w:pPr>
        <w:pStyle w:val="29"/>
        <w:jc w:val="both"/>
      </w:pPr>
    </w:p>
    <w:p w14:paraId="4C70CAA3">
      <w:pPr>
        <w:pStyle w:val="29"/>
        <w:jc w:val="both"/>
      </w:pPr>
    </w:p>
    <w:tbl>
      <w:tblPr>
        <w:tblStyle w:val="24"/>
        <w:tblW w:w="897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6327"/>
      </w:tblGrid>
      <w:tr w14:paraId="106A33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868" w:hRule="atLeast"/>
        </w:trPr>
        <w:tc>
          <w:tcPr>
            <w:tcW w:w="2652" w:type="dxa"/>
            <w:tcBorders>
              <w:top w:val="nil"/>
              <w:bottom w:val="nil"/>
              <w:right w:val="nil"/>
            </w:tcBorders>
            <w:vAlign w:val="center"/>
          </w:tcPr>
          <w:p w14:paraId="50518900">
            <w:pPr>
              <w:ind w:left="102" w:right="-108"/>
              <w:jc w:val="center"/>
              <w:rPr>
                <w:rFonts w:hint="eastAsia" w:ascii="宋体" w:hAnsi="宋体" w:eastAsia="宋体" w:cs="宋体"/>
                <w:color w:val="000000"/>
                <w:spacing w:val="60"/>
                <w:sz w:val="32"/>
                <w:szCs w:val="32"/>
              </w:rPr>
            </w:pPr>
            <w:r>
              <w:rPr>
                <w:rFonts w:hint="eastAsia" w:ascii="宋体" w:hAnsi="宋体" w:eastAsia="宋体" w:cs="宋体"/>
                <w:b/>
                <w:color w:val="000000"/>
                <w:spacing w:val="60"/>
                <w:sz w:val="32"/>
                <w:szCs w:val="32"/>
              </w:rPr>
              <w:t>项目名称：</w:t>
            </w:r>
          </w:p>
        </w:tc>
        <w:tc>
          <w:tcPr>
            <w:tcW w:w="6327" w:type="dxa"/>
            <w:tcBorders>
              <w:top w:val="nil"/>
              <w:left w:val="nil"/>
            </w:tcBorders>
            <w:vAlign w:val="center"/>
          </w:tcPr>
          <w:p w14:paraId="29BDA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leftChars="0" w:right="0" w:rightChars="0" w:firstLine="0" w:firstLineChars="0"/>
              <w:jc w:val="center"/>
              <w:rPr>
                <w:rFonts w:hint="eastAsia" w:ascii="宋体" w:hAnsi="宋体" w:eastAsia="宋体" w:cs="宋体"/>
                <w:b/>
                <w:color w:val="auto"/>
                <w:sz w:val="32"/>
                <w:szCs w:val="32"/>
                <w:u w:val="none"/>
                <w:lang w:eastAsia="zh-CN"/>
              </w:rPr>
            </w:pPr>
            <w:r>
              <w:rPr>
                <w:rFonts w:hint="eastAsia" w:ascii="宋体" w:hAnsi="宋体" w:eastAsia="宋体" w:cs="宋体"/>
                <w:b/>
                <w:color w:val="auto"/>
                <w:sz w:val="32"/>
                <w:szCs w:val="32"/>
                <w:u w:val="none"/>
                <w:lang w:eastAsia="zh-CN"/>
              </w:rPr>
              <w:t>安徽东方果园生物科技有限公司技术升级改造项目</w:t>
            </w:r>
          </w:p>
        </w:tc>
      </w:tr>
      <w:tr w14:paraId="41C2A6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652" w:type="dxa"/>
            <w:tcBorders>
              <w:top w:val="nil"/>
              <w:bottom w:val="nil"/>
              <w:right w:val="nil"/>
            </w:tcBorders>
            <w:vAlign w:val="center"/>
          </w:tcPr>
          <w:p w14:paraId="2015CAA0">
            <w:pPr>
              <w:jc w:val="center"/>
              <w:rPr>
                <w:rFonts w:hint="eastAsia" w:ascii="宋体" w:hAnsi="宋体" w:eastAsia="宋体" w:cs="宋体"/>
                <w:b/>
                <w:bCs/>
                <w:color w:val="000000"/>
                <w:kern w:val="2"/>
                <w:sz w:val="32"/>
                <w:szCs w:val="32"/>
                <w:u w:val="single"/>
                <w:lang w:val="en-US" w:eastAsia="zh-CN" w:bidi="ar-SA"/>
              </w:rPr>
            </w:pPr>
            <w:r>
              <w:rPr>
                <w:rFonts w:hint="eastAsia" w:ascii="宋体" w:hAnsi="宋体" w:eastAsia="宋体" w:cs="宋体"/>
                <w:b/>
                <w:color w:val="000000"/>
                <w:spacing w:val="-28"/>
                <w:sz w:val="32"/>
                <w:szCs w:val="32"/>
              </w:rPr>
              <w:t>建设单位</w:t>
            </w:r>
            <w:r>
              <w:rPr>
                <w:rFonts w:hint="eastAsia" w:ascii="宋体" w:hAnsi="宋体" w:eastAsia="宋体" w:cs="宋体"/>
                <w:b/>
                <w:color w:val="000000"/>
                <w:spacing w:val="-28"/>
                <w:sz w:val="32"/>
                <w:szCs w:val="32"/>
                <w:lang w:eastAsia="zh-CN"/>
              </w:rPr>
              <w:t>（</w:t>
            </w:r>
            <w:r>
              <w:rPr>
                <w:rFonts w:hint="eastAsia" w:ascii="宋体" w:hAnsi="宋体" w:eastAsia="宋体" w:cs="宋体"/>
                <w:b/>
                <w:color w:val="000000"/>
                <w:spacing w:val="-28"/>
                <w:sz w:val="32"/>
                <w:szCs w:val="32"/>
              </w:rPr>
              <w:t>盖章</w:t>
            </w:r>
            <w:r>
              <w:rPr>
                <w:rFonts w:hint="eastAsia" w:ascii="宋体" w:hAnsi="宋体" w:eastAsia="宋体" w:cs="宋体"/>
                <w:b/>
                <w:color w:val="000000"/>
                <w:spacing w:val="-28"/>
                <w:sz w:val="32"/>
                <w:szCs w:val="32"/>
                <w:lang w:eastAsia="zh-CN"/>
              </w:rPr>
              <w:t>）</w:t>
            </w:r>
            <w:r>
              <w:rPr>
                <w:rFonts w:hint="eastAsia" w:ascii="宋体" w:hAnsi="宋体" w:eastAsia="宋体" w:cs="宋体"/>
                <w:b/>
                <w:color w:val="000000"/>
                <w:spacing w:val="-28"/>
                <w:sz w:val="32"/>
                <w:szCs w:val="32"/>
              </w:rPr>
              <w:t>：</w:t>
            </w:r>
          </w:p>
        </w:tc>
        <w:tc>
          <w:tcPr>
            <w:tcW w:w="6327" w:type="dxa"/>
            <w:tcBorders>
              <w:left w:val="nil"/>
            </w:tcBorders>
            <w:vAlign w:val="center"/>
          </w:tcPr>
          <w:p w14:paraId="12456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leftChars="0" w:right="0" w:rightChars="0" w:firstLine="0" w:firstLineChars="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安徽东方果园生物科技有限公司</w:t>
            </w:r>
          </w:p>
        </w:tc>
      </w:tr>
      <w:tr w14:paraId="0CB3B0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652" w:type="dxa"/>
            <w:tcBorders>
              <w:top w:val="nil"/>
              <w:bottom w:val="nil"/>
              <w:right w:val="nil"/>
            </w:tcBorders>
            <w:vAlign w:val="center"/>
          </w:tcPr>
          <w:p w14:paraId="4CAEFD4D">
            <w:pPr>
              <w:jc w:val="center"/>
              <w:rPr>
                <w:rFonts w:hint="eastAsia" w:ascii="宋体" w:hAnsi="宋体" w:eastAsia="宋体" w:cs="宋体"/>
                <w:b/>
                <w:color w:val="000000"/>
                <w:spacing w:val="-28"/>
                <w:sz w:val="32"/>
                <w:szCs w:val="32"/>
              </w:rPr>
            </w:pPr>
            <w:r>
              <w:rPr>
                <w:rFonts w:hint="eastAsia" w:ascii="宋体" w:hAnsi="宋体" w:eastAsia="宋体" w:cs="宋体"/>
                <w:b/>
                <w:color w:val="000000"/>
                <w:spacing w:val="60"/>
                <w:sz w:val="32"/>
                <w:szCs w:val="32"/>
              </w:rPr>
              <w:t>编制日期：</w:t>
            </w:r>
          </w:p>
        </w:tc>
        <w:tc>
          <w:tcPr>
            <w:tcW w:w="6327" w:type="dxa"/>
            <w:tcBorders>
              <w:left w:val="nil"/>
            </w:tcBorders>
            <w:vAlign w:val="center"/>
          </w:tcPr>
          <w:p w14:paraId="5B610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宋体" w:hAnsi="宋体" w:eastAsia="宋体" w:cs="宋体"/>
                <w:b/>
                <w:color w:val="auto"/>
                <w:sz w:val="32"/>
                <w:szCs w:val="32"/>
                <w:u w:val="none"/>
                <w:lang w:val="en-US" w:eastAsia="zh-CN"/>
              </w:rPr>
            </w:pPr>
            <w:r>
              <w:rPr>
                <w:rFonts w:hint="eastAsia" w:ascii="宋体" w:hAnsi="宋体" w:eastAsia="宋体" w:cs="宋体"/>
                <w:b/>
                <w:bCs/>
                <w:color w:val="auto"/>
                <w:sz w:val="32"/>
                <w:szCs w:val="32"/>
                <w:lang w:val="en-US" w:eastAsia="zh-CN"/>
              </w:rPr>
              <w:t>二〇二六年一月</w:t>
            </w:r>
          </w:p>
        </w:tc>
      </w:tr>
    </w:tbl>
    <w:p w14:paraId="186BF4F5">
      <w:pPr>
        <w:jc w:val="both"/>
        <w:rPr>
          <w:b/>
          <w:color w:val="000000"/>
          <w:sz w:val="36"/>
        </w:rPr>
      </w:pPr>
    </w:p>
    <w:p w14:paraId="4EBC6005">
      <w:pPr>
        <w:jc w:val="center"/>
        <w:rPr>
          <w:b/>
          <w:color w:val="000000"/>
          <w:sz w:val="36"/>
        </w:rPr>
      </w:pPr>
    </w:p>
    <w:p w14:paraId="64537A69">
      <w:pPr>
        <w:pStyle w:val="21"/>
      </w:pPr>
    </w:p>
    <w:p w14:paraId="38B5E96C">
      <w:pPr>
        <w:pStyle w:val="21"/>
      </w:pPr>
    </w:p>
    <w:p w14:paraId="0313B2D0">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b/>
          <w:color w:val="000000"/>
          <w:sz w:val="32"/>
          <w:szCs w:val="32"/>
        </w:rPr>
      </w:pPr>
      <w:r>
        <w:rPr>
          <w:rFonts w:hint="eastAsia" w:ascii="楷体_GB2312" w:eastAsia="楷体_GB2312"/>
          <w:sz w:val="36"/>
          <w:szCs w:val="36"/>
        </w:rPr>
        <w:t>中华人民共和国生态环境部制</w:t>
      </w:r>
    </w:p>
    <w:p w14:paraId="0085AD08">
      <w:pPr>
        <w:snapToGrid w:val="0"/>
        <w:spacing w:line="300" w:lineRule="auto"/>
        <w:jc w:val="center"/>
        <w:rPr>
          <w:b/>
          <w:color w:val="000000"/>
          <w:sz w:val="32"/>
          <w:szCs w:val="32"/>
        </w:rPr>
      </w:pPr>
    </w:p>
    <w:p w14:paraId="334A1065">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pPr>
    </w:p>
    <w:p w14:paraId="68D2A4E8">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pPr>
    </w:p>
    <w:p w14:paraId="31BC3E8D">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rPr>
        <w:sectPr>
          <w:footerReference r:id="rId3" w:type="default"/>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6DA3D312">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一、建设项目基本情况</w:t>
      </w:r>
    </w:p>
    <w:tbl>
      <w:tblPr>
        <w:tblStyle w:val="24"/>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058"/>
        <w:gridCol w:w="2466"/>
        <w:gridCol w:w="2262"/>
        <w:gridCol w:w="2699"/>
      </w:tblGrid>
      <w:tr w14:paraId="18F34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022CBAC6">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建设项目名称</w:t>
            </w:r>
          </w:p>
        </w:tc>
        <w:tc>
          <w:tcPr>
            <w:tcW w:w="7427" w:type="dxa"/>
            <w:gridSpan w:val="3"/>
            <w:tcBorders>
              <w:tl2br w:val="nil"/>
              <w:tr2bl w:val="nil"/>
            </w:tcBorders>
            <w:noWrap w:val="0"/>
            <w:vAlign w:val="center"/>
          </w:tcPr>
          <w:p w14:paraId="18448822">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安徽东方果园生物科技有限公司技术升级改造项目</w:t>
            </w:r>
          </w:p>
        </w:tc>
      </w:tr>
      <w:tr w14:paraId="5ACE9D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590CB67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项目代码</w:t>
            </w:r>
          </w:p>
        </w:tc>
        <w:tc>
          <w:tcPr>
            <w:tcW w:w="7427" w:type="dxa"/>
            <w:gridSpan w:val="3"/>
            <w:tcBorders>
              <w:tl2br w:val="nil"/>
              <w:tr2bl w:val="nil"/>
            </w:tcBorders>
            <w:noWrap w:val="0"/>
            <w:vAlign w:val="center"/>
          </w:tcPr>
          <w:p w14:paraId="46E9F6E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2512-341367-04-02-464425</w:t>
            </w:r>
          </w:p>
        </w:tc>
      </w:tr>
      <w:tr w14:paraId="2A87D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3D4AF7B1">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建设单位联系人</w:t>
            </w:r>
          </w:p>
        </w:tc>
        <w:tc>
          <w:tcPr>
            <w:tcW w:w="2466" w:type="dxa"/>
            <w:tcBorders>
              <w:tl2br w:val="nil"/>
              <w:tr2bl w:val="nil"/>
            </w:tcBorders>
            <w:noWrap w:val="0"/>
            <w:vAlign w:val="center"/>
          </w:tcPr>
          <w:p w14:paraId="6F49D608">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张允</w:t>
            </w:r>
          </w:p>
        </w:tc>
        <w:tc>
          <w:tcPr>
            <w:tcW w:w="2262" w:type="dxa"/>
            <w:tcBorders>
              <w:tl2br w:val="nil"/>
              <w:tr2bl w:val="nil"/>
            </w:tcBorders>
            <w:noWrap w:val="0"/>
            <w:vAlign w:val="center"/>
          </w:tcPr>
          <w:p w14:paraId="4AE22E5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联系方式</w:t>
            </w:r>
          </w:p>
        </w:tc>
        <w:tc>
          <w:tcPr>
            <w:tcW w:w="2699" w:type="dxa"/>
            <w:tcBorders>
              <w:tl2br w:val="nil"/>
              <w:tr2bl w:val="nil"/>
            </w:tcBorders>
            <w:noWrap w:val="0"/>
            <w:vAlign w:val="center"/>
          </w:tcPr>
          <w:p w14:paraId="6B2D124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17775088777</w:t>
            </w:r>
          </w:p>
        </w:tc>
      </w:tr>
      <w:tr w14:paraId="022A1C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79F12029">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建设地点</w:t>
            </w:r>
          </w:p>
        </w:tc>
        <w:tc>
          <w:tcPr>
            <w:tcW w:w="7427" w:type="dxa"/>
            <w:gridSpan w:val="3"/>
            <w:tcBorders>
              <w:tl2br w:val="nil"/>
              <w:tr2bl w:val="nil"/>
            </w:tcBorders>
            <w:noWrap w:val="0"/>
            <w:vAlign w:val="center"/>
          </w:tcPr>
          <w:p w14:paraId="0392FFD0">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宿州市高新技术产业开发区拂晓大道9号</w:t>
            </w:r>
            <w:bookmarkStart w:id="1" w:name="_GoBack"/>
            <w:bookmarkEnd w:id="1"/>
          </w:p>
        </w:tc>
      </w:tr>
      <w:tr w14:paraId="0356E8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66DD30E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地理坐标</w:t>
            </w:r>
          </w:p>
        </w:tc>
        <w:tc>
          <w:tcPr>
            <w:tcW w:w="7427" w:type="dxa"/>
            <w:gridSpan w:val="3"/>
            <w:tcBorders>
              <w:tl2br w:val="nil"/>
              <w:tr2bl w:val="nil"/>
            </w:tcBorders>
            <w:noWrap w:val="0"/>
            <w:vAlign w:val="center"/>
          </w:tcPr>
          <w:p w14:paraId="250EE392">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经度</w:t>
            </w:r>
            <w:r>
              <w:rPr>
                <w:rFonts w:hint="default"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11</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度</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56</w:t>
            </w:r>
            <w:r>
              <w:rPr>
                <w:rFonts w:hint="default" w:ascii="Times New Roman" w:hAnsi="Times New Roman" w:cs="Times New Roman"/>
                <w:color w:val="000000" w:themeColor="text1"/>
                <w:sz w:val="24"/>
                <w:szCs w:val="24"/>
                <w14:textFill>
                  <w14:solidFill>
                    <w14:schemeClr w14:val="tx1"/>
                  </w14:solidFill>
                </w14:textFill>
              </w:rPr>
              <w:t>分</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16.736</w:t>
            </w:r>
            <w:r>
              <w:rPr>
                <w:rFonts w:hint="default" w:ascii="Times New Roman" w:hAnsi="Times New Roman" w:cs="Times New Roman"/>
                <w:color w:val="000000" w:themeColor="text1"/>
                <w:sz w:val="24"/>
                <w:szCs w:val="24"/>
                <w14:textFill>
                  <w14:solidFill>
                    <w14:schemeClr w14:val="tx1"/>
                  </w14:solidFill>
                </w14:textFill>
              </w:rPr>
              <w:t>秒</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r>
              <w:rPr>
                <w:rFonts w:hint="eastAsia" w:cs="Times New Roman"/>
                <w:snapToGrid/>
                <w:color w:val="000000" w:themeColor="text1"/>
                <w:spacing w:val="0"/>
                <w:kern w:val="0"/>
                <w:position w:val="0"/>
                <w:sz w:val="24"/>
                <w:szCs w:val="24"/>
                <w:lang w:eastAsia="zh-CN"/>
                <w14:textFill>
                  <w14:solidFill>
                    <w14:schemeClr w14:val="tx1"/>
                  </w14:solidFill>
                </w14:textFill>
              </w:rPr>
              <w:t>纬度：</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3</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度</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42</w:t>
            </w:r>
            <w:r>
              <w:rPr>
                <w:rFonts w:hint="default" w:ascii="Times New Roman" w:hAnsi="Times New Roman" w:cs="Times New Roman"/>
                <w:color w:val="000000" w:themeColor="text1"/>
                <w:sz w:val="24"/>
                <w:szCs w:val="24"/>
                <w14:textFill>
                  <w14:solidFill>
                    <w14:schemeClr w14:val="tx1"/>
                  </w14:solidFill>
                </w14:textFill>
              </w:rPr>
              <w:t>分</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0.377</w:t>
            </w:r>
            <w:r>
              <w:rPr>
                <w:rFonts w:hint="default" w:ascii="Times New Roman" w:hAnsi="Times New Roman" w:cs="Times New Roman"/>
                <w:color w:val="000000" w:themeColor="text1"/>
                <w:sz w:val="24"/>
                <w:szCs w:val="24"/>
                <w14:textFill>
                  <w14:solidFill>
                    <w14:schemeClr w14:val="tx1"/>
                  </w14:solidFill>
                </w14:textFill>
              </w:rPr>
              <w:t>秒</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p>
        </w:tc>
      </w:tr>
      <w:tr w14:paraId="1FFE32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44" w:type="dxa"/>
            <w:gridSpan w:val="2"/>
            <w:tcBorders>
              <w:tl2br w:val="nil"/>
              <w:tr2bl w:val="nil"/>
            </w:tcBorders>
            <w:noWrap w:val="0"/>
            <w:tcMar>
              <w:top w:w="16" w:type="dxa"/>
              <w:left w:w="16" w:type="dxa"/>
              <w:right w:w="16" w:type="dxa"/>
            </w:tcMar>
            <w:vAlign w:val="center"/>
          </w:tcPr>
          <w:p w14:paraId="25009079">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国民经济</w:t>
            </w:r>
          </w:p>
          <w:p w14:paraId="1746D30B">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行业类别</w:t>
            </w:r>
          </w:p>
        </w:tc>
        <w:tc>
          <w:tcPr>
            <w:tcW w:w="2466" w:type="dxa"/>
            <w:tcBorders>
              <w:tl2br w:val="nil"/>
              <w:tr2bl w:val="nil"/>
            </w:tcBorders>
            <w:shd w:val="clear" w:color="auto" w:fill="auto"/>
            <w:noWrap w:val="0"/>
            <w:vAlign w:val="center"/>
          </w:tcPr>
          <w:p w14:paraId="20F82239">
            <w:pPr>
              <w:adjustRightInd w:val="0"/>
              <w:snapToGrid w:val="0"/>
              <w:jc w:val="cente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D4430</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热力生产和供应 </w:t>
            </w:r>
          </w:p>
          <w:p w14:paraId="47C4ECB4">
            <w:pPr>
              <w:adjustRightInd w:val="0"/>
              <w:snapToGrid w:val="0"/>
              <w:jc w:val="cente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C137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蔬菜加工</w:t>
            </w:r>
          </w:p>
          <w:p w14:paraId="2E7E3623">
            <w:pPr>
              <w:adjustRightInd w:val="0"/>
              <w:snapToGrid w:val="0"/>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C137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3 </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水果和坚果加工</w:t>
            </w:r>
          </w:p>
        </w:tc>
        <w:tc>
          <w:tcPr>
            <w:tcW w:w="2262" w:type="dxa"/>
            <w:tcBorders>
              <w:tl2br w:val="nil"/>
              <w:tr2bl w:val="nil"/>
            </w:tcBorders>
            <w:shd w:val="clear" w:color="auto" w:fill="auto"/>
            <w:noWrap w:val="0"/>
            <w:vAlign w:val="center"/>
          </w:tcPr>
          <w:p w14:paraId="2561E15D">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建设项目</w:t>
            </w:r>
          </w:p>
          <w:p w14:paraId="6A9B7F33">
            <w:pPr>
              <w:adjustRightInd w:val="0"/>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行业类别</w:t>
            </w:r>
          </w:p>
        </w:tc>
        <w:tc>
          <w:tcPr>
            <w:tcW w:w="2699" w:type="dxa"/>
            <w:tcBorders>
              <w:tl2br w:val="nil"/>
              <w:tr2bl w:val="nil"/>
            </w:tcBorders>
            <w:shd w:val="clear" w:color="auto" w:fill="auto"/>
            <w:noWrap w:val="0"/>
            <w:vAlign w:val="center"/>
          </w:tcPr>
          <w:p w14:paraId="03F2E58D">
            <w:pPr>
              <w:keepNext w:val="0"/>
              <w:keepLines w:val="0"/>
              <w:pageBreakBefore w:val="0"/>
              <w:widowControl w:val="0"/>
              <w:kinsoku/>
              <w:wordWrap/>
              <w:overflowPunct/>
              <w:topLinePunct w:val="0"/>
              <w:autoSpaceDE/>
              <w:autoSpaceDN/>
              <w:bidi w:val="0"/>
              <w:adjustRightInd w:val="0"/>
              <w:snapToGrid w:val="0"/>
              <w:ind w:left="42" w:leftChars="20" w:right="42" w:rightChars="2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四十一、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91</w:t>
            </w:r>
            <w:r>
              <w:rPr>
                <w:rFonts w:hint="default" w:ascii="宋体" w:hAnsi="宋体" w:eastAsia="宋体" w:cs="宋体"/>
                <w:color w:val="000000" w:themeColor="text1"/>
                <w:sz w:val="24"/>
                <w:szCs w:val="24"/>
                <w:lang w:val="en-US" w:eastAsia="zh-CN"/>
                <w14:textFill>
                  <w14:solidFill>
                    <w14:schemeClr w14:val="tx1"/>
                  </w14:solidFill>
                </w14:textFill>
              </w:rPr>
              <w:t>热力生产和供应工程（包括建设单位自建自用的供热工程）</w:t>
            </w:r>
          </w:p>
        </w:tc>
      </w:tr>
      <w:tr w14:paraId="67E41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0220682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建设性质</w:t>
            </w:r>
          </w:p>
        </w:tc>
        <w:tc>
          <w:tcPr>
            <w:tcW w:w="2466" w:type="dxa"/>
            <w:tcBorders>
              <w:tl2br w:val="nil"/>
              <w:tr2bl w:val="nil"/>
            </w:tcBorders>
            <w:noWrap w:val="0"/>
            <w:vAlign w:val="center"/>
          </w:tcPr>
          <w:p w14:paraId="5437E38C">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sym w:font="Wingdings 2" w:char="00A3"/>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新建（迁建）</w:t>
            </w:r>
          </w:p>
          <w:p w14:paraId="65DA7851">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改建</w:t>
            </w:r>
          </w:p>
          <w:p w14:paraId="12288CE6">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扩建</w:t>
            </w:r>
          </w:p>
          <w:p w14:paraId="1C7DE521">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技术改造</w:t>
            </w:r>
          </w:p>
        </w:tc>
        <w:tc>
          <w:tcPr>
            <w:tcW w:w="2262" w:type="dxa"/>
            <w:tcBorders>
              <w:tl2br w:val="nil"/>
              <w:tr2bl w:val="nil"/>
            </w:tcBorders>
            <w:noWrap w:val="0"/>
            <w:vAlign w:val="center"/>
          </w:tcPr>
          <w:p w14:paraId="5FFBA084">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w:t>
            </w:r>
          </w:p>
          <w:p w14:paraId="448545F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申报情形</w:t>
            </w:r>
          </w:p>
        </w:tc>
        <w:tc>
          <w:tcPr>
            <w:tcW w:w="2699" w:type="dxa"/>
            <w:tcBorders>
              <w:tl2br w:val="nil"/>
              <w:tr2bl w:val="nil"/>
            </w:tcBorders>
            <w:noWrap w:val="0"/>
            <w:vAlign w:val="center"/>
          </w:tcPr>
          <w:p w14:paraId="2286CBE0">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首次申报</w:t>
            </w:r>
            <w:r>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t>项目</w:t>
            </w:r>
          </w:p>
          <w:p w14:paraId="7D90B1B8">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不予批准后再次申报项目</w:t>
            </w:r>
          </w:p>
          <w:p w14:paraId="23E19149">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 xml:space="preserve">超五年重新审核项目     </w:t>
            </w:r>
          </w:p>
          <w:p w14:paraId="60821619">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重大变动重新报批项目</w:t>
            </w:r>
          </w:p>
        </w:tc>
      </w:tr>
      <w:tr w14:paraId="45464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57C505D0">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项目审批（核准/备案）部门（选填）</w:t>
            </w:r>
          </w:p>
        </w:tc>
        <w:tc>
          <w:tcPr>
            <w:tcW w:w="2466" w:type="dxa"/>
            <w:tcBorders>
              <w:tl2br w:val="nil"/>
              <w:tr2bl w:val="nil"/>
            </w:tcBorders>
            <w:noWrap w:val="0"/>
            <w:vAlign w:val="center"/>
          </w:tcPr>
          <w:p w14:paraId="61D0CEE9">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宿州市高新技术产业开发区经济与科技局</w:t>
            </w:r>
          </w:p>
        </w:tc>
        <w:tc>
          <w:tcPr>
            <w:tcW w:w="2262" w:type="dxa"/>
            <w:tcBorders>
              <w:tl2br w:val="nil"/>
              <w:tr2bl w:val="nil"/>
            </w:tcBorders>
            <w:noWrap w:val="0"/>
            <w:vAlign w:val="center"/>
          </w:tcPr>
          <w:p w14:paraId="7A8AB11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项目审批（核准/</w:t>
            </w:r>
          </w:p>
          <w:p w14:paraId="2A38E4E1">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备案）文号（选填）</w:t>
            </w:r>
          </w:p>
        </w:tc>
        <w:tc>
          <w:tcPr>
            <w:tcW w:w="2699" w:type="dxa"/>
            <w:tcBorders>
              <w:tl2br w:val="nil"/>
              <w:tr2bl w:val="nil"/>
            </w:tcBorders>
            <w:noWrap w:val="0"/>
            <w:vAlign w:val="center"/>
          </w:tcPr>
          <w:p w14:paraId="4D1B103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r>
      <w:tr w14:paraId="343E7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05BE3819">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总投资（万元）</w:t>
            </w:r>
          </w:p>
        </w:tc>
        <w:tc>
          <w:tcPr>
            <w:tcW w:w="2466" w:type="dxa"/>
            <w:tcBorders>
              <w:tl2br w:val="nil"/>
              <w:tr2bl w:val="nil"/>
            </w:tcBorders>
            <w:noWrap w:val="0"/>
            <w:vAlign w:val="center"/>
          </w:tcPr>
          <w:p w14:paraId="1952671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3000</w:t>
            </w:r>
          </w:p>
        </w:tc>
        <w:tc>
          <w:tcPr>
            <w:tcW w:w="2262" w:type="dxa"/>
            <w:tcBorders>
              <w:tl2br w:val="nil"/>
              <w:tr2bl w:val="nil"/>
            </w:tcBorders>
            <w:noWrap w:val="0"/>
            <w:tcMar>
              <w:top w:w="16" w:type="dxa"/>
              <w:left w:w="16" w:type="dxa"/>
              <w:right w:w="16" w:type="dxa"/>
            </w:tcMar>
            <w:vAlign w:val="center"/>
          </w:tcPr>
          <w:p w14:paraId="57AD169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环保投资（万元）</w:t>
            </w:r>
          </w:p>
        </w:tc>
        <w:tc>
          <w:tcPr>
            <w:tcW w:w="2699" w:type="dxa"/>
            <w:tcBorders>
              <w:tl2br w:val="nil"/>
              <w:tr2bl w:val="nil"/>
            </w:tcBorders>
            <w:noWrap w:val="0"/>
            <w:vAlign w:val="center"/>
          </w:tcPr>
          <w:p w14:paraId="477A71D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100</w:t>
            </w:r>
          </w:p>
        </w:tc>
      </w:tr>
      <w:tr w14:paraId="3C156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1359AD0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环保投资占比</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w:t>
            </w:r>
          </w:p>
        </w:tc>
        <w:tc>
          <w:tcPr>
            <w:tcW w:w="2466" w:type="dxa"/>
            <w:tcBorders>
              <w:tl2br w:val="nil"/>
              <w:tr2bl w:val="nil"/>
            </w:tcBorders>
            <w:noWrap w:val="0"/>
            <w:vAlign w:val="center"/>
          </w:tcPr>
          <w:p w14:paraId="3BC8C42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3.33</w:t>
            </w:r>
          </w:p>
        </w:tc>
        <w:tc>
          <w:tcPr>
            <w:tcW w:w="2262" w:type="dxa"/>
            <w:tcBorders>
              <w:tl2br w:val="nil"/>
              <w:tr2bl w:val="nil"/>
            </w:tcBorders>
            <w:noWrap w:val="0"/>
            <w:tcMar>
              <w:top w:w="16" w:type="dxa"/>
              <w:left w:w="16" w:type="dxa"/>
              <w:right w:w="16" w:type="dxa"/>
            </w:tcMar>
            <w:vAlign w:val="center"/>
          </w:tcPr>
          <w:p w14:paraId="136B6D0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施工工期</w:t>
            </w:r>
          </w:p>
        </w:tc>
        <w:tc>
          <w:tcPr>
            <w:tcW w:w="2699" w:type="dxa"/>
            <w:tcBorders>
              <w:tl2br w:val="nil"/>
              <w:tr2bl w:val="nil"/>
            </w:tcBorders>
            <w:noWrap w:val="0"/>
            <w:vAlign w:val="center"/>
          </w:tcPr>
          <w:p w14:paraId="06E8FBF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3个月</w:t>
            </w:r>
          </w:p>
        </w:tc>
      </w:tr>
      <w:tr w14:paraId="6CD4E9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44" w:type="dxa"/>
            <w:gridSpan w:val="2"/>
            <w:tcBorders>
              <w:tl2br w:val="nil"/>
              <w:tr2bl w:val="nil"/>
            </w:tcBorders>
            <w:noWrap w:val="0"/>
            <w:tcMar>
              <w:top w:w="16" w:type="dxa"/>
              <w:left w:w="16" w:type="dxa"/>
              <w:right w:w="16" w:type="dxa"/>
            </w:tcMar>
            <w:vAlign w:val="center"/>
          </w:tcPr>
          <w:p w14:paraId="7E9285E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是否开工建设</w:t>
            </w:r>
          </w:p>
        </w:tc>
        <w:tc>
          <w:tcPr>
            <w:tcW w:w="2466" w:type="dxa"/>
            <w:tcBorders>
              <w:tl2br w:val="nil"/>
              <w:tr2bl w:val="nil"/>
            </w:tcBorders>
            <w:noWrap w:val="0"/>
            <w:vAlign w:val="center"/>
          </w:tcPr>
          <w:p w14:paraId="28452C14">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否</w:t>
            </w:r>
          </w:p>
          <w:p w14:paraId="7097E4FF">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是</w:t>
            </w:r>
            <w:r>
              <w:rPr>
                <w:rFonts w:hint="default"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u w:val="single"/>
                <w:lang w:val="en-US" w:eastAsia="zh-CN"/>
                <w14:textFill>
                  <w14:solidFill>
                    <w14:schemeClr w14:val="tx1"/>
                  </w14:solidFill>
                </w14:textFill>
              </w:rPr>
              <w:t xml:space="preserve">      </w:t>
            </w:r>
          </w:p>
        </w:tc>
        <w:tc>
          <w:tcPr>
            <w:tcW w:w="2262" w:type="dxa"/>
            <w:tcBorders>
              <w:tl2br w:val="nil"/>
              <w:tr2bl w:val="nil"/>
            </w:tcBorders>
            <w:noWrap w:val="0"/>
            <w:tcMar>
              <w:top w:w="16" w:type="dxa"/>
              <w:left w:w="16" w:type="dxa"/>
              <w:right w:w="16" w:type="dxa"/>
            </w:tcMar>
            <w:vAlign w:val="center"/>
          </w:tcPr>
          <w:p w14:paraId="0411853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用地（用海）</w:t>
            </w:r>
          </w:p>
          <w:p w14:paraId="3DB797EF">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面积（m</w:t>
            </w:r>
            <w:r>
              <w:rPr>
                <w:rFonts w:hint="default" w:ascii="Times New Roman" w:hAnsi="Times New Roman" w:eastAsia="宋体" w:cs="Times New Roman"/>
                <w:b w:val="0"/>
                <w:bCs w:val="0"/>
                <w:snapToGrid/>
                <w:color w:val="000000" w:themeColor="text1"/>
                <w:spacing w:val="0"/>
                <w:kern w:val="0"/>
                <w:position w:val="0"/>
                <w:sz w:val="24"/>
                <w:szCs w:val="24"/>
                <w:vertAlign w:val="superscript"/>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w:t>
            </w:r>
          </w:p>
        </w:tc>
        <w:tc>
          <w:tcPr>
            <w:tcW w:w="2699" w:type="dxa"/>
            <w:tcBorders>
              <w:tl2br w:val="nil"/>
              <w:tr2bl w:val="nil"/>
            </w:tcBorders>
            <w:noWrap w:val="0"/>
            <w:vAlign w:val="center"/>
          </w:tcPr>
          <w:p w14:paraId="652994D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6000</w:t>
            </w:r>
          </w:p>
        </w:tc>
      </w:tr>
      <w:tr w14:paraId="3096BC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44" w:type="dxa"/>
            <w:gridSpan w:val="2"/>
            <w:tcBorders>
              <w:tl2br w:val="nil"/>
              <w:tr2bl w:val="nil"/>
            </w:tcBorders>
            <w:noWrap w:val="0"/>
            <w:vAlign w:val="center"/>
          </w:tcPr>
          <w:p w14:paraId="339B9B0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专项评价设置情况</w:t>
            </w:r>
          </w:p>
        </w:tc>
        <w:tc>
          <w:tcPr>
            <w:tcW w:w="7427" w:type="dxa"/>
            <w:gridSpan w:val="3"/>
            <w:tcBorders>
              <w:tl2br w:val="nil"/>
              <w:tr2bl w:val="nil"/>
            </w:tcBorders>
            <w:noWrap w:val="0"/>
            <w:vAlign w:val="center"/>
          </w:tcPr>
          <w:p w14:paraId="73189C9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无</w:t>
            </w:r>
          </w:p>
        </w:tc>
      </w:tr>
      <w:tr w14:paraId="7E5B21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44" w:type="dxa"/>
            <w:gridSpan w:val="2"/>
            <w:tcBorders>
              <w:tl2br w:val="nil"/>
              <w:tr2bl w:val="nil"/>
            </w:tcBorders>
            <w:noWrap w:val="0"/>
            <w:vAlign w:val="center"/>
          </w:tcPr>
          <w:p w14:paraId="35E581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规划情况</w:t>
            </w:r>
          </w:p>
        </w:tc>
        <w:tc>
          <w:tcPr>
            <w:tcW w:w="7427" w:type="dxa"/>
            <w:gridSpan w:val="3"/>
            <w:tcBorders>
              <w:tl2br w:val="nil"/>
              <w:tr2bl w:val="nil"/>
            </w:tcBorders>
            <w:noWrap w:val="0"/>
            <w:vAlign w:val="center"/>
          </w:tcPr>
          <w:p w14:paraId="789B8A9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t>规划名称：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安徽宿州高新技术产业开发区总体发展规划（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w:t>
            </w:r>
          </w:p>
        </w:tc>
      </w:tr>
      <w:tr w14:paraId="0873E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44" w:type="dxa"/>
            <w:gridSpan w:val="2"/>
            <w:tcBorders>
              <w:tl2br w:val="nil"/>
              <w:tr2bl w:val="nil"/>
            </w:tcBorders>
            <w:noWrap w:val="0"/>
            <w:vAlign w:val="center"/>
          </w:tcPr>
          <w:p w14:paraId="6BF38C9D">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规划环境影响评价情况</w:t>
            </w:r>
          </w:p>
        </w:tc>
        <w:tc>
          <w:tcPr>
            <w:tcW w:w="7427" w:type="dxa"/>
            <w:gridSpan w:val="3"/>
            <w:tcBorders>
              <w:tl2br w:val="nil"/>
              <w:tr2bl w:val="nil"/>
            </w:tcBorders>
            <w:noWrap w:val="0"/>
            <w:vAlign w:val="center"/>
          </w:tcPr>
          <w:p w14:paraId="5C6AD874">
            <w:pPr>
              <w:keepNext w:val="0"/>
              <w:keepLines w:val="0"/>
              <w:pageBreakBefore w:val="0"/>
              <w:widowControl/>
              <w:suppressLineNumbers w:val="0"/>
              <w:kinsoku/>
              <w:wordWrap/>
              <w:overflowPunct/>
              <w:topLinePunct w:val="0"/>
              <w:bidi w:val="0"/>
              <w:adjustRightInd w:val="0"/>
              <w:snapToGrid w:val="0"/>
              <w:spacing w:line="360" w:lineRule="auto"/>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规划环境影响评价文件名称：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《安徽宿州高新技术产业开发区总体发展规划（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年）环境影响报告书》</w:t>
            </w:r>
          </w:p>
          <w:p w14:paraId="41EE06A1">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审查机关：</w:t>
            </w:r>
            <w:r>
              <w:rPr>
                <w:rFonts w:hint="eastAsia" w:ascii="宋体" w:hAnsi="宋体" w:cs="宋体"/>
                <w:color w:val="000000" w:themeColor="text1"/>
                <w:kern w:val="0"/>
                <w:sz w:val="24"/>
                <w:szCs w:val="24"/>
                <w:lang w:eastAsia="zh-CN"/>
                <w14:textFill>
                  <w14:solidFill>
                    <w14:schemeClr w14:val="tx1"/>
                  </w14:solidFill>
                </w14:textFill>
              </w:rPr>
              <w:t>宿州市生态环境局</w:t>
            </w:r>
          </w:p>
          <w:p w14:paraId="792F81F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审查文件名称及文号：</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《关于&lt;安徽宿州埇桥经济开发区总体发展规划环境影响报告书&gt;审查意见的函》（宿环函【2024】57号，宿州市生态环境局，2024年07月04日）</w:t>
            </w:r>
          </w:p>
        </w:tc>
      </w:tr>
      <w:tr w14:paraId="599E4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6" w:type="dxa"/>
            <w:tcBorders>
              <w:tl2br w:val="nil"/>
              <w:tr2bl w:val="nil"/>
            </w:tcBorders>
            <w:noWrap w:val="0"/>
            <w:vAlign w:val="center"/>
          </w:tcPr>
          <w:p w14:paraId="0A9EBA0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规划及规划环境影响评价符合性分析</w:t>
            </w:r>
          </w:p>
        </w:tc>
        <w:tc>
          <w:tcPr>
            <w:tcW w:w="8485" w:type="dxa"/>
            <w:gridSpan w:val="4"/>
            <w:tcBorders>
              <w:tl2br w:val="nil"/>
              <w:tr2bl w:val="nil"/>
            </w:tcBorders>
            <w:noWrap w:val="0"/>
            <w:vAlign w:val="center"/>
          </w:tcPr>
          <w:p w14:paraId="0E54225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b/>
                <w:bCs w:val="0"/>
                <w:color w:val="000000" w:themeColor="text1"/>
                <w14:textFill>
                  <w14:solidFill>
                    <w14:schemeClr w14:val="tx1"/>
                  </w14:solidFill>
                </w14:textFill>
              </w:rPr>
            </w:pPr>
            <w:r>
              <w:rPr>
                <w:rFonts w:hint="eastAsia" w:cs="Times New Roman"/>
                <w:b/>
                <w:bCs w:val="0"/>
                <w:color w:val="000000" w:themeColor="text1"/>
                <w:sz w:val="24"/>
                <w:szCs w:val="24"/>
                <w:lang w:val="en-US" w:eastAsia="zh-CN"/>
                <w14:textFill>
                  <w14:solidFill>
                    <w14:schemeClr w14:val="tx1"/>
                  </w14:solidFill>
                </w14:textFill>
              </w:rPr>
              <w:t>1、</w:t>
            </w: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规划范围与面积</w:t>
            </w:r>
          </w:p>
          <w:p w14:paraId="46BC77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安徽宿州高新技术产业开发区总面积</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1762.6982</w:t>
            </w:r>
            <w:r>
              <w:rPr>
                <w:rFonts w:hint="eastAsia" w:ascii="宋体" w:hAnsi="宋体" w:eastAsia="宋体" w:cs="宋体"/>
                <w:color w:val="000000" w:themeColor="text1"/>
                <w:kern w:val="0"/>
                <w:sz w:val="24"/>
                <w:szCs w:val="24"/>
                <w:lang w:val="en-US" w:eastAsia="zh-CN" w:bidi="ar"/>
                <w14:textFill>
                  <w14:solidFill>
                    <w14:schemeClr w14:val="tx1"/>
                  </w14:solidFill>
                </w14:textFill>
              </w:rPr>
              <w:t>公顷，按照一区两园布置，包括高新园区片区和埇桥经开区片区。</w:t>
            </w:r>
          </w:p>
          <w:p w14:paraId="3A7F83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高新园区片区位于宿州市西北方向的汴北新区，规划面积为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668.2637</w:t>
            </w:r>
            <w:r>
              <w:rPr>
                <w:rFonts w:hint="eastAsia" w:ascii="宋体" w:hAnsi="宋体" w:eastAsia="宋体" w:cs="宋体"/>
                <w:color w:val="000000" w:themeColor="text1"/>
                <w:kern w:val="0"/>
                <w:sz w:val="24"/>
                <w:szCs w:val="24"/>
                <w:lang w:val="en-US" w:eastAsia="zh-CN" w:bidi="ar"/>
                <w14:textFill>
                  <w14:solidFill>
                    <w14:schemeClr w14:val="tx1"/>
                  </w14:solidFill>
                </w14:textFill>
              </w:rPr>
              <w:t>公顷，四至范围为：东至汇源大道，南至唐河路，西至京台高速，北至泗许高速。</w:t>
            </w:r>
          </w:p>
          <w:p w14:paraId="7F0AAC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埇桥经开区片区位于埇桥区曹村镇，毗邻徐州市，以吸引徐州企业投资为主，规划面积</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1094.4345</w:t>
            </w:r>
            <w:r>
              <w:rPr>
                <w:rFonts w:hint="eastAsia" w:ascii="宋体" w:hAnsi="宋体" w:eastAsia="宋体" w:cs="宋体"/>
                <w:color w:val="000000" w:themeColor="text1"/>
                <w:kern w:val="0"/>
                <w:sz w:val="24"/>
                <w:szCs w:val="24"/>
                <w:lang w:val="en-US" w:eastAsia="zh-CN" w:bidi="ar"/>
                <w14:textFill>
                  <w14:solidFill>
                    <w14:schemeClr w14:val="tx1"/>
                  </w14:solidFill>
                </w14:textFill>
              </w:rPr>
              <w:t>公顷，四至范围为：北至市界，南至望洲河，西至</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S407</w:t>
            </w:r>
            <w:r>
              <w:rPr>
                <w:rFonts w:hint="eastAsia" w:ascii="宋体" w:hAnsi="宋体" w:eastAsia="宋体" w:cs="宋体"/>
                <w:color w:val="000000" w:themeColor="text1"/>
                <w:kern w:val="0"/>
                <w:sz w:val="24"/>
                <w:szCs w:val="24"/>
                <w:lang w:val="en-US" w:eastAsia="zh-CN" w:bidi="ar"/>
                <w14:textFill>
                  <w14:solidFill>
                    <w14:schemeClr w14:val="tx1"/>
                  </w14:solidFill>
                </w14:textFill>
              </w:rPr>
              <w:t>省道，东至迎宾大道。</w:t>
            </w:r>
          </w:p>
          <w:p w14:paraId="382F76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b/>
                <w:bCs/>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、规划期限</w:t>
            </w:r>
          </w:p>
          <w:p w14:paraId="65F7F61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本轮规划的期限为：近期：</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2023~2025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年，远期：</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2026-2035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w:t>
            </w:r>
          </w:p>
          <w:p w14:paraId="60C134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b/>
                <w:bCs/>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、功能定位 </w:t>
            </w:r>
          </w:p>
          <w:p w14:paraId="0FA369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切实促改革、转方式，以“专用设备制造业；互联网和相关服务业；计算机、通信和其他电子设备制造业”为主导产业，加快形成信息技术、互联网服务为重点的新一代信息技术产业为先导，电子设备、工程机械装备等先进制造业为主体，现代服务业、绿色家居产业等为支撑的现代产业新体系，使高新区经济转入效率提升、创新驱动的轨道。</w:t>
            </w:r>
          </w:p>
          <w:p w14:paraId="76D656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本项目位于</w:t>
            </w:r>
            <w:r>
              <w:rPr>
                <w:rFonts w:hint="eastAsia" w:ascii="Times New Roman" w:hAnsi="Times New Roman" w:cs="Times New Roman"/>
                <w:color w:val="000000" w:themeColor="text1"/>
                <w:sz w:val="24"/>
                <w:szCs w:val="24"/>
                <w:lang w:val="en-US" w:eastAsia="zh-CN"/>
                <w14:textFill>
                  <w14:solidFill>
                    <w14:schemeClr w14:val="tx1"/>
                  </w14:solidFill>
                </w14:textFill>
              </w:rPr>
              <w:t>宿州市高新技术产业开发区拂晓大道9号</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，项目属于蔬菜、菌类、水果和坚果加工</w:t>
            </w:r>
            <w:r>
              <w:rPr>
                <w:rFonts w:hint="eastAsia" w:cs="Times New Roman"/>
                <w:color w:val="000000" w:themeColor="text1"/>
                <w:kern w:val="0"/>
                <w:sz w:val="24"/>
                <w:szCs w:val="24"/>
                <w:lang w:val="en-US" w:eastAsia="zh-CN" w:bidi="ar"/>
                <w14:textFill>
                  <w14:solidFill>
                    <w14:schemeClr w14:val="tx1"/>
                  </w14:solidFill>
                </w14:textFill>
              </w:rPr>
              <w:t>，符合</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安徽宿州高新技术产业开发区的规划定位</w:t>
            </w:r>
            <w:r>
              <w:rPr>
                <w:rFonts w:hint="eastAsia" w:ascii="宋体" w:hAnsi="宋体" w:cs="宋体"/>
                <w:color w:val="000000" w:themeColor="text1"/>
                <w:kern w:val="0"/>
                <w:sz w:val="24"/>
                <w:szCs w:val="24"/>
                <w:lang w:val="en-US" w:eastAsia="zh-CN" w:bidi="ar"/>
                <w14:textFill>
                  <w14:solidFill>
                    <w14:schemeClr w14:val="tx1"/>
                  </w14:solidFill>
                </w14:textFill>
              </w:rPr>
              <w:t>。</w:t>
            </w:r>
          </w:p>
          <w:p w14:paraId="553B1DD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4、规划环境影响评价符合性分析</w:t>
            </w:r>
          </w:p>
          <w:p w14:paraId="1D0CCA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（1）与</w:t>
            </w:r>
            <w:r>
              <w:rPr>
                <w:rFonts w:hint="eastAsia" w:ascii="宋体" w:hAnsi="宋体" w:eastAsia="宋体" w:cs="宋体"/>
                <w:color w:val="000000" w:themeColor="text1"/>
                <w:kern w:val="0"/>
                <w:sz w:val="24"/>
                <w:szCs w:val="24"/>
                <w:lang w:val="en-US" w:eastAsia="zh-CN" w:bidi="ar"/>
                <w14:textFill>
                  <w14:solidFill>
                    <w14:schemeClr w14:val="tx1"/>
                  </w14:solidFill>
                </w14:textFill>
              </w:rPr>
              <w:t>《安徽宿州高新技术产业开发区总体发展规划（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2023-2035</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年）环境影响报告书》，环境准入清单</w:t>
            </w:r>
            <w:r>
              <w:rPr>
                <w:rFonts w:hint="eastAsia" w:ascii="宋体" w:hAnsi="宋体" w:cs="宋体"/>
                <w:color w:val="000000" w:themeColor="text1"/>
                <w:kern w:val="0"/>
                <w:sz w:val="24"/>
                <w:szCs w:val="24"/>
                <w:lang w:val="en-US" w:eastAsia="zh-CN" w:bidi="ar"/>
                <w14:textFill>
                  <w14:solidFill>
                    <w14:schemeClr w14:val="tx1"/>
                  </w14:solidFill>
                </w14:textFill>
              </w:rPr>
              <w:t>相符性分析</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35EE85E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表1.1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宿州高新技术产业开发区产业准入条件一览表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915"/>
              <w:gridCol w:w="1695"/>
              <w:gridCol w:w="1860"/>
              <w:gridCol w:w="2828"/>
            </w:tblGrid>
            <w:tr w14:paraId="0DA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46F3233D">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清单类型</w:t>
                  </w:r>
                </w:p>
              </w:tc>
              <w:tc>
                <w:tcPr>
                  <w:tcW w:w="915" w:type="dxa"/>
                  <w:noWrap w:val="0"/>
                  <w:textDirection w:val="tbLrV"/>
                  <w:vAlign w:val="center"/>
                </w:tcPr>
                <w:p w14:paraId="4BC8793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管控类别</w:t>
                  </w:r>
                </w:p>
              </w:tc>
              <w:tc>
                <w:tcPr>
                  <w:tcW w:w="1695" w:type="dxa"/>
                  <w:noWrap w:val="0"/>
                  <w:vAlign w:val="center"/>
                </w:tcPr>
                <w:p w14:paraId="208FFC5E">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主导产业</w:t>
                  </w:r>
                </w:p>
              </w:tc>
              <w:tc>
                <w:tcPr>
                  <w:tcW w:w="1860" w:type="dxa"/>
                  <w:noWrap w:val="0"/>
                  <w:vAlign w:val="center"/>
                </w:tcPr>
                <w:p w14:paraId="7CE9DE0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行业类别</w:t>
                  </w:r>
                </w:p>
              </w:tc>
              <w:tc>
                <w:tcPr>
                  <w:tcW w:w="2828" w:type="dxa"/>
                  <w:noWrap w:val="0"/>
                  <w:vAlign w:val="center"/>
                </w:tcPr>
                <w:p w14:paraId="5B3C2E3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备注</w:t>
                  </w:r>
                </w:p>
              </w:tc>
            </w:tr>
            <w:tr w14:paraId="54B8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noWrap w:val="0"/>
                  <w:vAlign w:val="center"/>
                </w:tcPr>
                <w:p w14:paraId="6CE22ADA">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产业准入要求</w:t>
                  </w:r>
                </w:p>
              </w:tc>
              <w:tc>
                <w:tcPr>
                  <w:tcW w:w="915" w:type="dxa"/>
                  <w:vMerge w:val="restart"/>
                  <w:noWrap w:val="0"/>
                  <w:textDirection w:val="tbLrV"/>
                  <w:vAlign w:val="center"/>
                </w:tcPr>
                <w:p w14:paraId="326A163D">
                  <w:pPr>
                    <w:keepNext w:val="0"/>
                    <w:keepLines w:val="0"/>
                    <w:pageBreakBefore w:val="0"/>
                    <w:kinsoku/>
                    <w:wordWrap/>
                    <w:overflowPunct/>
                    <w:topLinePunct w:val="0"/>
                    <w:autoSpaceDE/>
                    <w:autoSpaceDN/>
                    <w:bidi w:val="0"/>
                    <w:adjustRightInd w:val="0"/>
                    <w:snapToGrid w:val="0"/>
                    <w:ind w:left="0" w:right="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鼓励类</w:t>
                  </w:r>
                </w:p>
              </w:tc>
              <w:tc>
                <w:tcPr>
                  <w:tcW w:w="1695" w:type="dxa"/>
                  <w:noWrap w:val="0"/>
                  <w:vAlign w:val="center"/>
                </w:tcPr>
                <w:p w14:paraId="70D3196F">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专用设备制造</w:t>
                  </w:r>
                </w:p>
              </w:tc>
              <w:tc>
                <w:tcPr>
                  <w:tcW w:w="1860" w:type="dxa"/>
                  <w:noWrap w:val="0"/>
                  <w:vAlign w:val="center"/>
                </w:tcPr>
                <w:p w14:paraId="780225E7">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w:t>
                  </w:r>
                  <w:r>
                    <w:rPr>
                      <w:rFonts w:hint="eastAsia" w:ascii="宋体" w:hAnsi="宋体" w:eastAsia="宋体" w:cs="宋体"/>
                      <w:color w:val="000000" w:themeColor="text1"/>
                      <w:kern w:val="0"/>
                      <w:sz w:val="21"/>
                      <w:szCs w:val="21"/>
                      <w:lang w:val="en-US" w:eastAsia="zh-CN" w:bidi="ar"/>
                      <w14:textFill>
                        <w14:solidFill>
                          <w14:schemeClr w14:val="tx1"/>
                        </w14:solidFill>
                      </w14:textFill>
                    </w:rPr>
                    <w:t>专用设备制造业</w:t>
                  </w:r>
                </w:p>
              </w:tc>
              <w:tc>
                <w:tcPr>
                  <w:tcW w:w="2828" w:type="dxa"/>
                  <w:noWrap w:val="0"/>
                  <w:vAlign w:val="center"/>
                </w:tcPr>
                <w:p w14:paraId="2CB94F6F">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C351</w:t>
                  </w:r>
                  <w:r>
                    <w:rPr>
                      <w:rFonts w:hint="eastAsia" w:ascii="宋体" w:hAnsi="宋体" w:eastAsia="宋体" w:cs="宋体"/>
                      <w:color w:val="000000" w:themeColor="text1"/>
                      <w:kern w:val="0"/>
                      <w:sz w:val="21"/>
                      <w:szCs w:val="21"/>
                      <w:lang w:val="en-US" w:eastAsia="zh-CN" w:bidi="ar"/>
                      <w14:textFill>
                        <w14:solidFill>
                          <w14:schemeClr w14:val="tx1"/>
                        </w14:solidFill>
                      </w14:textFill>
                    </w:rPr>
                    <w:t>采矿、冶金、建筑专用设备制造、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C356</w:t>
                  </w:r>
                  <w:r>
                    <w:rPr>
                      <w:rFonts w:hint="eastAsia" w:ascii="宋体" w:hAnsi="宋体" w:eastAsia="宋体" w:cs="宋体"/>
                      <w:color w:val="000000" w:themeColor="text1"/>
                      <w:kern w:val="0"/>
                      <w:sz w:val="21"/>
                      <w:szCs w:val="21"/>
                      <w:lang w:val="en-US" w:eastAsia="zh-CN" w:bidi="ar"/>
                      <w14:textFill>
                        <w14:solidFill>
                          <w14:schemeClr w14:val="tx1"/>
                        </w14:solidFill>
                      </w14:textFill>
                    </w:rPr>
                    <w:t>电子和电工机械专用设备制造、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C359</w:t>
                  </w:r>
                  <w:r>
                    <w:rPr>
                      <w:rFonts w:hint="eastAsia" w:ascii="宋体" w:hAnsi="宋体" w:eastAsia="宋体" w:cs="宋体"/>
                      <w:color w:val="000000" w:themeColor="text1"/>
                      <w:kern w:val="0"/>
                      <w:sz w:val="21"/>
                      <w:szCs w:val="21"/>
                      <w:lang w:val="en-US" w:eastAsia="zh-CN" w:bidi="ar"/>
                      <w14:textFill>
                        <w14:solidFill>
                          <w14:schemeClr w14:val="tx1"/>
                        </w14:solidFill>
                      </w14:textFill>
                    </w:rPr>
                    <w:t>环保、邮政、社会公共服务及其他专用设备制造</w:t>
                  </w:r>
                </w:p>
              </w:tc>
            </w:tr>
            <w:tr w14:paraId="44C2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16D0ED9D">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3147889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1695" w:type="dxa"/>
                  <w:noWrap w:val="0"/>
                  <w:vAlign w:val="center"/>
                </w:tcPr>
                <w:p w14:paraId="03D3FAE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电子设备制造业</w:t>
                  </w:r>
                </w:p>
              </w:tc>
              <w:tc>
                <w:tcPr>
                  <w:tcW w:w="1860" w:type="dxa"/>
                  <w:noWrap w:val="0"/>
                  <w:vAlign w:val="center"/>
                </w:tcPr>
                <w:p w14:paraId="6D8754B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w:t>
                  </w:r>
                  <w:r>
                    <w:rPr>
                      <w:rFonts w:hint="eastAsia" w:ascii="宋体" w:hAnsi="宋体" w:eastAsia="宋体" w:cs="宋体"/>
                      <w:color w:val="000000" w:themeColor="text1"/>
                      <w:kern w:val="0"/>
                      <w:sz w:val="21"/>
                      <w:szCs w:val="21"/>
                      <w:lang w:val="en-US" w:eastAsia="zh-CN" w:bidi="ar"/>
                      <w14:textFill>
                        <w14:solidFill>
                          <w14:schemeClr w14:val="tx1"/>
                        </w14:solidFill>
                      </w14:textFill>
                    </w:rPr>
                    <w:t>计算机、通信和其他电子设备制造业</w:t>
                  </w:r>
                </w:p>
              </w:tc>
              <w:tc>
                <w:tcPr>
                  <w:tcW w:w="2828" w:type="dxa"/>
                  <w:noWrap w:val="0"/>
                  <w:vAlign w:val="center"/>
                </w:tcPr>
                <w:p w14:paraId="5F5EA047">
                  <w:pPr>
                    <w:keepNext w:val="0"/>
                    <w:keepLines w:val="0"/>
                    <w:pageBreakBefore w:val="0"/>
                    <w:widowControl/>
                    <w:suppressLineNumbers w:val="0"/>
                    <w:kinsoku/>
                    <w:wordWrap/>
                    <w:overflowPunct/>
                    <w:topLinePunct w:val="0"/>
                    <w:autoSpaceDE/>
                    <w:autoSpaceDN/>
                    <w:bidi w:val="0"/>
                    <w:adjustRightInd w:val="0"/>
                    <w:snapToGrid w:val="0"/>
                    <w:ind w:left="0" w:right="0"/>
                    <w:jc w:val="left"/>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C392</w:t>
                  </w:r>
                  <w:r>
                    <w:rPr>
                      <w:rFonts w:hint="eastAsia" w:ascii="宋体" w:hAnsi="宋体" w:eastAsia="宋体" w:cs="宋体"/>
                      <w:color w:val="000000" w:themeColor="text1"/>
                      <w:kern w:val="0"/>
                      <w:sz w:val="21"/>
                      <w:szCs w:val="21"/>
                      <w:lang w:val="en-US" w:eastAsia="zh-CN" w:bidi="ar"/>
                      <w14:textFill>
                        <w14:solidFill>
                          <w14:schemeClr w14:val="tx1"/>
                        </w14:solidFill>
                      </w14:textFill>
                    </w:rPr>
                    <w:t>通信设备制造、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C396</w:t>
                  </w:r>
                  <w:r>
                    <w:rPr>
                      <w:rFonts w:hint="eastAsia" w:ascii="宋体" w:hAnsi="宋体" w:eastAsia="宋体" w:cs="宋体"/>
                      <w:color w:val="000000" w:themeColor="text1"/>
                      <w:kern w:val="0"/>
                      <w:sz w:val="21"/>
                      <w:szCs w:val="21"/>
                      <w:lang w:val="en-US" w:eastAsia="zh-CN" w:bidi="ar"/>
                      <w14:textFill>
                        <w14:solidFill>
                          <w14:schemeClr w14:val="tx1"/>
                        </w14:solidFill>
                      </w14:textFill>
                    </w:rPr>
                    <w:t>智能消费设备制造、</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C397</w:t>
                  </w:r>
                  <w:r>
                    <w:rPr>
                      <w:rFonts w:hint="eastAsia" w:ascii="宋体" w:hAnsi="宋体" w:eastAsia="宋体" w:cs="宋体"/>
                      <w:color w:val="000000" w:themeColor="text1"/>
                      <w:kern w:val="0"/>
                      <w:sz w:val="21"/>
                      <w:szCs w:val="21"/>
                      <w:lang w:val="en-US" w:eastAsia="zh-CN" w:bidi="ar"/>
                      <w14:textFill>
                        <w14:solidFill>
                          <w14:schemeClr w14:val="tx1"/>
                        </w14:solidFill>
                      </w14:textFill>
                    </w:rPr>
                    <w:t>电子器件制造</w:t>
                  </w:r>
                </w:p>
              </w:tc>
            </w:tr>
            <w:tr w14:paraId="6880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53133DF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761FE9CA">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1695" w:type="dxa"/>
                  <w:noWrap w:val="0"/>
                  <w:vAlign w:val="center"/>
                </w:tcPr>
                <w:p w14:paraId="04C6574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互联网和相关服务业、计算机</w:t>
                  </w:r>
                </w:p>
              </w:tc>
              <w:tc>
                <w:tcPr>
                  <w:tcW w:w="1860" w:type="dxa"/>
                  <w:noWrap w:val="0"/>
                  <w:vAlign w:val="center"/>
                </w:tcPr>
                <w:p w14:paraId="707167A5">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互联网和相关服务</w:t>
                  </w:r>
                </w:p>
              </w:tc>
              <w:tc>
                <w:tcPr>
                  <w:tcW w:w="2828" w:type="dxa"/>
                  <w:noWrap w:val="0"/>
                  <w:vAlign w:val="center"/>
                </w:tcPr>
                <w:p w14:paraId="27E6F52B">
                  <w:pPr>
                    <w:keepNext w:val="0"/>
                    <w:keepLines w:val="0"/>
                    <w:pageBreakBefore w:val="0"/>
                    <w:widowControl/>
                    <w:suppressLineNumbers w:val="0"/>
                    <w:kinsoku/>
                    <w:wordWrap/>
                    <w:overflowPunct/>
                    <w:topLinePunct w:val="0"/>
                    <w:autoSpaceDE/>
                    <w:autoSpaceDN/>
                    <w:bidi w:val="0"/>
                    <w:adjustRightInd w:val="0"/>
                    <w:snapToGrid w:val="0"/>
                    <w:ind w:left="0" w:right="0"/>
                    <w:jc w:val="left"/>
                    <w:textAlignment w:val="auto"/>
                    <w:rPr>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I641</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互联网接入及相关服务、</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I643</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互联网平台、</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I645</w:t>
                  </w:r>
                  <w:r>
                    <w:rPr>
                      <w:rFonts w:hint="eastAsia" w:ascii="宋体" w:hAnsi="宋体" w:eastAsia="宋体" w:cs="宋体"/>
                      <w:color w:val="000000" w:themeColor="text1"/>
                      <w:kern w:val="0"/>
                      <w:sz w:val="21"/>
                      <w:szCs w:val="21"/>
                      <w:lang w:val="en-US" w:eastAsia="zh-CN" w:bidi="ar"/>
                      <w14:textFill>
                        <w14:solidFill>
                          <w14:schemeClr w14:val="tx1"/>
                        </w14:solidFill>
                      </w14:textFill>
                    </w:rPr>
                    <w:t>互联网数据服务</w:t>
                  </w:r>
                </w:p>
              </w:tc>
            </w:tr>
            <w:tr w14:paraId="1B81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62D342C2">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restart"/>
                  <w:noWrap w:val="0"/>
                  <w:textDirection w:val="tbLrV"/>
                  <w:vAlign w:val="center"/>
                </w:tcPr>
                <w:p w14:paraId="2A57C3A3">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有条件准入类</w:t>
                  </w:r>
                </w:p>
              </w:tc>
              <w:tc>
                <w:tcPr>
                  <w:tcW w:w="6383" w:type="dxa"/>
                  <w:gridSpan w:val="3"/>
                  <w:noWrap w:val="0"/>
                  <w:vAlign w:val="center"/>
                </w:tcPr>
                <w:p w14:paraId="73CAD1AF">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涉及重金属总量指标项目需要落实重金属指标来源，危废处置项目需按照国家及安徽省相关管理要求严格控制引入，并经过环境影响充分论证。</w:t>
                  </w:r>
                </w:p>
              </w:tc>
            </w:tr>
            <w:tr w14:paraId="2FA5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6DC2E043">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4849D14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4ED0273A">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与主导产业相关的“两高”类项目需按照国家及安徽省相关政策要求严格控制引入，并经过环境影响充分论证。</w:t>
                  </w:r>
                </w:p>
              </w:tc>
            </w:tr>
            <w:tr w14:paraId="2B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E79E558">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noWrap w:val="0"/>
                  <w:textDirection w:val="tbLrV"/>
                  <w:vAlign w:val="center"/>
                </w:tcPr>
                <w:p w14:paraId="531F89D1">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限制类</w:t>
                  </w:r>
                </w:p>
              </w:tc>
              <w:tc>
                <w:tcPr>
                  <w:tcW w:w="6383" w:type="dxa"/>
                  <w:gridSpan w:val="3"/>
                  <w:noWrap w:val="0"/>
                  <w:vAlign w:val="center"/>
                </w:tcPr>
                <w:p w14:paraId="0AFF8A9C">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限制发展能源、资源消耗量或排污量较大但效益相对较好的企业，主要为开发区规划主导产业外、非负面清单中的项目，具体项目引入需经充分环境影响论证。</w:t>
                  </w:r>
                </w:p>
              </w:tc>
            </w:tr>
            <w:tr w14:paraId="75E5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0DA0DFED">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restart"/>
                  <w:noWrap w:val="0"/>
                  <w:textDirection w:val="tbLrV"/>
                  <w:vAlign w:val="center"/>
                </w:tcPr>
                <w:p w14:paraId="2C65A35B">
                  <w:pPr>
                    <w:keepNext w:val="0"/>
                    <w:keepLines w:val="0"/>
                    <w:pageBreakBefore w:val="0"/>
                    <w:kinsoku/>
                    <w:wordWrap/>
                    <w:overflowPunct/>
                    <w:topLinePunct w:val="0"/>
                    <w:autoSpaceDE/>
                    <w:autoSpaceDN/>
                    <w:bidi w:val="0"/>
                    <w:adjustRightInd w:val="0"/>
                    <w:snapToGrid w:val="0"/>
                    <w:ind w:left="0" w:right="0"/>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禁止类</w:t>
                  </w:r>
                </w:p>
              </w:tc>
              <w:tc>
                <w:tcPr>
                  <w:tcW w:w="6383" w:type="dxa"/>
                  <w:gridSpan w:val="3"/>
                  <w:noWrap w:val="0"/>
                  <w:vAlign w:val="center"/>
                </w:tcPr>
                <w:p w14:paraId="532FCBF9">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禁止引入列入《产业结构调整指导目录（</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2024</w:t>
                  </w:r>
                  <w:r>
                    <w:rPr>
                      <w:rFonts w:hint="eastAsia" w:ascii="宋体" w:hAnsi="宋体" w:eastAsia="宋体" w:cs="宋体"/>
                      <w:color w:val="000000" w:themeColor="text1"/>
                      <w:kern w:val="0"/>
                      <w:sz w:val="21"/>
                      <w:szCs w:val="21"/>
                      <w:lang w:val="en-US" w:eastAsia="zh-CN" w:bidi="ar"/>
                      <w14:textFill>
                        <w14:solidFill>
                          <w14:schemeClr w14:val="tx1"/>
                        </w14:solidFill>
                      </w14:textFill>
                    </w:rPr>
                    <w:t>年本）》、</w:t>
                  </w:r>
                </w:p>
                <w:p w14:paraId="6E1C755E">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《市场准入负面清单（</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2022</w:t>
                  </w:r>
                  <w:r>
                    <w:rPr>
                      <w:rFonts w:hint="eastAsia" w:ascii="宋体" w:hAnsi="宋体" w:eastAsia="宋体" w:cs="宋体"/>
                      <w:color w:val="000000" w:themeColor="text1"/>
                      <w:kern w:val="0"/>
                      <w:sz w:val="21"/>
                      <w:szCs w:val="21"/>
                      <w:lang w:val="en-US" w:eastAsia="zh-CN" w:bidi="ar"/>
                      <w14:textFill>
                        <w14:solidFill>
                          <w14:schemeClr w14:val="tx1"/>
                        </w14:solidFill>
                      </w14:textFill>
                    </w:rPr>
                    <w:t>年版）》、《外商投资准入特别管理措施（负面清单）（</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2021</w:t>
                  </w:r>
                  <w:r>
                    <w:rPr>
                      <w:rFonts w:hint="eastAsia" w:ascii="宋体" w:hAnsi="宋体" w:eastAsia="宋体" w:cs="宋体"/>
                      <w:color w:val="000000" w:themeColor="text1"/>
                      <w:kern w:val="0"/>
                      <w:sz w:val="21"/>
                      <w:szCs w:val="21"/>
                      <w:lang w:val="en-US" w:eastAsia="zh-CN" w:bidi="ar"/>
                      <w14:textFill>
                        <w14:solidFill>
                          <w14:schemeClr w14:val="tx1"/>
                        </w14:solidFill>
                      </w14:textFill>
                    </w:rPr>
                    <w:t>年版）》等相关产业政策中禁止或淘汰类项目、产品、工艺和设备。</w:t>
                  </w:r>
                </w:p>
              </w:tc>
            </w:tr>
            <w:tr w14:paraId="6CC9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2F1E0D9E">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392206EC">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1E865E1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禁止新建、扩建不符合国家产能置换要求的严重过剩产能行业的项目。</w:t>
                  </w:r>
                </w:p>
              </w:tc>
            </w:tr>
            <w:tr w14:paraId="7A29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F35CF62">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5B1A92C9">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5EEA23CC">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禁止引进国家、安徽省明确规定不得审批的建设项目。</w:t>
                  </w:r>
                </w:p>
              </w:tc>
            </w:tr>
            <w:tr w14:paraId="3BC5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380F12A6">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07029231">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5C745F36">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禁止引入非金属矿物制品业中水泥、石灰和石膏制造中水泥制造和玻璃制造中平板玻璃制造。</w:t>
                  </w:r>
                </w:p>
              </w:tc>
            </w:tr>
            <w:tr w14:paraId="2222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754CCAF5">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05D3FD20">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2CF93951">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禁止引入橡胶和塑料制品业中轮胎制造。</w:t>
                  </w:r>
                </w:p>
              </w:tc>
            </w:tr>
            <w:tr w14:paraId="4E8F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2BB7205C">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672483A3">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2F7188DE">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禁止引入按规定需进入化工园区的项目。</w:t>
                  </w:r>
                </w:p>
              </w:tc>
            </w:tr>
            <w:tr w14:paraId="5D8E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noWrap w:val="0"/>
                  <w:vAlign w:val="center"/>
                </w:tcPr>
                <w:p w14:paraId="0F0C2F94">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915" w:type="dxa"/>
                  <w:vMerge w:val="continue"/>
                  <w:noWrap w:val="0"/>
                  <w:vAlign w:val="center"/>
                </w:tcPr>
                <w:p w14:paraId="36745E2B">
                  <w:pPr>
                    <w:keepNext w:val="0"/>
                    <w:keepLines w:val="0"/>
                    <w:pageBreakBefore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p>
              </w:tc>
              <w:tc>
                <w:tcPr>
                  <w:tcW w:w="6383" w:type="dxa"/>
                  <w:gridSpan w:val="3"/>
                  <w:noWrap w:val="0"/>
                  <w:vAlign w:val="center"/>
                </w:tcPr>
                <w:p w14:paraId="192DB4F8">
                  <w:pPr>
                    <w:keepNext w:val="0"/>
                    <w:keepLines w:val="0"/>
                    <w:pageBreakBefore w:val="0"/>
                    <w:widowControl/>
                    <w:suppressLineNumbers w:val="0"/>
                    <w:kinsoku/>
                    <w:wordWrap/>
                    <w:overflowPunct/>
                    <w:topLinePunct w:val="0"/>
                    <w:autoSpaceDE/>
                    <w:autoSpaceDN/>
                    <w:bidi w:val="0"/>
                    <w:adjustRightInd w:val="0"/>
                    <w:snapToGrid w:val="0"/>
                    <w:ind w:left="0" w:right="0"/>
                    <w:jc w:val="center"/>
                    <w:textAlignment w:val="auto"/>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禁止单一电镀企业入园。</w:t>
                  </w:r>
                </w:p>
              </w:tc>
            </w:tr>
          </w:tbl>
          <w:p w14:paraId="4889DD7C">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项目为蔬菜、菌类、水果和坚果加工，不属于园区限值类、禁止类行业，符合园区准入条件要求。</w:t>
            </w:r>
          </w:p>
          <w:p w14:paraId="105E1C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（2）与《关于安徽宿州高新技术产业开发区总体发展规划（2023-2035年）环境影响报告书审查意见的函》（宿环函【2024】57号）相符性分析见下表：</w:t>
            </w:r>
          </w:p>
          <w:p w14:paraId="642F1E1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bidi="ar"/>
                <w14:textFill>
                  <w14:solidFill>
                    <w14:schemeClr w14:val="tx1"/>
                  </w14:solidFill>
                </w14:textFill>
              </w:rPr>
              <w:t xml:space="preserve">表1.2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与《关于安徽宿州高新技术产业开发区总体发展规划（2023-2035年）环境影响报告书审查意见的函》</w:t>
            </w:r>
            <w:r>
              <w:rPr>
                <w:rFonts w:hint="eastAsia" w:cs="Times New Roman"/>
                <w:b/>
                <w:bCs/>
                <w:color w:val="000000" w:themeColor="text1"/>
                <w:kern w:val="0"/>
                <w:sz w:val="24"/>
                <w:szCs w:val="24"/>
                <w:lang w:val="en-US" w:eastAsia="zh-CN" w:bidi="ar"/>
                <w14:textFill>
                  <w14:solidFill>
                    <w14:schemeClr w14:val="tx1"/>
                  </w14:solidFill>
                </w14:textFill>
              </w:rPr>
              <w:t>相符性分析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888"/>
              <w:gridCol w:w="2121"/>
              <w:gridCol w:w="504"/>
            </w:tblGrid>
            <w:tr w14:paraId="5812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510D1959">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4888" w:type="dxa"/>
                  <w:noWrap w:val="0"/>
                  <w:vAlign w:val="center"/>
                </w:tcPr>
                <w:p w14:paraId="3D80D190">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审查意见</w:t>
                  </w:r>
                </w:p>
              </w:tc>
              <w:tc>
                <w:tcPr>
                  <w:tcW w:w="2121" w:type="dxa"/>
                  <w:noWrap w:val="0"/>
                  <w:vAlign w:val="center"/>
                </w:tcPr>
                <w:p w14:paraId="096667AF">
                  <w:pPr>
                    <w:jc w:val="center"/>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本项目情况</w:t>
                  </w:r>
                </w:p>
              </w:tc>
              <w:tc>
                <w:tcPr>
                  <w:tcW w:w="504" w:type="dxa"/>
                  <w:noWrap w:val="0"/>
                  <w:textDirection w:val="tbLrV"/>
                  <w:vAlign w:val="center"/>
                </w:tcPr>
                <w:p w14:paraId="11843050">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符合性</w:t>
                  </w:r>
                </w:p>
              </w:tc>
            </w:tr>
            <w:tr w14:paraId="63D4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731717FA">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4888" w:type="dxa"/>
                  <w:noWrap w:val="0"/>
                  <w:vAlign w:val="center"/>
                </w:tcPr>
                <w:p w14:paraId="313F5C59">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加强《规划》引领，坚持绿色协调发展：开发区应加强《规划》与国土空间规划、污染防治攻坚战规划等相关环境保护政策要求、省市生态环境分区管控成果的协调衔接，统筹推进开发区整体发展和生态保护。开发区发展应基于区域生态环境承载力，合理控制产业发展和开发利用强度，针对现有化工企业提出具体管控要求，进一步提高土地利用效率，协调好产业发展与区域环境保护的关系。统筹开发区减污降碳协同共治、资源集约节约及循环化利用、能源智慧高效利用、环境风险防控等重大事项，引导开发区高质量发展。</w:t>
                  </w:r>
                </w:p>
              </w:tc>
              <w:tc>
                <w:tcPr>
                  <w:tcW w:w="2121" w:type="dxa"/>
                  <w:noWrap w:val="0"/>
                  <w:vAlign w:val="center"/>
                </w:tcPr>
                <w:p w14:paraId="34F5A491">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本项目为蔬菜、菌类、水果和坚果加工</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符合片区总体发展规划、主导产业定位要求，项目用地为工业用地</w:t>
                  </w:r>
                  <w:r>
                    <w:rPr>
                      <w:rFonts w:hint="eastAsia" w:ascii="宋体" w:hAnsi="宋体" w:cs="宋体"/>
                      <w:color w:val="000000" w:themeColor="text1"/>
                      <w:kern w:val="0"/>
                      <w:sz w:val="21"/>
                      <w:szCs w:val="21"/>
                      <w:lang w:val="en-US" w:eastAsia="zh-CN" w:bidi="ar"/>
                      <w14:textFill>
                        <w14:solidFill>
                          <w14:schemeClr w14:val="tx1"/>
                        </w14:solidFill>
                      </w14:textFill>
                    </w:rPr>
                    <w:t>。</w:t>
                  </w:r>
                </w:p>
              </w:tc>
              <w:tc>
                <w:tcPr>
                  <w:tcW w:w="504" w:type="dxa"/>
                  <w:noWrap w:val="0"/>
                  <w:textDirection w:val="tbLrV"/>
                  <w:vAlign w:val="center"/>
                </w:tcPr>
                <w:p w14:paraId="37908A28">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2944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5FF1392C">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4888" w:type="dxa"/>
                  <w:noWrap w:val="0"/>
                  <w:vAlign w:val="center"/>
                </w:tcPr>
                <w:p w14:paraId="44A6CA70">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二）严守环境质量底线，落实区域环境质量管控措施：开发区位于大气和水污染防治重点区域，区域生态环境保护要求较高，开发区应加快制定区域大气达标计划。根据国家和省大气、水、土壤、固废污染防治相关要求，制定污染防控方案和污染物总量管控要求，重点关注大气环境和地表水环境，切实保障区域内入驻项目达标排放，受纳水体的水环境功能及相关考核断面水质稳定达标、区域大气环境质量持续改善，区域生态环境问题得到妥善解决。</w:t>
                  </w:r>
                </w:p>
              </w:tc>
              <w:tc>
                <w:tcPr>
                  <w:tcW w:w="2121" w:type="dxa"/>
                  <w:noWrap w:val="0"/>
                  <w:vAlign w:val="center"/>
                </w:tcPr>
                <w:p w14:paraId="475DFECF">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本项目严守环境质量底线，符合生态环境准入要求，污染物排放总量可以在区域内平衡</w:t>
                  </w:r>
                  <w:r>
                    <w:rPr>
                      <w:rFonts w:hint="eastAsia" w:ascii="宋体" w:hAnsi="宋体" w:cs="宋体"/>
                      <w:color w:val="000000" w:themeColor="text1"/>
                      <w:kern w:val="0"/>
                      <w:sz w:val="21"/>
                      <w:szCs w:val="21"/>
                      <w:lang w:val="en-US" w:eastAsia="zh-CN" w:bidi="ar"/>
                      <w14:textFill>
                        <w14:solidFill>
                          <w14:schemeClr w14:val="tx1"/>
                        </w14:solidFill>
                      </w14:textFill>
                    </w:rPr>
                    <w:t>。</w:t>
                  </w:r>
                </w:p>
              </w:tc>
              <w:tc>
                <w:tcPr>
                  <w:tcW w:w="504" w:type="dxa"/>
                  <w:noWrap w:val="0"/>
                  <w:textDirection w:val="tbLrV"/>
                  <w:vAlign w:val="center"/>
                </w:tcPr>
                <w:p w14:paraId="1523F526">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74D3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0F7BB6AD">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4888" w:type="dxa"/>
                  <w:noWrap w:val="0"/>
                  <w:vAlign w:val="center"/>
                </w:tcPr>
                <w:p w14:paraId="47464AE7">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三）优化产业布局，加强生态空间保护：开发区应结合环境制约因素、产业定位要求等，进一步完善产业发展规划，产业布局应结合现状企业分布提出明确的规划布局优化调整建议。合理规划不同功能区的环境保护空间，严禁不符合管控要求的各类开发建设活动，加强开发区周边生态空间保护，确保规划实施不降低区域地表水体环境质量。统筹开发区生产、生活和商业服务空间之间及周边环境敏感目标的隔离和管控，实现产业发展与区域生态环境保护相协调。</w:t>
                  </w:r>
                </w:p>
              </w:tc>
              <w:tc>
                <w:tcPr>
                  <w:tcW w:w="2121" w:type="dxa"/>
                  <w:noWrap w:val="0"/>
                  <w:vAlign w:val="center"/>
                </w:tcPr>
                <w:p w14:paraId="5204CF94">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项目为蔬菜、菌类、水果和坚果加工，符合园区规划相关内容，项目污染物均进行有效收集与处理，对周围环境质量影响较小。</w:t>
                  </w:r>
                </w:p>
              </w:tc>
              <w:tc>
                <w:tcPr>
                  <w:tcW w:w="504" w:type="dxa"/>
                  <w:noWrap w:val="0"/>
                  <w:textDirection w:val="tbLrV"/>
                  <w:vAlign w:val="center"/>
                </w:tcPr>
                <w:p w14:paraId="408DD082">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75E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244D406C">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4</w:t>
                  </w:r>
                </w:p>
              </w:tc>
              <w:tc>
                <w:tcPr>
                  <w:tcW w:w="4888" w:type="dxa"/>
                  <w:noWrap w:val="0"/>
                  <w:vAlign w:val="center"/>
                </w:tcPr>
                <w:p w14:paraId="3CBEECA2">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五）细化生态环境准入清单，推动高质量发展：根据国家和区域发展战略，结合区域生态环境质量现状、生态环境分区管控、“三区三线”成果等，严格落实《报告书》生态环境准入要求。规划应严格执行国家产业政策，限制与规划主导产业不符且污染物排放量大的项目入区，禁止不符合淮河流域相关准入要求的项目入区。开发区引进项目的生产工艺、设备、自动化水平，以及单位产品能耗、污染物排放、碳排放等不得低于同行业清洁生产国内先进水平。</w:t>
                  </w:r>
                </w:p>
              </w:tc>
              <w:tc>
                <w:tcPr>
                  <w:tcW w:w="2121" w:type="dxa"/>
                  <w:noWrap w:val="0"/>
                  <w:vAlign w:val="center"/>
                </w:tcPr>
                <w:p w14:paraId="5AF45614">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本项目符合片区总体发展规划、主导产业定位要求，项目用地为工业用地，项目不属于淮河流域禁止引进的项目，也不属于园区禁止引进的项目</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504" w:type="dxa"/>
                  <w:noWrap w:val="0"/>
                  <w:textDirection w:val="tbLrV"/>
                  <w:vAlign w:val="center"/>
                </w:tcPr>
                <w:p w14:paraId="68F5C514">
                  <w:pPr>
                    <w:ind w:left="113" w:right="113"/>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r w14:paraId="5952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dxa"/>
                  <w:noWrap w:val="0"/>
                  <w:vAlign w:val="center"/>
                </w:tcPr>
                <w:p w14:paraId="6A7FACED">
                  <w:pPr>
                    <w:jc w:val="center"/>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w:t>
                  </w:r>
                </w:p>
              </w:tc>
              <w:tc>
                <w:tcPr>
                  <w:tcW w:w="4888" w:type="dxa"/>
                  <w:noWrap w:val="0"/>
                  <w:vAlign w:val="center"/>
                </w:tcPr>
                <w:p w14:paraId="6C2AED35">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六）完善环境监测体系，加强生态环境风险防控：统筹考虑区域内污染物排放、水环境保护、环境风险防范、环境管理、规划管控防护带、区内现有居民区居住环境质量等要求，健全区域环境风险防范体系和生态安全保障体系，加强开发区内重要环境风险源的管控，完善环境风险防范应急措施。做好开发区重大环境风险源的识别与管控，确保事故废水与外环境有效隔离、及时处置。健全水、气、土、声等各环境要素的环境监控体系。在规划实施过程中，适时开展规划环境影响的跟踪评价。</w:t>
                  </w:r>
                </w:p>
              </w:tc>
              <w:tc>
                <w:tcPr>
                  <w:tcW w:w="2121" w:type="dxa"/>
                  <w:noWrap w:val="0"/>
                  <w:vAlign w:val="center"/>
                </w:tcPr>
                <w:p w14:paraId="70C7322D">
                  <w:pPr>
                    <w:keepNext w:val="0"/>
                    <w:keepLines w:val="0"/>
                    <w:widowControl/>
                    <w:suppressLineNumbers w:val="0"/>
                    <w:jc w:val="center"/>
                    <w:rPr>
                      <w:color w:val="000000" w:themeColor="text1"/>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本项目生产过程中排放的少量颗粒物、</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SO</w:t>
                  </w:r>
                  <w:r>
                    <w:rPr>
                      <w:rFonts w:hint="default" w:ascii="Times New Roman" w:hAnsi="Times New Roman" w:eastAsia="宋体" w:cs="Times New Roman"/>
                      <w:color w:val="000000" w:themeColor="text1"/>
                      <w:kern w:val="0"/>
                      <w:sz w:val="21"/>
                      <w:szCs w:val="21"/>
                      <w:vertAlign w:val="subscript"/>
                      <w:lang w:val="en-US" w:eastAsia="zh-CN" w:bidi="ar"/>
                      <w14:textFill>
                        <w14:solidFill>
                          <w14:schemeClr w14:val="tx1"/>
                        </w14:solidFill>
                      </w14:textFill>
                    </w:rPr>
                    <w:t>2</w:t>
                  </w:r>
                  <w:r>
                    <w:rPr>
                      <w:rFonts w:hint="eastAsia"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、NOx</w:t>
                  </w:r>
                  <w:r>
                    <w:rPr>
                      <w:rFonts w:hint="eastAsia" w:ascii="宋体" w:hAnsi="宋体" w:eastAsia="宋体" w:cs="宋体"/>
                      <w:color w:val="000000" w:themeColor="text1"/>
                      <w:kern w:val="0"/>
                      <w:sz w:val="21"/>
                      <w:szCs w:val="21"/>
                      <w:lang w:val="en-US" w:eastAsia="zh-CN" w:bidi="ar"/>
                      <w14:textFill>
                        <w14:solidFill>
                          <w14:schemeClr w14:val="tx1"/>
                        </w14:solidFill>
                      </w14:textFill>
                    </w:rPr>
                    <w:t>，项目使用电能</w:t>
                  </w:r>
                  <w:r>
                    <w:rPr>
                      <w:rFonts w:hint="eastAsia" w:ascii="宋体" w:hAnsi="宋体" w:cs="宋体"/>
                      <w:color w:val="000000" w:themeColor="text1"/>
                      <w:kern w:val="0"/>
                      <w:sz w:val="21"/>
                      <w:szCs w:val="21"/>
                      <w:lang w:val="en-US" w:eastAsia="zh-CN" w:bidi="ar"/>
                      <w14:textFill>
                        <w14:solidFill>
                          <w14:schemeClr w14:val="tx1"/>
                        </w14:solidFill>
                      </w14:textFill>
                    </w:rPr>
                    <w:t>和天然气</w:t>
                  </w:r>
                  <w:r>
                    <w:rPr>
                      <w:rFonts w:hint="eastAsia" w:ascii="宋体" w:hAnsi="宋体" w:eastAsia="宋体" w:cs="宋体"/>
                      <w:color w:val="000000" w:themeColor="text1"/>
                      <w:kern w:val="0"/>
                      <w:sz w:val="21"/>
                      <w:szCs w:val="21"/>
                      <w:lang w:val="en-US" w:eastAsia="zh-CN" w:bidi="ar"/>
                      <w14:textFill>
                        <w14:solidFill>
                          <w14:schemeClr w14:val="tx1"/>
                        </w14:solidFill>
                      </w14:textFill>
                    </w:rPr>
                    <w:t>，不使用高污染燃料。固废产生量较少，各类固废均能做到妥善处置。本项目将规范建设一般固废暂存间。</w:t>
                  </w:r>
                </w:p>
              </w:tc>
              <w:tc>
                <w:tcPr>
                  <w:tcW w:w="504" w:type="dxa"/>
                  <w:noWrap w:val="0"/>
                  <w:textDirection w:val="tbLrV"/>
                  <w:vAlign w:val="center"/>
                </w:tcPr>
                <w:p w14:paraId="43CB7AA7">
                  <w:pPr>
                    <w:ind w:left="113" w:right="113"/>
                    <w:jc w:val="center"/>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符合</w:t>
                  </w:r>
                </w:p>
              </w:tc>
            </w:tr>
          </w:tbl>
          <w:p w14:paraId="7AC5AF8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jc w:val="both"/>
              <w:textAlignment w:val="auto"/>
              <w:outlineLvl w:val="9"/>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color w:val="000000" w:themeColor="text1"/>
                <w:sz w:val="24"/>
                <w14:textFill>
                  <w14:solidFill>
                    <w14:schemeClr w14:val="tx1"/>
                  </w14:solidFill>
                </w14:textFill>
              </w:rPr>
              <w:t>因此本项目建设符合</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安徽宿州高新技术产业开发区总体发展规划（2023-2035年）环境影响报告书</w:t>
            </w:r>
            <w:r>
              <w:rPr>
                <w:color w:val="000000" w:themeColor="text1"/>
                <w:sz w:val="24"/>
                <w14:textFill>
                  <w14:solidFill>
                    <w14:schemeClr w14:val="tx1"/>
                  </w14:solidFill>
                </w14:textFill>
              </w:rPr>
              <w:t>要求，选址合理。</w:t>
            </w:r>
          </w:p>
        </w:tc>
      </w:tr>
      <w:tr w14:paraId="4341F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6" w:type="dxa"/>
            <w:tcBorders>
              <w:tl2br w:val="nil"/>
              <w:tr2bl w:val="nil"/>
            </w:tcBorders>
            <w:noWrap w:val="0"/>
            <w:vAlign w:val="center"/>
          </w:tcPr>
          <w:p w14:paraId="60E8462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其他符合性分析</w:t>
            </w:r>
          </w:p>
        </w:tc>
        <w:tc>
          <w:tcPr>
            <w:tcW w:w="8485" w:type="dxa"/>
            <w:gridSpan w:val="4"/>
            <w:tcBorders>
              <w:tl2br w:val="nil"/>
              <w:tr2bl w:val="nil"/>
            </w:tcBorders>
            <w:noWrap w:val="0"/>
            <w:vAlign w:val="center"/>
          </w:tcPr>
          <w:p w14:paraId="3CC94154">
            <w:pPr>
              <w:numPr>
                <w:ilvl w:val="0"/>
                <w:numId w:val="0"/>
              </w:numPr>
              <w:autoSpaceDE w:val="0"/>
              <w:autoSpaceDN w:val="0"/>
              <w:adjustRightInd w:val="0"/>
              <w:snapToGrid w:val="0"/>
              <w:spacing w:beforeLines="50" w:line="360" w:lineRule="auto"/>
              <w:jc w:val="left"/>
              <w:rPr>
                <w:rFonts w:hint="default"/>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1、分区管控与“三线一单”相符性分析</w:t>
            </w:r>
          </w:p>
          <w:p w14:paraId="4ADD5F21">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安徽省人民政府于2020年7月13日发布了《安徽省人民政府关于加快实施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“三线一单”生态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环境分区管控的通知》，安徽省生态环境厅皖环发〔2022〕5号发布了《安徽省生态环境厅关于印发安徽</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省“三线一单”生态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分区管控管理办法（暂行）的通知》，明确为贯彻落实《中共中央国务院关于全面加强生态环境保护坚决打好污染防治攻坚战的意见》（中发【2018】17号），就落实生态保护红线、环境质量底线、资源利用上线和生态环境准入清单（统称</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“三线一单”）</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，实施生态环境分区管控。</w:t>
            </w:r>
          </w:p>
          <w:p w14:paraId="30B1CBB7">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（1）生态保护红线</w:t>
            </w:r>
          </w:p>
          <w:p w14:paraId="1EF8B60E">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本项目位于宿州市高新技术产业开发区拂晓大道9号，根据宿州</w:t>
            </w:r>
            <w:r>
              <w:rPr>
                <w:rFonts w:hint="eastAsia" w:ascii="宋体" w:hAnsi="宋体" w:eastAsia="宋体" w:cs="宋体"/>
                <w:color w:val="000000" w:themeColor="text1"/>
                <w:kern w:val="2"/>
                <w:sz w:val="24"/>
                <w:szCs w:val="24"/>
                <w:lang w:val="en-US" w:eastAsia="zh-CN" w:bidi="ar-SA"/>
                <w14:textFill>
                  <w14:solidFill>
                    <w14:schemeClr w14:val="tx1"/>
                  </w14:solidFill>
                </w14:textFill>
              </w:rPr>
              <w:t>市“三线一单”文</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本，对照宿州市生态保护红线和宿州市生态空间图，本项目不涉及生态保护红线。详见附图2</w:t>
            </w:r>
            <w:r>
              <w:rPr>
                <w:rFonts w:hint="eastAsia" w:cs="Times New Roman"/>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区域生态红线图。</w:t>
            </w:r>
          </w:p>
          <w:p w14:paraId="1BA7AC93">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环境质量底线</w:t>
            </w:r>
          </w:p>
          <w:p w14:paraId="730C44EF">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①大气环境质量底线</w:t>
            </w:r>
          </w:p>
          <w:p w14:paraId="5E9418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color w:val="000000" w:themeColor="text1"/>
                <w:sz w:val="24"/>
                <w:szCs w:val="32"/>
                <w14:textFill>
                  <w14:solidFill>
                    <w14:schemeClr w14:val="tx1"/>
                  </w14:solidFill>
                </w14:textFill>
              </w:rPr>
              <w:t>根据《宿州市</w:t>
            </w:r>
            <w:r>
              <w:rPr>
                <w:rFonts w:hint="eastAsia"/>
                <w:color w:val="000000" w:themeColor="text1"/>
                <w:sz w:val="24"/>
                <w:szCs w:val="32"/>
                <w:lang w:eastAsia="zh-CN"/>
                <w14:textFill>
                  <w14:solidFill>
                    <w14:schemeClr w14:val="tx1"/>
                  </w14:solidFill>
                </w14:textFill>
              </w:rPr>
              <w:t>2024</w:t>
            </w:r>
            <w:r>
              <w:rPr>
                <w:color w:val="000000" w:themeColor="text1"/>
                <w:sz w:val="24"/>
                <w:szCs w:val="32"/>
                <w14:textFill>
                  <w14:solidFill>
                    <w14:schemeClr w14:val="tx1"/>
                  </w14:solidFill>
                </w14:textFill>
              </w:rPr>
              <w:t>年环境质量报告》，O</w:t>
            </w:r>
            <w:r>
              <w:rPr>
                <w:color w:val="000000" w:themeColor="text1"/>
                <w:sz w:val="24"/>
                <w:szCs w:val="32"/>
                <w:vertAlign w:val="subscript"/>
                <w14:textFill>
                  <w14:solidFill>
                    <w14:schemeClr w14:val="tx1"/>
                  </w14:solidFill>
                </w14:textFill>
              </w:rPr>
              <w:t>3</w:t>
            </w:r>
            <w:r>
              <w:rPr>
                <w:color w:val="000000" w:themeColor="text1"/>
                <w:sz w:val="24"/>
                <w:szCs w:val="32"/>
                <w14:textFill>
                  <w14:solidFill>
                    <w14:schemeClr w14:val="tx1"/>
                  </w14:solidFill>
                </w14:textFill>
              </w:rPr>
              <w:t>、PM</w:t>
            </w:r>
            <w:r>
              <w:rPr>
                <w:color w:val="000000" w:themeColor="text1"/>
                <w:sz w:val="24"/>
                <w:szCs w:val="32"/>
                <w:vertAlign w:val="subscript"/>
                <w14:textFill>
                  <w14:solidFill>
                    <w14:schemeClr w14:val="tx1"/>
                  </w14:solidFill>
                </w14:textFill>
              </w:rPr>
              <w:t>2.5</w:t>
            </w:r>
            <w:r>
              <w:rPr>
                <w:color w:val="000000" w:themeColor="text1"/>
                <w:sz w:val="24"/>
                <w:szCs w:val="32"/>
                <w14:textFill>
                  <w14:solidFill>
                    <w14:schemeClr w14:val="tx1"/>
                  </w14:solidFill>
                </w14:textFill>
              </w:rPr>
              <w:t>、PM</w:t>
            </w:r>
            <w:r>
              <w:rPr>
                <w:color w:val="000000" w:themeColor="text1"/>
                <w:sz w:val="24"/>
                <w:szCs w:val="32"/>
                <w:vertAlign w:val="subscript"/>
                <w14:textFill>
                  <w14:solidFill>
                    <w14:schemeClr w14:val="tx1"/>
                  </w14:solidFill>
                </w14:textFill>
              </w:rPr>
              <w:t>10</w:t>
            </w:r>
            <w:r>
              <w:rPr>
                <w:color w:val="000000" w:themeColor="text1"/>
                <w:sz w:val="24"/>
                <w:szCs w:val="32"/>
                <w14:textFill>
                  <w14:solidFill>
                    <w14:schemeClr w14:val="tx1"/>
                  </w14:solidFill>
                </w14:textFill>
              </w:rPr>
              <w:t>超过《环境空气质量标准》（GB3095-2012）中二级标准限值，因此项目所在区域为环境空气质量不达标区。为改善环境空气质量情况，宿州市通过优化产业结构和布局，严控高耗能、高污染项目建设</w:t>
            </w:r>
            <w:r>
              <w:rPr>
                <w:rFonts w:hint="eastAsia" w:ascii="宋体" w:hAnsi="宋体" w:eastAsia="宋体" w:cs="宋体"/>
                <w:color w:val="000000" w:themeColor="text1"/>
                <w:sz w:val="24"/>
                <w:szCs w:val="32"/>
                <w14:textFill>
                  <w14:solidFill>
                    <w14:schemeClr w14:val="tx1"/>
                  </w14:solidFill>
                </w14:textFill>
              </w:rPr>
              <w:t>，对“散乱污”企业</w:t>
            </w:r>
            <w:r>
              <w:rPr>
                <w:color w:val="000000" w:themeColor="text1"/>
                <w:sz w:val="24"/>
                <w:szCs w:val="32"/>
                <w14:textFill>
                  <w14:solidFill>
                    <w14:schemeClr w14:val="tx1"/>
                  </w14:solidFill>
                </w14:textFill>
              </w:rPr>
              <w:t>进行综合整治等措施的实施，地区的环境空气质量将逐渐得到改善。</w:t>
            </w:r>
          </w:p>
          <w:p w14:paraId="39F5C6FC">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shd w:val="clear" w:color="auto" w:fill="auto"/>
                <w:lang w:val="en-US" w:eastAsia="zh-CN" w:bidi="ar-SA"/>
                <w14:textFill>
                  <w14:solidFill>
                    <w14:schemeClr w14:val="tx1"/>
                  </w14:solidFill>
                </w14:textFill>
              </w:rPr>
              <w:t>本项目涉及主要大气污染物为</w:t>
            </w:r>
            <w:r>
              <w:rPr>
                <w:rFonts w:hint="eastAsia" w:ascii="Times New Roman" w:hAnsi="Times New Roman" w:eastAsia="宋体" w:cs="Times New Roman"/>
                <w:color w:val="000000" w:themeColor="text1"/>
                <w:kern w:val="2"/>
                <w:sz w:val="24"/>
                <w:szCs w:val="24"/>
                <w:shd w:val="clear" w:color="auto" w:fill="auto"/>
                <w:lang w:val="en-US" w:eastAsia="zh-CN" w:bidi="ar-SA"/>
                <w14:textFill>
                  <w14:solidFill>
                    <w14:schemeClr w14:val="tx1"/>
                  </w14:solidFill>
                </w14:textFill>
              </w:rPr>
              <w:t>NO</w:t>
            </w:r>
            <w:r>
              <w:rPr>
                <w:rFonts w:hint="eastAsia" w:ascii="Times New Roman" w:hAnsi="Times New Roman" w:eastAsia="宋体" w:cs="Times New Roman"/>
                <w:color w:val="000000" w:themeColor="text1"/>
                <w:kern w:val="2"/>
                <w:sz w:val="24"/>
                <w:szCs w:val="24"/>
                <w:shd w:val="clear" w:color="auto" w:fill="auto"/>
                <w:vertAlign w:val="subscript"/>
                <w:lang w:val="en-US" w:eastAsia="zh-CN" w:bidi="ar-SA"/>
                <w14:textFill>
                  <w14:solidFill>
                    <w14:schemeClr w14:val="tx1"/>
                  </w14:solidFill>
                </w14:textFill>
              </w:rPr>
              <w:t>X</w:t>
            </w:r>
            <w:r>
              <w:rPr>
                <w:rFonts w:hint="eastAsia" w:ascii="Times New Roman" w:hAnsi="Times New Roman" w:eastAsia="宋体" w:cs="Times New Roman"/>
                <w:color w:val="000000" w:themeColor="text1"/>
                <w:kern w:val="2"/>
                <w:sz w:val="24"/>
                <w:szCs w:val="24"/>
                <w:shd w:val="clear" w:color="auto" w:fill="auto"/>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shd w:val="clear" w:color="auto" w:fill="auto"/>
                <w:lang w:val="en-US" w:eastAsia="zh-CN" w:bidi="ar-SA"/>
                <w14:textFill>
                  <w14:solidFill>
                    <w14:schemeClr w14:val="tx1"/>
                  </w14:solidFill>
                </w14:textFill>
              </w:rPr>
              <w:t>SO</w:t>
            </w:r>
            <w:r>
              <w:rPr>
                <w:rFonts w:hint="eastAsia" w:ascii="Times New Roman" w:hAnsi="Times New Roman" w:eastAsia="宋体" w:cs="Times New Roman"/>
                <w:color w:val="000000" w:themeColor="text1"/>
                <w:kern w:val="2"/>
                <w:sz w:val="24"/>
                <w:szCs w:val="24"/>
                <w:shd w:val="clear" w:color="auto" w:fill="auto"/>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shd w:val="clear" w:color="auto" w:fill="auto"/>
                <w:vertAlign w:val="baseline"/>
                <w:lang w:val="en-US" w:eastAsia="zh-CN" w:bidi="ar-SA"/>
                <w14:textFill>
                  <w14:solidFill>
                    <w14:schemeClr w14:val="tx1"/>
                  </w14:solidFill>
                </w14:textFill>
              </w:rPr>
              <w:t>和颗粒物</w:t>
            </w:r>
            <w:r>
              <w:rPr>
                <w:rFonts w:hint="default" w:ascii="Times New Roman" w:hAnsi="Times New Roman" w:eastAsia="宋体" w:cs="Times New Roman"/>
                <w:color w:val="000000" w:themeColor="text1"/>
                <w:kern w:val="2"/>
                <w:sz w:val="24"/>
                <w:szCs w:val="24"/>
                <w:highlight w:val="none"/>
                <w:shd w:val="clear" w:color="auto" w:fill="auto"/>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本次评价要求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锅炉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废气采用</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低氮燃烧器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m高排气筒（DA0</w:t>
            </w:r>
            <w:r>
              <w:rPr>
                <w:rFonts w:hint="eastAsia" w:ascii="宋体" w:hAnsi="宋体" w:eastAsia="宋体" w:cs="宋体"/>
                <w:color w:val="000000" w:themeColor="text1"/>
                <w:sz w:val="24"/>
                <w:szCs w:val="24"/>
                <w:lang w:val="en-US" w:eastAsia="zh-CN"/>
                <w14:textFill>
                  <w14:solidFill>
                    <w14:schemeClr w14:val="tx1"/>
                  </w14:solidFill>
                </w14:textFill>
              </w:rPr>
              <w:t>01）”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大气污染物均可达标排放，</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对周围环境影响较小。</w:t>
            </w:r>
          </w:p>
          <w:p w14:paraId="734BFCED">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②水环境质量底线</w:t>
            </w:r>
          </w:p>
          <w:p w14:paraId="26F126B1">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color w:val="000000" w:themeColor="text1"/>
                <w14:textFill>
                  <w14:solidFill>
                    <w14:schemeClr w14:val="tx1"/>
                  </w14:solidFill>
                </w14:textFill>
              </w:rPr>
              <w:t>根据《宿州市202</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年环境质量报告》，</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本项目评价区域内地表水满足《地表水环境质量标准》（GB3838-2002）中</w:t>
            </w:r>
            <w:r>
              <w:rPr>
                <w:rFonts w:hint="default" w:ascii="Times New Roman" w:hAnsi="Times New Roman" w:eastAsia="微软雅黑" w:cs="Times New Roman"/>
                <w:color w:val="000000" w:themeColor="text1"/>
                <w:kern w:val="2"/>
                <w:sz w:val="24"/>
                <w:szCs w:val="24"/>
                <w:highlight w:val="none"/>
                <w:lang w:val="en-US" w:eastAsia="zh-CN" w:bidi="ar-SA"/>
                <w14:textFill>
                  <w14:solidFill>
                    <w14:schemeClr w14:val="tx1"/>
                  </w14:solidFill>
                </w14:textFill>
              </w:rPr>
              <w:t>Ⅳ</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类标准要求。</w:t>
            </w:r>
          </w:p>
          <w:p w14:paraId="02100F95">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③土壤环境风险防控底线</w:t>
            </w:r>
          </w:p>
          <w:p w14:paraId="56FB0B99">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项目评价区域内土壤现状满足《土壤环境质量</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建设用地土壤污染风险管控标准（试行）》（GB36600-2018）中第二类用地筛选值要求。</w:t>
            </w:r>
          </w:p>
          <w:p w14:paraId="2F503D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建设不占用永久基本农田；项目对可能产生地下水、土壤影响的各项途径均进行有效预防，在确保各项防渗措施得以落实，并加强维护和厂区环境管理的前提下，可有效控制厂区内的废水污染物下渗现象，避免污染土壤，因此本项目不会对区域土壤环境产生明显影响。</w:t>
            </w:r>
          </w:p>
          <w:p w14:paraId="48EE1E0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综上所述，本项目在加强环境管理并落实本评价要求的各项环保措施的情况下，本项目废水、废气、固废均得到合理处置，符合环境质量底线要求。</w:t>
            </w:r>
          </w:p>
          <w:p w14:paraId="14A368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（3）与资源利用上线相符性分析</w:t>
            </w:r>
          </w:p>
          <w:p w14:paraId="5D229FA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本项目给水来自</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供水管网</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总用</w:t>
            </w:r>
            <w:r>
              <w:rPr>
                <w:rFonts w:hint="default" w:ascii="Times New Roman" w:hAnsi="Times New Roman" w:eastAsia="宋体" w:cs="Times New Roman"/>
                <w:color w:val="000000" w:themeColor="text1"/>
                <w:sz w:val="24"/>
                <w:szCs w:val="24"/>
                <w:highlight w:val="none"/>
                <w14:textFill>
                  <w14:solidFill>
                    <w14:schemeClr w14:val="tx1"/>
                  </w14:solidFill>
                </w14:textFill>
              </w:rPr>
              <w:t>水量为</w:t>
            </w:r>
            <w:r>
              <w:rPr>
                <w:rFonts w:hint="eastAsia" w:cs="Times New Roman"/>
                <w:color w:val="000000" w:themeColor="text1"/>
                <w:sz w:val="24"/>
                <w:szCs w:val="24"/>
                <w:highlight w:val="none"/>
                <w:lang w:val="en-US" w:eastAsia="zh-CN"/>
                <w14:textFill>
                  <w14:solidFill>
                    <w14:schemeClr w14:val="tx1"/>
                  </w14:solidFill>
                </w14:textFill>
              </w:rPr>
              <w:t>30855.44</w:t>
            </w:r>
            <w:r>
              <w:rPr>
                <w:rFonts w:hint="default" w:ascii="Times New Roman" w:hAnsi="Times New Roman" w:eastAsia="宋体" w:cs="Times New Roman"/>
                <w:color w:val="000000" w:themeColor="text1"/>
                <w:sz w:val="24"/>
                <w:szCs w:val="24"/>
                <w:highlight w:val="none"/>
                <w14:textFill>
                  <w14:solidFill>
                    <w14:schemeClr w14:val="tx1"/>
                  </w14:solidFill>
                </w14:textFill>
              </w:rPr>
              <w:t>t/a，不会达到资源利用上线；项目用电由市政电网所供给，</w:t>
            </w:r>
            <w:r>
              <w:rPr>
                <w:rFonts w:hint="eastAsia" w:cs="Times New Roman"/>
                <w:color w:val="000000" w:themeColor="text1"/>
                <w:sz w:val="24"/>
                <w:szCs w:val="24"/>
                <w:highlight w:val="none"/>
                <w:lang w:val="en-US" w:eastAsia="zh-CN"/>
                <w14:textFill>
                  <w14:solidFill>
                    <w14:schemeClr w14:val="tx1"/>
                  </w14:solidFill>
                </w14:textFill>
              </w:rPr>
              <w:t>总</w:t>
            </w:r>
            <w:r>
              <w:rPr>
                <w:rFonts w:hint="default" w:ascii="Times New Roman" w:hAnsi="Times New Roman" w:eastAsia="宋体" w:cs="Times New Roman"/>
                <w:color w:val="000000" w:themeColor="text1"/>
                <w:sz w:val="24"/>
                <w:szCs w:val="24"/>
                <w:highlight w:val="none"/>
                <w14:textFill>
                  <w14:solidFill>
                    <w14:schemeClr w14:val="tx1"/>
                  </w14:solidFill>
                </w14:textFill>
              </w:rPr>
              <w:t>用电量为</w:t>
            </w:r>
            <w:r>
              <w:rPr>
                <w:rFonts w:hint="eastAsia" w:cs="Times New Roman"/>
                <w:color w:val="000000" w:themeColor="text1"/>
                <w:sz w:val="24"/>
                <w:szCs w:val="24"/>
                <w:highlight w:val="none"/>
                <w:lang w:val="en-US" w:eastAsia="zh-CN"/>
                <w14:textFill>
                  <w14:solidFill>
                    <w14:schemeClr w14:val="tx1"/>
                  </w14:solidFill>
                </w14:textFill>
              </w:rPr>
              <w:t>446.27</w:t>
            </w:r>
            <w:r>
              <w:rPr>
                <w:rFonts w:hint="default" w:ascii="Times New Roman" w:hAnsi="Times New Roman" w:eastAsia="宋体" w:cs="Times New Roman"/>
                <w:color w:val="000000" w:themeColor="text1"/>
                <w:sz w:val="24"/>
                <w:szCs w:val="24"/>
                <w:highlight w:val="none"/>
                <w14:textFill>
                  <w14:solidFill>
                    <w14:schemeClr w14:val="tx1"/>
                  </w14:solidFill>
                </w14:textFill>
              </w:rPr>
              <w:t>万kW·h/a，不会达到资源利用上线；项目用地符合当地土地规划要求，不会达到资源利用上线</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61D8B2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本项目成熟可靠的工艺技术，自动化控制手段，符合资源利用上线要求。</w:t>
            </w:r>
          </w:p>
          <w:p w14:paraId="69FEEE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（4）与环境准入负面清单相符性分析</w:t>
            </w:r>
          </w:p>
          <w:p w14:paraId="57524E0A">
            <w:pPr>
              <w:pStyle w:val="29"/>
              <w:keepNext w:val="0"/>
              <w:keepLines w:val="0"/>
              <w:pageBreakBefore w:val="0"/>
              <w:kinsoku/>
              <w:wordWrap/>
              <w:overflowPunct/>
              <w:topLinePunct w:val="0"/>
              <w:bidi w:val="0"/>
              <w:snapToGrid w:val="0"/>
              <w:spacing w:line="360" w:lineRule="auto"/>
              <w:ind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本项目</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位于</w:t>
            </w:r>
            <w:r>
              <w:rPr>
                <w:rFonts w:hint="eastAsia" w:cs="Times New Roman"/>
                <w:snapToGrid/>
                <w:color w:val="000000" w:themeColor="text1"/>
                <w:spacing w:val="0"/>
                <w:kern w:val="0"/>
                <w:position w:val="0"/>
                <w:sz w:val="24"/>
                <w:szCs w:val="24"/>
                <w:u w:val="none"/>
                <w:lang w:eastAsia="zh-CN"/>
                <w14:textFill>
                  <w14:solidFill>
                    <w14:schemeClr w14:val="tx1"/>
                  </w14:solidFill>
                </w14:textFill>
              </w:rPr>
              <w:t>宿州市高新技术产业开发区拂晓大道9号</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对照《宿州市“三线一单”生态环境准入清单》（宿州市生态环境局，二〇二</w:t>
            </w:r>
            <w:r>
              <w:rPr>
                <w:rFonts w:hint="eastAsia" w:ascii="宋体" w:hAnsi="宋体" w:cs="宋体"/>
                <w:b w:val="0"/>
                <w:bCs w:val="0"/>
                <w:color w:val="000000" w:themeColor="text1"/>
                <w:sz w:val="24"/>
                <w:szCs w:val="24"/>
                <w:lang w:val="en-US" w:eastAsia="zh-CN"/>
                <w14:textFill>
                  <w14:solidFill>
                    <w14:schemeClr w14:val="tx1"/>
                  </w14:solidFill>
                </w14:textFill>
              </w:rPr>
              <w:t>三</w:t>
            </w:r>
            <w:r>
              <w:rPr>
                <w:rFonts w:hint="eastAsia" w:ascii="宋体" w:hAnsi="宋体" w:eastAsia="宋体" w:cs="宋体"/>
                <w:b w:val="0"/>
                <w:bCs w:val="0"/>
                <w:color w:val="000000" w:themeColor="text1"/>
                <w:sz w:val="24"/>
                <w:szCs w:val="24"/>
                <w:lang w:val="en-US" w:eastAsia="zh-CN"/>
                <w14:textFill>
                  <w14:solidFill>
                    <w14:schemeClr w14:val="tx1"/>
                  </w14:solidFill>
                </w14:textFill>
              </w:rPr>
              <w:t>年十二月）附件</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宿州市生态环境准入清单</w:t>
            </w:r>
            <w:r>
              <w:rPr>
                <w:rFonts w:hint="eastAsia" w:ascii="宋体" w:hAnsi="宋体" w:cs="宋体"/>
                <w:b w:val="0"/>
                <w:bCs w:val="0"/>
                <w:color w:val="000000" w:themeColor="text1"/>
                <w:sz w:val="24"/>
                <w:szCs w:val="24"/>
                <w:lang w:val="en-US" w:eastAsia="zh-CN"/>
                <w14:textFill>
                  <w14:solidFill>
                    <w14:schemeClr w14:val="tx1"/>
                  </w14:solidFill>
                </w14:textFill>
              </w:rPr>
              <w:t>中</w:t>
            </w:r>
            <w:r>
              <w:rPr>
                <w:rFonts w:hint="eastAsia" w:ascii="宋体" w:hAnsi="宋体" w:cs="宋体"/>
                <w:color w:val="000000" w:themeColor="text1"/>
                <w:sz w:val="24"/>
                <w:szCs w:val="24"/>
                <w:lang w:eastAsia="zh-CN"/>
                <w14:textFill>
                  <w14:solidFill>
                    <w14:schemeClr w14:val="tx1"/>
                  </w14:solidFill>
                </w14:textFill>
              </w:rPr>
              <w:t>宿州市高新技术产业开发区</w:t>
            </w:r>
            <w:r>
              <w:rPr>
                <w:rFonts w:hint="eastAsia" w:ascii="宋体" w:hAnsi="宋体" w:eastAsia="宋体" w:cs="宋体"/>
                <w:color w:val="000000" w:themeColor="text1"/>
                <w:sz w:val="24"/>
                <w:szCs w:val="24"/>
                <w14:textFill>
                  <w14:solidFill>
                    <w14:schemeClr w14:val="tx1"/>
                  </w14:solidFill>
                </w14:textFill>
              </w:rPr>
              <w:t>产业准入要求进行说明：</w:t>
            </w:r>
          </w:p>
          <w:p w14:paraId="1755127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限制发展项目：</w:t>
            </w:r>
          </w:p>
          <w:p w14:paraId="25947F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限制发展能源、资源消耗量或排污量较大但效益相对较好的企业发展；智能手机产业园区禁止生产电池的项目入驻。</w:t>
            </w:r>
          </w:p>
          <w:p w14:paraId="2FD0AFA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禁止发展项目</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p>
          <w:p w14:paraId="446A76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国家明令禁止建设或投资的、不符合“产业结构调整指导目录”要求的建设项目不得进入高新区。</w:t>
            </w:r>
          </w:p>
          <w:p w14:paraId="149C70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2）规模</w:t>
            </w:r>
            <w:r>
              <w:rPr>
                <w:rFonts w:hint="eastAsia" w:ascii="宋体" w:hAnsi="宋体" w:eastAsia="宋体" w:cs="宋体"/>
                <w:color w:val="000000" w:themeColor="text1"/>
                <w:sz w:val="24"/>
                <w:szCs w:val="24"/>
                <w:lang w:val="en-US" w:eastAsia="zh-CN"/>
                <w14:textFill>
                  <w14:solidFill>
                    <w14:schemeClr w14:val="tx1"/>
                  </w14:solidFill>
                </w14:textFill>
              </w:rPr>
              <w:t>效益差、能源资源消耗大、环境影响严重的企业，严格控制高污染、高能耗、高水耗项目的进入。</w:t>
            </w:r>
          </w:p>
          <w:p w14:paraId="55D87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kern w:val="0"/>
                <w:sz w:val="24"/>
                <w:szCs w:val="24"/>
                <w:lang w:val="en-US" w:eastAsia="zh-CN"/>
                <w14:textFill>
                  <w14:solidFill>
                    <w14:schemeClr w14:val="tx1"/>
                  </w14:solidFill>
                </w14:textFill>
              </w:rPr>
              <w:t>为</w:t>
            </w:r>
            <w:r>
              <w:rPr>
                <w:rFonts w:hint="eastAsia" w:ascii="宋体" w:hAnsi="宋体" w:eastAsia="宋体" w:cs="宋体"/>
                <w:color w:val="000000" w:themeColor="text1"/>
                <w:kern w:val="0"/>
                <w:sz w:val="24"/>
                <w:szCs w:val="24"/>
                <w:lang w:val="en-US" w:eastAsia="zh-CN" w:bidi="ar"/>
                <w14:textFill>
                  <w14:solidFill>
                    <w14:schemeClr w14:val="tx1"/>
                  </w14:solidFill>
                </w14:textFill>
              </w:rPr>
              <w:t>蔬菜、菌类、水果和坚果加工</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不属于上述</w:t>
            </w:r>
            <w:r>
              <w:rPr>
                <w:rFonts w:hint="eastAsia" w:ascii="宋体" w:hAnsi="宋体" w:cs="宋体"/>
                <w:color w:val="000000" w:themeColor="text1"/>
                <w:sz w:val="24"/>
                <w:szCs w:val="24"/>
                <w:lang w:eastAsia="zh-CN"/>
                <w14:textFill>
                  <w14:solidFill>
                    <w14:schemeClr w14:val="tx1"/>
                  </w14:solidFill>
                </w14:textFill>
              </w:rPr>
              <w:t>宿州市高新技术产业开发区</w:t>
            </w:r>
            <w:r>
              <w:rPr>
                <w:rFonts w:hint="eastAsia" w:ascii="宋体" w:hAnsi="宋体" w:eastAsia="宋体" w:cs="宋体"/>
                <w:color w:val="000000" w:themeColor="text1"/>
                <w:sz w:val="24"/>
                <w:szCs w:val="24"/>
                <w14:textFill>
                  <w14:solidFill>
                    <w14:schemeClr w14:val="tx1"/>
                  </w14:solidFill>
                </w14:textFill>
              </w:rPr>
              <w:t>产业准入要求</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lang w:val="en-US" w:eastAsia="zh-CN"/>
                <w14:textFill>
                  <w14:solidFill>
                    <w14:schemeClr w14:val="tx1"/>
                  </w14:solidFill>
                </w14:textFill>
              </w:rPr>
              <w:t>限制发展项目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和</w:t>
            </w:r>
            <w:r>
              <w:rPr>
                <w:rFonts w:hint="eastAsia" w:ascii="宋体" w:hAnsi="宋体" w:eastAsia="宋体" w:cs="宋体"/>
                <w:color w:val="000000" w:themeColor="text1"/>
                <w:sz w:val="24"/>
                <w:szCs w:val="24"/>
                <w:lang w:val="en-US" w:eastAsia="zh-CN"/>
                <w14:textFill>
                  <w14:solidFill>
                    <w14:schemeClr w14:val="tx1"/>
                  </w14:solidFill>
                </w14:textFill>
              </w:rPr>
              <w:t>禁止发展项目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符合</w:t>
            </w:r>
            <w:r>
              <w:rPr>
                <w:rFonts w:hint="eastAsia" w:ascii="宋体" w:hAnsi="宋体" w:cs="宋体"/>
                <w:color w:val="000000" w:themeColor="text1"/>
                <w:sz w:val="24"/>
                <w:szCs w:val="24"/>
                <w:lang w:eastAsia="zh-CN"/>
                <w14:textFill>
                  <w14:solidFill>
                    <w14:schemeClr w14:val="tx1"/>
                  </w14:solidFill>
                </w14:textFill>
              </w:rPr>
              <w:t>宿州市高新技术产业开发区</w:t>
            </w:r>
            <w:r>
              <w:rPr>
                <w:rFonts w:hint="eastAsia" w:ascii="宋体" w:hAnsi="宋体" w:eastAsia="宋体" w:cs="宋体"/>
                <w:color w:val="000000" w:themeColor="text1"/>
                <w:sz w:val="24"/>
                <w:szCs w:val="24"/>
                <w14:textFill>
                  <w14:solidFill>
                    <w14:schemeClr w14:val="tx1"/>
                  </w14:solidFill>
                </w14:textFill>
              </w:rPr>
              <w:t>产业准入要求</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p>
          <w:p w14:paraId="4DFEA757">
            <w:pPr>
              <w:pStyle w:val="29"/>
              <w:keepNext w:val="0"/>
              <w:keepLines w:val="0"/>
              <w:pageBreakBefore w:val="0"/>
              <w:kinsoku/>
              <w:wordWrap/>
              <w:overflowPunct/>
              <w:topLinePunct w:val="0"/>
              <w:bidi w:val="0"/>
              <w:snapToGrid w:val="0"/>
              <w:spacing w:line="360" w:lineRule="auto"/>
              <w:ind w:leftChars="0" w:firstLine="480" w:firstLineChars="200"/>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综上，本项目建设符合“三线一单”要求</w:t>
            </w:r>
            <w:r>
              <w:rPr>
                <w:rFonts w:hint="eastAsia" w:ascii="宋体" w:hAnsi="宋体" w:cs="宋体"/>
                <w:b w:val="0"/>
                <w:bCs w:val="0"/>
                <w:color w:val="000000" w:themeColor="text1"/>
                <w:sz w:val="24"/>
                <w:szCs w:val="24"/>
                <w:lang w:val="en-US" w:eastAsia="zh-CN"/>
                <w14:textFill>
                  <w14:solidFill>
                    <w14:schemeClr w14:val="tx1"/>
                  </w14:solidFill>
                </w14:textFill>
              </w:rPr>
              <w:t>。</w:t>
            </w:r>
          </w:p>
          <w:p w14:paraId="0AF647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color w:val="000000" w:themeColor="text1"/>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生态环境分区管控相符性分析</w:t>
            </w:r>
          </w:p>
          <w:p w14:paraId="766347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根据《宿州</w:t>
            </w:r>
            <w:r>
              <w:rPr>
                <w:rFonts w:hint="eastAsia" w:ascii="宋体" w:hAnsi="宋体" w:eastAsia="宋体" w:cs="宋体"/>
                <w:color w:val="000000" w:themeColor="text1"/>
                <w:sz w:val="24"/>
                <w14:textFill>
                  <w14:solidFill>
                    <w14:schemeClr w14:val="tx1"/>
                  </w14:solidFill>
                </w14:textFill>
              </w:rPr>
              <w:t>市“三线一单”》</w:t>
            </w:r>
            <w:r>
              <w:rPr>
                <w:rFonts w:hint="default" w:ascii="Times New Roman" w:hAnsi="Times New Roman" w:cs="Times New Roman"/>
                <w:color w:val="000000" w:themeColor="text1"/>
                <w:sz w:val="24"/>
                <w14:textFill>
                  <w14:solidFill>
                    <w14:schemeClr w14:val="tx1"/>
                  </w14:solidFill>
                </w14:textFill>
              </w:rPr>
              <w:t>，宿州市共划定重点管控单元22个，面积为1641.71平方公里，占全市国土面积的16.52%，一般管控单元5个，面积为7225.23平方公里，占全市国土面积的72.7%。本项目位于宿州市</w:t>
            </w:r>
            <w:r>
              <w:rPr>
                <w:rFonts w:hint="eastAsia" w:ascii="宋体" w:hAnsi="宋体" w:eastAsia="宋体" w:cs="宋体"/>
                <w:color w:val="000000" w:themeColor="text1"/>
                <w:sz w:val="24"/>
                <w14:textFill>
                  <w14:solidFill>
                    <w14:schemeClr w14:val="tx1"/>
                  </w14:solidFill>
                </w14:textFill>
              </w:rPr>
              <w:t>“三线一单”</w:t>
            </w:r>
            <w:r>
              <w:rPr>
                <w:rFonts w:hint="default" w:ascii="Times New Roman" w:hAnsi="Times New Roman" w:cs="Times New Roman"/>
                <w:color w:val="000000" w:themeColor="text1"/>
                <w:sz w:val="24"/>
                <w14:textFill>
                  <w14:solidFill>
                    <w14:schemeClr w14:val="tx1"/>
                  </w14:solidFill>
                </w14:textFill>
              </w:rPr>
              <w:t>生态环境分区管控的</w:t>
            </w:r>
            <w:r>
              <w:rPr>
                <w:rFonts w:hint="eastAsia" w:cs="Times New Roman"/>
                <w:color w:val="000000" w:themeColor="text1"/>
                <w:sz w:val="24"/>
                <w:lang w:val="en-US" w:eastAsia="zh-CN"/>
                <w14:textFill>
                  <w14:solidFill>
                    <w14:schemeClr w14:val="tx1"/>
                  </w14:solidFill>
                </w14:textFill>
              </w:rPr>
              <w:t>重点</w:t>
            </w:r>
            <w:r>
              <w:rPr>
                <w:rFonts w:hint="default" w:ascii="Times New Roman" w:hAnsi="Times New Roman" w:cs="Times New Roman"/>
                <w:color w:val="000000" w:themeColor="text1"/>
                <w:sz w:val="24"/>
                <w14:textFill>
                  <w14:solidFill>
                    <w14:schemeClr w14:val="tx1"/>
                  </w14:solidFill>
                </w14:textFill>
              </w:rPr>
              <w:t>管控单元内（环境管控单元编码：</w:t>
            </w:r>
            <w:r>
              <w:rPr>
                <w:rFonts w:hint="default" w:ascii="Times New Roman" w:hAnsi="Times New Roman" w:eastAsia="宋体" w:cs="Times New Roman"/>
                <w:color w:val="000000" w:themeColor="text1"/>
                <w:sz w:val="24"/>
                <w14:textFill>
                  <w14:solidFill>
                    <w14:schemeClr w14:val="tx1"/>
                  </w14:solidFill>
                </w14:textFill>
              </w:rPr>
              <w:t>ZH34130220013</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对照</w:t>
            </w:r>
            <w:r>
              <w:rPr>
                <w:rFonts w:hint="eastAsia" w:ascii="宋体" w:hAnsi="宋体" w:cs="宋体"/>
                <w:color w:val="000000" w:themeColor="text1"/>
                <w:kern w:val="0"/>
                <w:sz w:val="24"/>
                <w:szCs w:val="24"/>
                <w:lang w:val="en-US" w:eastAsia="zh-CN" w:bidi="ar"/>
                <w14:textFill>
                  <w14:solidFill>
                    <w14:schemeClr w14:val="tx1"/>
                  </w14:solidFill>
                </w14:textFill>
              </w:rPr>
              <w:t>宿州</w:t>
            </w:r>
            <w:r>
              <w:rPr>
                <w:rFonts w:hint="eastAsia" w:ascii="宋体" w:hAnsi="宋体" w:eastAsia="宋体" w:cs="宋体"/>
                <w:color w:val="000000" w:themeColor="text1"/>
                <w:kern w:val="0"/>
                <w:sz w:val="24"/>
                <w:szCs w:val="24"/>
                <w:lang w:val="en-US" w:eastAsia="zh-CN" w:bidi="ar"/>
                <w14:textFill>
                  <w14:solidFill>
                    <w14:schemeClr w14:val="tx1"/>
                  </w14:solidFill>
                </w14:textFill>
              </w:rPr>
              <w:t>市大气环境分区管控图，项目在受体敏感重点管控区内</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对照</w:t>
            </w:r>
            <w:r>
              <w:rPr>
                <w:rFonts w:hint="eastAsia" w:ascii="宋体" w:hAnsi="宋体" w:cs="宋体"/>
                <w:color w:val="000000" w:themeColor="text1"/>
                <w:kern w:val="0"/>
                <w:sz w:val="24"/>
                <w:szCs w:val="24"/>
                <w:lang w:val="en-US" w:eastAsia="zh-CN" w:bidi="ar"/>
                <w14:textFill>
                  <w14:solidFill>
                    <w14:schemeClr w14:val="tx1"/>
                  </w14:solidFill>
                </w14:textFill>
              </w:rPr>
              <w:t>宿州</w:t>
            </w:r>
            <w:r>
              <w:rPr>
                <w:rFonts w:hint="eastAsia" w:ascii="宋体" w:hAnsi="宋体" w:eastAsia="宋体" w:cs="宋体"/>
                <w:color w:val="000000" w:themeColor="text1"/>
                <w:kern w:val="0"/>
                <w:sz w:val="24"/>
                <w:szCs w:val="24"/>
                <w:lang w:val="en-US" w:eastAsia="zh-CN" w:bidi="ar"/>
                <w14:textFill>
                  <w14:solidFill>
                    <w14:schemeClr w14:val="tx1"/>
                  </w14:solidFill>
                </w14:textFill>
              </w:rPr>
              <w:t>市水环境分区管控图，项目在工业污染重点管控区内，对照</w:t>
            </w:r>
            <w:r>
              <w:rPr>
                <w:rFonts w:hint="eastAsia" w:ascii="宋体" w:hAnsi="宋体" w:cs="宋体"/>
                <w:color w:val="000000" w:themeColor="text1"/>
                <w:kern w:val="0"/>
                <w:sz w:val="24"/>
                <w:szCs w:val="24"/>
                <w:lang w:val="en-US" w:eastAsia="zh-CN" w:bidi="ar"/>
                <w14:textFill>
                  <w14:solidFill>
                    <w14:schemeClr w14:val="tx1"/>
                  </w14:solidFill>
                </w14:textFill>
              </w:rPr>
              <w:t>宿州</w:t>
            </w:r>
            <w:r>
              <w:rPr>
                <w:rFonts w:hint="eastAsia" w:ascii="宋体" w:hAnsi="宋体" w:eastAsia="宋体" w:cs="宋体"/>
                <w:color w:val="000000" w:themeColor="text1"/>
                <w:kern w:val="0"/>
                <w:sz w:val="24"/>
                <w:szCs w:val="24"/>
                <w:lang w:val="en-US" w:eastAsia="zh-CN" w:bidi="ar"/>
                <w14:textFill>
                  <w14:solidFill>
                    <w14:schemeClr w14:val="tx1"/>
                  </w14:solidFill>
                </w14:textFill>
              </w:rPr>
              <w:t>市土壤污染风险分区管控图，项目位于一般防控区内</w:t>
            </w:r>
            <w:r>
              <w:rPr>
                <w:rFonts w:hint="eastAsia" w:eastAsia="宋体"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详见下图。与宿州市分区管控要求分析内容见</w:t>
            </w:r>
            <w:r>
              <w:rPr>
                <w:rFonts w:hint="eastAsia" w:ascii="Times New Roman" w:hAnsi="Times New Roman" w:cs="Times New Roman"/>
                <w:color w:val="000000" w:themeColor="text1"/>
                <w:sz w:val="24"/>
                <w:lang w:eastAsia="zh-CN"/>
                <w14:textFill>
                  <w14:solidFill>
                    <w14:schemeClr w14:val="tx1"/>
                  </w14:solidFill>
                </w14:textFill>
              </w:rPr>
              <w:t>表</w:t>
            </w:r>
            <w:r>
              <w:rPr>
                <w:rFonts w:hint="eastAsia" w:ascii="Times New Roman" w:hAnsi="Times New Roman"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w:t>
            </w:r>
          </w:p>
          <w:p w14:paraId="00D913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eastAsia="宋体"/>
                <w:color w:val="000000" w:themeColor="text1"/>
                <w:sz w:val="24"/>
                <w:szCs w:val="24"/>
                <w:highlight w:val="none"/>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770890</wp:posOffset>
                      </wp:positionH>
                      <wp:positionV relativeFrom="paragraph">
                        <wp:posOffset>162560</wp:posOffset>
                      </wp:positionV>
                      <wp:extent cx="934085" cy="333375"/>
                      <wp:effectExtent l="6350" t="6350" r="659765" b="346075"/>
                      <wp:wrapNone/>
                      <wp:docPr id="4" name="矩形标注 4"/>
                      <wp:cNvGraphicFramePr/>
                      <a:graphic xmlns:a="http://schemas.openxmlformats.org/drawingml/2006/main">
                        <a:graphicData uri="http://schemas.microsoft.com/office/word/2010/wordprocessingShape">
                          <wps:wsp>
                            <wps:cNvSpPr/>
                            <wps:spPr>
                              <a:xfrm>
                                <a:off x="2604135" y="4533265"/>
                                <a:ext cx="934085" cy="333375"/>
                              </a:xfrm>
                              <a:prstGeom prst="wedgeRectCallout">
                                <a:avLst>
                                  <a:gd name="adj1" fmla="val 113766"/>
                                  <a:gd name="adj2" fmla="val 142571"/>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5125B8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0.7pt;margin-top:12.8pt;height:26.25pt;width:73.55pt;z-index:251659264;v-text-anchor:middle;mso-width-relative:page;mso-height-relative:page;" fillcolor="#FFFFFF [3212]" filled="t" stroked="t" coordsize="21600,21600" o:gfxdata="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S4QTV9kAAAAJAQAADwAAAAAAAAABACAA&#10;AAAiAAAAZHJzL2Rvd25yZXYueG1sUEsBAhQAFAAAAAgAh07iQEpb2kW3AgAAbwUAAA4AAAAAAAAA&#10;AQAgAAAAKAEAAGRycy9lMm9Eb2MueG1sUEsFBgAAAAAGAAYAWQEAAFEGAAAAAA==&#10;" adj="35373,41595">
                      <v:fill on="t" focussize="0,0"/>
                      <v:stroke weight="1pt" color="#000000 [3213]" miterlimit="8" joinstyle="miter"/>
                      <v:imagedata o:title=""/>
                      <o:lock v:ext="edit" aspectratio="f"/>
                      <v:textbox>
                        <w:txbxContent>
                          <w:p w14:paraId="55125B8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项目所在地</w:t>
                            </w:r>
                          </w:p>
                        </w:txbxContent>
                      </v:textbox>
                    </v:shape>
                  </w:pict>
                </mc:Fallback>
              </mc:AlternateContent>
            </w:r>
            <w:r>
              <w:rPr>
                <w:color w:val="000000" w:themeColor="text1"/>
                <w14:textFill>
                  <w14:solidFill>
                    <w14:schemeClr w14:val="tx1"/>
                  </w14:solidFill>
                </w14:textFill>
              </w:rPr>
              <w:drawing>
                <wp:inline distT="0" distB="0" distL="114300" distR="114300">
                  <wp:extent cx="5179060" cy="3528060"/>
                  <wp:effectExtent l="0" t="0" r="2540" b="1524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6"/>
                          <a:stretch>
                            <a:fillRect/>
                          </a:stretch>
                        </pic:blipFill>
                        <pic:spPr>
                          <a:xfrm>
                            <a:off x="0" y="0"/>
                            <a:ext cx="5179060" cy="3528060"/>
                          </a:xfrm>
                          <a:prstGeom prst="rect">
                            <a:avLst/>
                          </a:prstGeom>
                          <a:noFill/>
                          <a:ln>
                            <a:noFill/>
                          </a:ln>
                        </pic:spPr>
                      </pic:pic>
                    </a:graphicData>
                  </a:graphic>
                </wp:inline>
              </w:drawing>
            </w:r>
          </w:p>
          <w:p w14:paraId="3A5578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宋体" w:hAnsi="宋体" w:cs="宋体"/>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t>图1.1</w:t>
            </w:r>
            <w:r>
              <w:rPr>
                <w:rFonts w:hint="eastAsia" w:ascii="宋体" w:hAnsi="宋体" w:cs="宋体"/>
                <w:b/>
                <w:bCs/>
                <w:snapToGrid/>
                <w:color w:val="000000" w:themeColor="text1"/>
                <w:spacing w:val="0"/>
                <w:kern w:val="0"/>
                <w:positio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管控单元位置示意图</w:t>
            </w:r>
          </w:p>
          <w:p w14:paraId="3ADED2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1</w:t>
            </w: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w:t>
            </w:r>
            <w:r>
              <w:rPr>
                <w:rFonts w:hint="eastAsia" w:cs="Times New Roman"/>
                <w:b/>
                <w:bCs/>
                <w:color w:val="000000" w:themeColor="text1"/>
                <w:kern w:val="0"/>
                <w:sz w:val="24"/>
                <w:szCs w:val="24"/>
                <w:lang w:val="en-US" w:eastAsia="zh-CN" w:bidi="ar"/>
                <w14:textFill>
                  <w14:solidFill>
                    <w14:schemeClr w14:val="tx1"/>
                  </w14:solidFill>
                </w14:textFill>
              </w:rPr>
              <w:t>3</w:t>
            </w:r>
            <w:r>
              <w:rPr>
                <w:rFonts w:hint="eastAsia"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本项目涉及“三线一单”管控单元及管控要求</w:t>
            </w: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854"/>
              <w:gridCol w:w="888"/>
              <w:gridCol w:w="5306"/>
              <w:gridCol w:w="785"/>
            </w:tblGrid>
            <w:tr w14:paraId="5E2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0AD5FA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517" w:type="pct"/>
                  <w:noWrap w:val="0"/>
                  <w:vAlign w:val="center"/>
                </w:tcPr>
                <w:p w14:paraId="7A04D4DC">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管控名称</w:t>
                  </w:r>
                </w:p>
              </w:tc>
              <w:tc>
                <w:tcPr>
                  <w:tcW w:w="3753" w:type="pct"/>
                  <w:gridSpan w:val="2"/>
                  <w:noWrap w:val="0"/>
                  <w:vAlign w:val="center"/>
                </w:tcPr>
                <w:p w14:paraId="2EE0A313">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管控要求</w:t>
                  </w:r>
                </w:p>
              </w:tc>
              <w:tc>
                <w:tcPr>
                  <w:tcW w:w="475" w:type="pct"/>
                  <w:noWrap w:val="0"/>
                  <w:vAlign w:val="center"/>
                </w:tcPr>
                <w:p w14:paraId="068A7A17">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相符性分析</w:t>
                  </w:r>
                </w:p>
              </w:tc>
            </w:tr>
            <w:tr w14:paraId="051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38974EA2">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517" w:type="pct"/>
                  <w:vMerge w:val="restart"/>
                  <w:noWrap w:val="0"/>
                  <w:vAlign w:val="center"/>
                </w:tcPr>
                <w:p w14:paraId="7A57618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重点管控单元</w:t>
                  </w:r>
                </w:p>
              </w:tc>
              <w:tc>
                <w:tcPr>
                  <w:tcW w:w="538" w:type="pct"/>
                  <w:noWrap w:val="0"/>
                  <w:vAlign w:val="center"/>
                </w:tcPr>
                <w:p w14:paraId="2D08F575">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空间布局约束</w:t>
                  </w:r>
                </w:p>
              </w:tc>
              <w:tc>
                <w:tcPr>
                  <w:tcW w:w="3215" w:type="pct"/>
                  <w:noWrap w:val="0"/>
                  <w:vAlign w:val="center"/>
                </w:tcPr>
                <w:p w14:paraId="0B92F7B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严格城市规划蓝线管理，城市规划区范围内应保留一定比例的水域面积，现有水域面积不得减少。新建项目一律不得违规占用水域。2落实磷石膏综合利用途径，综合利用不畅的可利用现有磷石膏库堆存，不得新建、扩建磷石膏库</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暂存场除外</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坚持以水定城、以水定地、以水定人、以水定产，严格控制缺水地区、水污染严重地区和敏感区域高耗水、高污染行业发展，鼓励推动高耗水企业向水资源条件允许的工业园区集中。4引导石化、化工、钢铁、建材、有色金属等重点行业合理布局，提高化工、有色金属、农副食品加工、印染、制革、原料药制造、电镀等行业集聚水平。5严格控制缺水地区、水污染严重地区和敏感区域高耗水、高污染行业发展，鼓励推动高耗水企业向水资源条件允许的工业园区集中。6新建、扩建磷化工项目应布设在依法合规设立的化工园区或具有化工定位的产业园区内，所在化工园区或产业园区应依法开展规划环境影响评价工作，磷化工建设项目应符合园区规划及规划环评要求。7持续开展涉水</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“散乱污”企业清理整</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治，严把能耗、环保等标准，促使一批达不到标准或淘汰类产能的企业，依法依规关停退出。8推动污染企业退出。城市建成区内现有钢铁、有色金属、造纸、印染、原料药制造、化工等污染较重的企业应有序搬迁改造或依法关闭。9严格水域岸线用途管制，土地开发利用应按照有关法律法规和技术标准要求，留足河道、湖泊的管理和保护范围，非法挤占的应限期退出。10国家禁止新建不符合国家产业政策的小型造纸、制革、印染、染料、炼焦、炼硫、炼砷、炼汞、炼油、电镀、农药、石棉、水泥、玻璃、钢铁、火电以及其他严重污染水环境的生产项目。</w:t>
                  </w:r>
                </w:p>
              </w:tc>
              <w:tc>
                <w:tcPr>
                  <w:tcW w:w="475" w:type="pct"/>
                  <w:noWrap w:val="0"/>
                  <w:vAlign w:val="center"/>
                </w:tcPr>
                <w:p w14:paraId="2EEE3DCD">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本项目不涉及禁止或限制行为，符合相关管控要求</w:t>
                  </w:r>
                </w:p>
              </w:tc>
            </w:tr>
            <w:tr w14:paraId="7D4C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5A86A6DD">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w:t>
                  </w:r>
                </w:p>
              </w:tc>
              <w:tc>
                <w:tcPr>
                  <w:tcW w:w="517" w:type="pct"/>
                  <w:vMerge w:val="continue"/>
                  <w:noWrap w:val="0"/>
                  <w:vAlign w:val="center"/>
                </w:tcPr>
                <w:p w14:paraId="5040CA14">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38" w:type="pct"/>
                  <w:noWrap w:val="0"/>
                  <w:vAlign w:val="center"/>
                </w:tcPr>
                <w:p w14:paraId="00611289">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污染物排放管控</w:t>
                  </w:r>
                </w:p>
              </w:tc>
              <w:tc>
                <w:tcPr>
                  <w:tcW w:w="3215" w:type="pct"/>
                  <w:noWrap w:val="0"/>
                  <w:vAlign w:val="center"/>
                </w:tcPr>
                <w:p w14:paraId="38503B9F">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1.在能源、冶金、建材、有色、化工、电镀、造纸、印染、农副食品加工等行业，全面推进清洁生产改造或清洁化改造。2.每小时35 蒸吨至65 蒸吨燃煤锅炉全部执行特别排放限值，每小时65 蒸吨以上燃煤锅炉全部实施节能和超低排放改造。3.推进现有企业和园区开展以节水为重点内容的绿色高质量转型升级和循环化改造，加快节水及水循环利用设施建设，促进企业间水梯级串联循环利用。4.加快推进现役煤电机组超低排放与节能改造。5.加大城市及周边现有燃煤发电机组的供热改造力度，优先利用背压热电联产机组替代分散燃煤锅炉，扩大集中供热面积。鼓励现有大型发电机组实施供热改造。6.取消燃煤电厂烟气旁路，对不能稳定达标的脱硫设施进行升级改造。7.实施每小时20蒸吨以上的燃煤锅炉脱硫设施建设及除尘设施升级改造。8.提升改造电力、化工、水泥等工业领域低氮燃烧、除尘、脱硝、脱硫设施，强化二氧化硫、氮氧化物、颗粒物及挥发性有机物污染治理。9.加快城镇污水处理设施建设与改造，对辖区重点流域污水处理厂进行提标改造，推进重点流域污水处理厂全面达标排放。10.推进造纸、农副产品加工、原料药制造、化工生产、制革、农药等重点行业专项治理，实施清洁化改造。11.2017 年底前，造纸行业力争完成采取低污染制浆技术，印染行业实施低排水染整工艺改造，制药（抗生素、维生素）行业实施绿色酶法生产技术改造，制革行业实施铬减量化和封闭循环利用技术改造。12.对现有涉重企业改扩建项目要采取“增产不增污”。13.在能源、冶金、建材、有色、化工、电镀、造纸、印染、农副食品加工等行业，全面推进清洁生产改造或清洁化改造。14.建材、化工、陶瓷等行业按照“改造提升一批、优化整合一批、淘汰退出一批”的总体要求，提升产业发展质量和环保治理水平，全市原则上关闭一半砖瓦窑企业，同时要确保保留下来的砖瓦窑企业各项环保措施符合要求、排放稳定达标。15.鼓励电力行业实施超净排放改造，其他行业参照重污染天气应急减排指南B级以上绩效开展提标改造。16.积极推进陶瓷、玻璃等行业清洁燃料替代工程。</w:t>
                  </w:r>
                </w:p>
              </w:tc>
              <w:tc>
                <w:tcPr>
                  <w:tcW w:w="475" w:type="pct"/>
                  <w:noWrap w:val="0"/>
                  <w:vAlign w:val="center"/>
                </w:tcPr>
                <w:p w14:paraId="10E29260">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本项目不涉及禁止或限</w:t>
                  </w:r>
                </w:p>
                <w:p w14:paraId="22E09497">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制行为，符合相关管控</w:t>
                  </w:r>
                </w:p>
                <w:p w14:paraId="2E16003E">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要求</w:t>
                  </w:r>
                </w:p>
              </w:tc>
            </w:tr>
            <w:tr w14:paraId="253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6CA9823">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p>
              </w:tc>
              <w:tc>
                <w:tcPr>
                  <w:tcW w:w="517" w:type="pct"/>
                  <w:vMerge w:val="continue"/>
                  <w:noWrap w:val="0"/>
                  <w:vAlign w:val="center"/>
                </w:tcPr>
                <w:p w14:paraId="4D1C39CD">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38" w:type="pct"/>
                  <w:noWrap w:val="0"/>
                  <w:vAlign w:val="center"/>
                </w:tcPr>
                <w:p w14:paraId="63F2897D">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资源开发效率要求</w:t>
                  </w:r>
                </w:p>
              </w:tc>
              <w:tc>
                <w:tcPr>
                  <w:tcW w:w="3215" w:type="pct"/>
                  <w:noWrap w:val="0"/>
                  <w:vAlign w:val="center"/>
                </w:tcPr>
                <w:p w14:paraId="53676816">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到2025年，全省用水总量控制在306亿立方米以内，万元GDP用水量、万元工业增加值用水量较2020年均下降18%，农田灌溉水有效利用系数达到0.58。严格落实主体功能区规划，在生态脆弱、严重缺水和地下水超采地区，严格控制高耗水新建、改建、扩建项目，推进高耗水企业向水资源条件允许的工业园区集中。对采用列入淘汰目录工艺、技术和装备的项目，不予批准取水许可；未按期淘汰的，有关部门和地方政府要依法严格查处。2在地面沉降、地裂缝、岩溶塌陷等地质灾害易发区开发利用地下水，应进行地质灾害危险性评估。地下水限采区内不得新增地下水开采量。严控工农业等生产性用水新增地下水开采量；城乡居民生活和特殊水质要求确需增加开采量的，必须通过压减生产性用水，确保不增加现状开采量。3严格控制开采深层承压水，地热水、矿泉水开发应严格实行取水许可和采矿许可。依法规范机井建设管理，排查登记已建机井，未经批准的和公共供水管网覆盖范围内自备水井，一律予以关闭。4在地下水超采区，禁止农业、工业建设项目和服务业新增取用中深层地下水，并削减开采量，逐步实现地下水采补平衡。5城市公共供水管网能够满足用水需要却通过自备取水设施取用地下水的，取水许可不予审批；地下水严重超采地区取用地下水的，取水许可不予审批。6在城市公共供水管网覆盖的区域内，禁止新建地下水取水井用于餐饮、洗浴、洗车等服务业和小区、单位集中供水等。7皖北平原地区应当限制高耗水、重污染产业发展，提高城镇污水处理标准，加强污水、采矿排水再生利用；支持规模农业使用高效节水灌溉技术；对地下水超采地区，应当制定综合治理措施，控制开采量，逐步实现采补平衡。1坚持集中式与分布式建设并举，因地制宜建设集中式光伏发电项目，推动整县（市、区）屋顶分布式光伏发电试点工作。坚持集中式和分散式相结合，有序推进皖北平原连片风电项目建设，稳妥推进皖西南地区集中式风电项目建设，鼓励分散式风电商业模式创新。大力推进风光储一体化建设。加快建设一批抽水蓄能电站，打造千万千瓦级绿色储能基地。多元高效利用生物质能，推进农林生物质热电联产项目新建和供热改造，合理规划城镇生活垃圾焚烧发电项目，统筹布局生物燃料乙醇项目，适度发展先进生物质液体燃料。到2025年，非化石能源占能源消费总量比重达到15.5%以上。2推动煤电行业实施节能降耗改造、供热改造和灵活性改造“三改联动”。加快供热管网建设，淘汰管网覆盖范围内的燃煤锅炉和散煤。到2025年，火电平均供电煤耗降至295克标煤/千瓦时，散煤基本清零。3实施“煤改气”和“以电代煤”。在陶瓷、玻璃、铸造等行业积极推进天然气替代煤气化工程，有序实施燃煤设施煤改气。结合区域和行业用能特点，积极推进工业生产、建筑供暖供冷、交通运输、农业生产、居民生活五大领域实施“以电代煤”，着力提高电能占终端能源消费比重。4推动光伏发电规模化发展，充分利用荒山荒坡、采煤沉陷区等未利用空间，建设集中式光伏电站。加快工业园区、公共建筑、居民住宅等屋顶光伏建设，有序推动国家整县（市、区）屋顶分布式光伏开发试点，因地制宜推进“光伏+”项目。5积极开发风电资源，在皖北平原、皖西南地区建设集中连片风电，持续推进就近接入、就地消纳的分散式风电建设。6大力推广新能源汽车，推动城市公共服务车辆、政府公务用车新能源或清洁能源替代1禁燃区内禁止使用散煤等高污染燃料，逐步实现无煤化。2在禁燃区内的企业事业单位和其他生产经营者，应当在规定的期限内停止使用高污染燃料，改用天然气、液化石油气、电能或者其他清洁能源。3到2025年，全省单位生产总值能耗比2020年下降14%，力争下降14.5%。水资源利用总量及效率要求：1按照省政府下达给区域各市的水资源利用总量及效率要求执行。地下水开采要求：2兴建地下工程设施或者进行地下勘探、采矿等活动，应当采取防护性措施，防止地下水污染。3开采地下水时，对下列含水层应当分层开采，不得混合开采：（一）半咸水、咸水、卤水层；（二）已受污染的含水层；（三）含有毒有害元素，超过生活饮用水卫生标准的水层；（四）有医疗价值和特殊经济价值的地下热水、温泉水和矿泉水。4淮河流域地下水开采区应当依靠降雨、地下径流、河流和湖泊、水库渗漏等补给地下水。人工回灌补给地下水，不得恶化地下水质。能源利用总量及效率要求：5按照省政府下达给区域各市能源利用总量及效率要求执行。禁燃区要求：6按照省级清单中禁燃区要求执行。其他资源利用效率要求：7土地资源利用效率按照省政府下达给区域各市的要求执行。1.到十四五末，埇桥区、灵璧县、泗县、萧县、砀山县万元工业增加值用水量比2020年分别下降14%、32%、25%、16%、22%、19%，万元GDP用水量比2020年分别下降15%、16%、16%、15%、16%、15%，农田灌溉水有效利用系数控制为0.65。2.到2025 年，全市用水总量控制在11.71亿立方米以内，其中城乡生活及工业用水总量6.0亿立方米。3.到2022 年，规模以上工业用水重复利用率达到91%以上，万元国内生产总值用水量、万元工业增加值用水量较2015 年分别降低32%和27%，农田灌溉水有效利用系数提高到0.65以上。4.到2035 年，全市用水总量控制在15亿m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以内。新建耗煤项目实行煤炭减量替代。对煤炭开采与洗选业、化学原料和化学制品制造业、非金属矿物制品业、黑色金属冶炼和压延加工业、有色金属冶炼和压延加工业、电力热力生产和供应业等行业新增耗煤（电力行业除外），实施煤炭消费量1.5倍减量替代。继续推进电能替代燃煤和燃油工作，替代规模达到省下达的指标要求。1.在地下水超采区，禁止农业、工业建设项目和服务业新增取用地下水。2.在地下水禁止开采区内，禁止新建、改建和扩建取用地下水的建设项目。已有的地下水取水工程，应当统一规划建设替代水源。3.在地下水限制开采区内，不得新增地下水开采量。确需新建地下水取水工程的，应当经省人民政府水行政主管部门批准。4 建设单位因施工需要直接取用地下水的，应当向具有审批权限的水行政主管部门申请临时取水。5.城市公共供水管网覆盖区域和饮用水水源保护区内禁止取用地下水用于地源热泵系统。6.在地面沉降、地裂缝、岩溶塌陷等地质灾害易发区开发利用地下水，应进行地质灾害危险性评估。7.严格控制开采深层承压水，地热水、矿泉水开发应严格实行取水许可和采矿许可。1. 除集中供热企业外，禁燃区内禁止新建、扩建燃用高污染燃料的设施，禁止销售、燃用各类型高污染燃料。2.宿州市禁燃区内各乡镇、街道、园区管委会要加强对民用煤制品的监督管理，禁燃区内禁止销售、燃用民用煤制品，餐饮服务场所不得燃用煤炭及其制品，非道路移动机械不得燃用渣油和重油；鼓励使用太阳能、电能、天然气、液化石油气、沼气等清洁能源或者依托周边已有热电机组实施集中供热；推进农村清洁能源的替代和开发利用。3.禁燃区内禁止使用散煤等高污染燃料，逐步实现无煤化。4.市区京台高速以东，南外环以北、沱河路以西、新汴河以南；全市所有文物保护单位，车站等交通枢纽及铁路线路安全保护区，易燃易爆物品生产、储存单位，输变电设施安全保护区，医疗机构、学校（含幼儿园）、敬（养）老院、图书馆、档案馆、博物馆、文化馆、商场、影剧院，景区、林地、公园、绿地、苗圃，房屋室内及其公共走廊、楼梯、屋顶、阳台、窗口和党政机关办公场所等范围内，禁放区域内禁止经营、储存、燃放烟花爆竹。迎接国家庆典等重大活动需要燃放礼花的，由宿州市人民政府决定并发布通告。5.坚决取缔禁燃区非法经营散煤网点。严格水域岸线用途管制，土地开发利用应按照有关法律法规和技术标准要求，留足河道、湖泊的管理和保护范围，非法挤占的应限期退出。</w:t>
                  </w:r>
                </w:p>
              </w:tc>
              <w:tc>
                <w:tcPr>
                  <w:tcW w:w="475" w:type="pct"/>
                  <w:noWrap w:val="0"/>
                  <w:vAlign w:val="center"/>
                </w:tcPr>
                <w:p w14:paraId="63DC5DD7">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本项目不涉及禁止或限制行为，符合相关管控要求</w:t>
                  </w:r>
                </w:p>
              </w:tc>
            </w:tr>
          </w:tbl>
          <w:p w14:paraId="4556274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综上所述，本项目建设满足生态保护红线、环境质量底线、资源利用上线，且不在环境准入负面清单中，符合“三线一单与分区管控”要求。</w:t>
            </w:r>
          </w:p>
          <w:p w14:paraId="514C78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产业政策符合性</w:t>
            </w:r>
          </w:p>
          <w:p w14:paraId="5A35FC0D">
            <w:pPr>
              <w:spacing w:line="360" w:lineRule="auto"/>
              <w:ind w:firstLine="480" w:firstLineChars="20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根据《产业结构调整指导目录（</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20</w:t>
            </w:r>
            <w:r>
              <w:rPr>
                <w:rFonts w:hint="eastAsia" w:cs="Times New Roman"/>
                <w:color w:val="000000" w:themeColor="text1"/>
                <w:kern w:val="0"/>
                <w:sz w:val="24"/>
                <w:szCs w:val="24"/>
                <w:highlight w:val="none"/>
                <w:lang w:val="en-US" w:eastAsia="zh-CN" w:bidi="ar-SA"/>
                <w14:textFill>
                  <w14:solidFill>
                    <w14:schemeClr w14:val="tx1"/>
                  </w14:solidFill>
                </w14:textFill>
              </w:rPr>
              <w:t>24</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年本</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，本项目</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属于</w:t>
            </w:r>
            <w:r>
              <w:rPr>
                <w:rFonts w:hint="eastAsia" w:ascii="宋体" w:hAnsi="宋体" w:eastAsia="宋体" w:cs="宋体"/>
                <w:color w:val="000000" w:themeColor="text1"/>
                <w:kern w:val="0"/>
                <w:sz w:val="24"/>
                <w:szCs w:val="24"/>
                <w:lang w:val="en-US" w:eastAsia="zh-CN" w:bidi="ar"/>
                <w14:textFill>
                  <w14:solidFill>
                    <w14:schemeClr w14:val="tx1"/>
                  </w14:solidFill>
                </w14:textFill>
              </w:rPr>
              <w:t>蔬菜、菌类、水果和坚果加工</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不属于鼓励类和限制类，属于允许类</w:t>
            </w:r>
            <w:r>
              <w:rPr>
                <w:rFonts w:hint="eastAsia"/>
                <w:color w:val="000000" w:themeColor="text1"/>
                <w:sz w:val="24"/>
                <w:szCs w:val="24"/>
                <w:highlight w:val="none"/>
                <w:lang w:eastAsia="zh-CN"/>
                <w14:textFill>
                  <w14:solidFill>
                    <w14:schemeClr w14:val="tx1"/>
                  </w14:solidFill>
                </w14:textFill>
              </w:rPr>
              <w:t>，因此，项目建设符合国家产业政策要求</w:t>
            </w: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w:t>
            </w:r>
          </w:p>
          <w:p w14:paraId="17D161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项目于</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20</w:t>
            </w:r>
            <w:r>
              <w:rPr>
                <w:rFonts w:hint="eastAsia" w:cs="Times New Roman"/>
                <w:snapToGrid/>
                <w:color w:val="000000" w:themeColor="text1"/>
                <w:spacing w:val="0"/>
                <w:kern w:val="0"/>
                <w:position w:val="0"/>
                <w:sz w:val="24"/>
                <w:szCs w:val="24"/>
                <w:lang w:val="en-US" w:eastAsia="zh-CN"/>
                <w14:textFill>
                  <w14:solidFill>
                    <w14:schemeClr w14:val="tx1"/>
                  </w14:solidFill>
                </w14:textFill>
              </w:rPr>
              <w:t>25</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年</w:t>
            </w:r>
            <w:r>
              <w:rPr>
                <w:rFonts w:hint="eastAsia" w:cs="Times New Roman"/>
                <w:snapToGrid/>
                <w:color w:val="000000" w:themeColor="text1"/>
                <w:spacing w:val="0"/>
                <w:kern w:val="0"/>
                <w:position w:val="0"/>
                <w:sz w:val="24"/>
                <w:szCs w:val="24"/>
                <w:lang w:val="en-US" w:eastAsia="zh-CN"/>
                <w14:textFill>
                  <w14:solidFill>
                    <w14:schemeClr w14:val="tx1"/>
                  </w14:solidFill>
                </w14:textFill>
              </w:rPr>
              <w:t>12</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月</w:t>
            </w:r>
            <w:r>
              <w:rPr>
                <w:rFonts w:hint="eastAsia" w:cs="Times New Roman"/>
                <w:snapToGrid/>
                <w:color w:val="000000" w:themeColor="text1"/>
                <w:spacing w:val="0"/>
                <w:kern w:val="0"/>
                <w:position w:val="0"/>
                <w:sz w:val="24"/>
                <w:szCs w:val="24"/>
                <w:lang w:val="en-US" w:eastAsia="zh-CN"/>
                <w14:textFill>
                  <w14:solidFill>
                    <w14:schemeClr w14:val="tx1"/>
                  </w14:solidFill>
                </w14:textFill>
              </w:rPr>
              <w:t>在</w:t>
            </w:r>
            <w:r>
              <w:rPr>
                <w:rFonts w:hint="default" w:ascii="宋体" w:hAnsi="宋体" w:eastAsia="宋体" w:cs="宋体"/>
                <w:color w:val="000000" w:themeColor="text1"/>
                <w:sz w:val="24"/>
                <w:szCs w:val="24"/>
                <w:lang w:val="en-US" w:eastAsia="zh-CN"/>
                <w14:textFill>
                  <w14:solidFill>
                    <w14:schemeClr w14:val="tx1"/>
                  </w14:solidFill>
                </w14:textFill>
              </w:rPr>
              <w:t>宿州市高新技术产业开发区经济与科技局</w:t>
            </w:r>
            <w:r>
              <w:rPr>
                <w:rFonts w:hint="eastAsia" w:ascii="宋体" w:hAnsi="宋体" w:eastAsia="宋体" w:cs="宋体"/>
                <w:color w:val="000000" w:themeColor="text1"/>
                <w:sz w:val="24"/>
                <w:szCs w:val="24"/>
                <w:lang w:val="en-US" w:eastAsia="zh-CN"/>
                <w14:textFill>
                  <w14:solidFill>
                    <w14:schemeClr w14:val="tx1"/>
                  </w14:solidFill>
                </w14:textFill>
              </w:rPr>
              <w:t>备案</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。项目代码为：</w:t>
            </w:r>
            <w:r>
              <w:rPr>
                <w:rFonts w:hint="eastAsia" w:cs="Times New Roman"/>
                <w:snapToGrid/>
                <w:color w:val="000000" w:themeColor="text1"/>
                <w:spacing w:val="0"/>
                <w:kern w:val="0"/>
                <w:position w:val="0"/>
                <w:sz w:val="24"/>
                <w:szCs w:val="24"/>
                <w:lang w:val="en-US" w:eastAsia="zh-CN"/>
                <w14:textFill>
                  <w14:solidFill>
                    <w14:schemeClr w14:val="tx1"/>
                  </w14:solidFill>
                </w14:textFill>
              </w:rPr>
              <w:t>2512-341367-04-02-464425</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。因此，项目的建设符合地方的产业政策。</w:t>
            </w:r>
          </w:p>
          <w:p w14:paraId="7858E5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Cs/>
                <w:snapToGrid/>
                <w:color w:val="000000" w:themeColor="text1"/>
                <w:spacing w:val="0"/>
                <w:kern w:val="0"/>
                <w:position w:val="0"/>
                <w:sz w:val="24"/>
                <w:szCs w:val="24"/>
                <w:lang w:eastAsia="zh-CN"/>
                <w14:textFill>
                  <w14:solidFill>
                    <w14:schemeClr w14:val="tx1"/>
                  </w14:solidFill>
                </w14:textFill>
              </w:rPr>
              <w:t>综上所述，项目的建设符合国家及地方的产业政策要求。</w:t>
            </w:r>
          </w:p>
          <w:p w14:paraId="5A69507C">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其他政策相符性分析</w:t>
            </w:r>
          </w:p>
          <w:p w14:paraId="21E274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）与《高污染燃料目录</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国环规大气【2017】2号）相符性分析</w:t>
            </w:r>
          </w:p>
          <w:p w14:paraId="3A353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与《高污染燃料目录》（国环规大气【2017】2号）相符性分析一览表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4346"/>
              <w:gridCol w:w="2443"/>
              <w:gridCol w:w="866"/>
            </w:tblGrid>
            <w:tr w14:paraId="5538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 w:type="dxa"/>
                  <w:noWrap w:val="0"/>
                  <w:vAlign w:val="center"/>
                </w:tcPr>
                <w:p w14:paraId="5E34C1DB">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3956" w:type="dxa"/>
                  <w:noWrap w:val="0"/>
                  <w:vAlign w:val="center"/>
                </w:tcPr>
                <w:p w14:paraId="672A366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高污染燃料目录</w:t>
                  </w:r>
                </w:p>
              </w:tc>
              <w:tc>
                <w:tcPr>
                  <w:tcW w:w="2224" w:type="dxa"/>
                  <w:noWrap w:val="0"/>
                  <w:vAlign w:val="center"/>
                </w:tcPr>
                <w:p w14:paraId="69191744">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项目情况</w:t>
                  </w:r>
                </w:p>
              </w:tc>
              <w:tc>
                <w:tcPr>
                  <w:tcW w:w="788" w:type="dxa"/>
                  <w:noWrap w:val="0"/>
                  <w:vAlign w:val="center"/>
                </w:tcPr>
                <w:p w14:paraId="6263BAC9">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相符性</w:t>
                  </w:r>
                </w:p>
              </w:tc>
            </w:tr>
            <w:tr w14:paraId="1DEC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 w:type="dxa"/>
                  <w:noWrap w:val="0"/>
                  <w:vAlign w:val="center"/>
                </w:tcPr>
                <w:p w14:paraId="21D0E659">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3956" w:type="dxa"/>
                  <w:noWrap w:val="0"/>
                  <w:vAlign w:val="center"/>
                </w:tcPr>
                <w:p w14:paraId="2FE0196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Ⅰ</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类：单台出力小于20蒸吨/小时的锅炉和民用燃煤设备燃用的含硫量大于0.5%、灰分大于10%的煤炭及其制品；</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石油焦、油页岩、原油、重油、渣油、煤焦油</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4BF6AB2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Ⅱ类：除单台出力大于等于20蒸吨/小时锅炉以外燃用的煤炭及其制品</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石油焦、油页岩、原油、重油、渣油、煤焦油</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w:t>
                  </w:r>
                </w:p>
                <w:p w14:paraId="340A8B8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Ⅲ类：煤炭及其制品</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；石油焦、油页岩、原油、重油、渣油、煤焦油；非专用锅炉或未配置高效除尘设施的专用锅炉燃用的生物质成型燃料。</w:t>
                  </w:r>
                </w:p>
              </w:tc>
              <w:tc>
                <w:tcPr>
                  <w:tcW w:w="2224" w:type="dxa"/>
                  <w:noWrap w:val="0"/>
                  <w:vAlign w:val="center"/>
                </w:tcPr>
                <w:p w14:paraId="25818345">
                  <w:pPr>
                    <w:pStyle w:val="22"/>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锅炉燃料为天然气，</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不属于高污染燃料目录</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中规定的高污染燃料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788" w:type="dxa"/>
                  <w:noWrap w:val="0"/>
                  <w:vAlign w:val="center"/>
                </w:tcPr>
                <w:p w14:paraId="423849CE">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w:t>
                  </w:r>
                </w:p>
              </w:tc>
            </w:tr>
          </w:tbl>
          <w:p w14:paraId="644A4E7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）与《宿州人民政府关于划定高污染燃料禁燃区的通告》（宿政发【2018】50号）相符性分析</w:t>
            </w:r>
          </w:p>
          <w:p w14:paraId="6615B4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与《宿州人民政府关于划定高污染燃料禁燃区的通告》（宿政发【2018】50号）相符性分析一览表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264"/>
              <w:gridCol w:w="2447"/>
              <w:gridCol w:w="855"/>
            </w:tblGrid>
            <w:tr w14:paraId="227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 w:type="dxa"/>
                  <w:noWrap w:val="0"/>
                  <w:vAlign w:val="center"/>
                </w:tcPr>
                <w:p w14:paraId="0BCFC10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序号</w:t>
                  </w:r>
                </w:p>
              </w:tc>
              <w:tc>
                <w:tcPr>
                  <w:tcW w:w="4215" w:type="dxa"/>
                  <w:noWrap w:val="0"/>
                  <w:vAlign w:val="center"/>
                </w:tcPr>
                <w:p w14:paraId="11FB8D1E">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宿州人民政府关于划定高污染燃料禁燃区的通告</w:t>
                  </w:r>
                </w:p>
              </w:tc>
              <w:tc>
                <w:tcPr>
                  <w:tcW w:w="2419" w:type="dxa"/>
                  <w:noWrap w:val="0"/>
                  <w:vAlign w:val="center"/>
                </w:tcPr>
                <w:p w14:paraId="59CE2A3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项目情况</w:t>
                  </w:r>
                </w:p>
              </w:tc>
              <w:tc>
                <w:tcPr>
                  <w:tcW w:w="845" w:type="dxa"/>
                  <w:noWrap w:val="0"/>
                  <w:vAlign w:val="center"/>
                </w:tcPr>
                <w:p w14:paraId="5B886B0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相符性</w:t>
                  </w:r>
                </w:p>
              </w:tc>
            </w:tr>
            <w:tr w14:paraId="0BF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6" w:type="dxa"/>
                  <w:noWrap w:val="0"/>
                  <w:vAlign w:val="center"/>
                </w:tcPr>
                <w:p w14:paraId="7FF12CC3">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4215" w:type="dxa"/>
                  <w:noWrap w:val="0"/>
                  <w:vAlign w:val="center"/>
                </w:tcPr>
                <w:p w14:paraId="27D5716F">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420" w:firstLineChars="20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一、</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禁燃区范围包括：宿州经开区、宿马园区、市高新区、宿州现代制鞋产业城以及埇桥区各街道、埇桥区符离镇、埇桥区西二铺乡、埇桥区桃园镇、埇桥区朱仙庄镇。</w:t>
                  </w:r>
                </w:p>
                <w:p w14:paraId="4C2E0F47">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2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二、</w:t>
                  </w:r>
                  <w:r>
                    <w:rPr>
                      <w:rFonts w:hint="default" w:ascii="Times New Roman" w:hAnsi="Times New Roman" w:eastAsia="宋体" w:cs="Times New Roman"/>
                      <w:color w:val="000000" w:themeColor="text1"/>
                      <w:sz w:val="21"/>
                      <w:szCs w:val="21"/>
                      <w:shd w:val="clear" w:color="auto" w:fill="FFFFFF"/>
                      <w14:textFill>
                        <w14:solidFill>
                          <w14:schemeClr w14:val="tx1"/>
                        </w14:solidFill>
                      </w14:textFill>
                    </w:rPr>
                    <w:t>禁止燃用高污染燃料组合类别为III类（严格），具体包括：煤炭及其制品（包括原煤、散煤、煤矸石、煤泥、煤粉、水煤浆、型煤、焦炭、兰炭等）；石油焦、油页岩、原油、重油、渣油、煤焦油等；非专用锅炉或未配置高效除尘设施的专用锅炉燃用的生物质成型燃料；以及国家规定的其他高污染燃料。</w:t>
                  </w:r>
                </w:p>
              </w:tc>
              <w:tc>
                <w:tcPr>
                  <w:tcW w:w="2419" w:type="dxa"/>
                  <w:noWrap w:val="0"/>
                  <w:vAlign w:val="center"/>
                </w:tcPr>
                <w:p w14:paraId="2F05E33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项目位于</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宿州市高新技术产业开发区拂晓大道9号</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不</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在《宿州人民政府关于划定高污染燃料禁燃区的通告》规定的禁燃区域内，不使用煤炭及其制品及石油焦、原油等燃料，</w:t>
                  </w:r>
                  <w:r>
                    <w:rPr>
                      <w:rFonts w:hint="default" w:ascii="Times New Roman" w:hAnsi="Times New Roman" w:eastAsia="宋体" w:cs="Times New Roman"/>
                      <w:color w:val="000000" w:themeColor="text1"/>
                      <w:sz w:val="21"/>
                      <w:szCs w:val="21"/>
                      <w:lang w:eastAsia="zh-CN"/>
                      <w14:textFill>
                        <w14:solidFill>
                          <w14:schemeClr w14:val="tx1"/>
                        </w14:solidFill>
                      </w14:textFill>
                    </w:rPr>
                    <w:t>本项目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为锅炉技改项目，</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锅炉燃料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为天然气</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845" w:type="dxa"/>
                  <w:noWrap w:val="0"/>
                  <w:vAlign w:val="center"/>
                </w:tcPr>
                <w:p w14:paraId="4073B112">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相符</w:t>
                  </w:r>
                </w:p>
              </w:tc>
            </w:tr>
          </w:tbl>
          <w:p w14:paraId="097FA2F7">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line="360" w:lineRule="auto"/>
              <w:ind w:leftChars="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（3）</w:t>
            </w:r>
            <w:r>
              <w:rPr>
                <w:rFonts w:hint="eastAsia"/>
                <w:b w:val="0"/>
                <w:bCs w:val="0"/>
                <w:color w:val="000000" w:themeColor="text1"/>
                <w:lang w:val="en-US" w:eastAsia="zh-CN"/>
                <w14:textFill>
                  <w14:solidFill>
                    <w14:schemeClr w14:val="tx1"/>
                  </w14:solidFill>
                </w14:textFill>
              </w:rPr>
              <w:t>项目</w:t>
            </w:r>
            <w:r>
              <w:rPr>
                <w:rFonts w:hint="default"/>
                <w:color w:val="000000" w:themeColor="text1"/>
                <w:sz w:val="24"/>
                <w:szCs w:val="24"/>
                <w:lang w:val="en-US" w:eastAsia="zh-CN"/>
                <w14:textFill>
                  <w14:solidFill>
                    <w14:schemeClr w14:val="tx1"/>
                  </w14:solidFill>
                </w14:textFill>
              </w:rPr>
              <w:t>与</w:t>
            </w:r>
            <w:r>
              <w:rPr>
                <w:rFonts w:hint="eastAsia"/>
                <w:color w:val="000000" w:themeColor="text1"/>
                <w:sz w:val="24"/>
                <w:szCs w:val="24"/>
                <w:lang w:val="en-US" w:eastAsia="zh-CN"/>
                <w14:textFill>
                  <w14:solidFill>
                    <w14:schemeClr w14:val="tx1"/>
                  </w14:solidFill>
                </w14:textFill>
              </w:rPr>
              <w:t>安徽省生态环境保护委员会办公室印发的</w:t>
            </w:r>
            <w:r>
              <w:rPr>
                <w:rFonts w:hint="default"/>
                <w:color w:val="000000" w:themeColor="text1"/>
                <w:sz w:val="24"/>
                <w:szCs w:val="24"/>
                <w:lang w:val="en-US" w:eastAsia="zh-CN"/>
                <w14:textFill>
                  <w14:solidFill>
                    <w14:schemeClr w14:val="tx1"/>
                  </w14:solidFill>
                </w14:textFill>
              </w:rPr>
              <w:t>《安徽省2022年大气污染防治工作要点》</w:t>
            </w:r>
            <w:r>
              <w:rPr>
                <w:rFonts w:hint="eastAsia"/>
                <w:color w:val="000000" w:themeColor="text1"/>
                <w:sz w:val="24"/>
                <w:szCs w:val="24"/>
                <w:lang w:val="en-US" w:eastAsia="zh-CN"/>
                <w14:textFill>
                  <w14:solidFill>
                    <w14:schemeClr w14:val="tx1"/>
                  </w14:solidFill>
                </w14:textFill>
              </w:rPr>
              <w:t>（安环委办【2022】37号）</w:t>
            </w:r>
            <w:r>
              <w:rPr>
                <w:rFonts w:hint="default"/>
                <w:color w:val="000000" w:themeColor="text1"/>
                <w:sz w:val="24"/>
                <w:szCs w:val="24"/>
                <w:lang w:val="en-US" w:eastAsia="zh-CN"/>
                <w14:textFill>
                  <w14:solidFill>
                    <w14:schemeClr w14:val="tx1"/>
                  </w14:solidFill>
                </w14:textFill>
              </w:rPr>
              <w:t>的通知相符性分析</w:t>
            </w:r>
            <w:r>
              <w:rPr>
                <w:rFonts w:hint="eastAsia"/>
                <w:color w:val="000000" w:themeColor="text1"/>
                <w:sz w:val="24"/>
                <w:szCs w:val="24"/>
                <w:lang w:val="en-US" w:eastAsia="zh-CN"/>
                <w14:textFill>
                  <w14:solidFill>
                    <w14:schemeClr w14:val="tx1"/>
                  </w14:solidFill>
                </w14:textFill>
              </w:rPr>
              <w:t>。</w:t>
            </w:r>
          </w:p>
          <w:p w14:paraId="18467102">
            <w:pPr>
              <w:pStyle w:val="7"/>
              <w:keepNext w:val="0"/>
              <w:keepLines w:val="0"/>
              <w:pageBreakBefore w:val="0"/>
              <w:widowControl w:val="0"/>
              <w:kinsoku/>
              <w:wordWrap/>
              <w:overflowPunct/>
              <w:topLinePunct w:val="0"/>
              <w:autoSpaceDE w:val="0"/>
              <w:autoSpaceDN w:val="0"/>
              <w:bidi w:val="0"/>
              <w:adjustRightInd w:val="0"/>
              <w:snapToGrid/>
              <w:spacing w:line="360" w:lineRule="auto"/>
              <w:ind w:left="0" w:firstLine="0"/>
              <w:jc w:val="center"/>
              <w:textAlignment w:val="baseline"/>
              <w:rPr>
                <w:rFonts w:hint="default"/>
                <w:b/>
                <w:bCs/>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表1.6  </w:t>
            </w:r>
            <w:r>
              <w:rPr>
                <w:rFonts w:hint="default" w:ascii="Times New Roman" w:hAnsi="Times New Roman" w:cs="Times New Roman"/>
                <w:b/>
                <w:bCs/>
                <w:color w:val="000000" w:themeColor="text1"/>
                <w:sz w:val="24"/>
                <w:szCs w:val="24"/>
                <w:lang w:val="en-US" w:eastAsia="zh-CN"/>
                <w14:textFill>
                  <w14:solidFill>
                    <w14:schemeClr w14:val="tx1"/>
                  </w14:solidFill>
                </w14:textFill>
              </w:rPr>
              <w:t>与</w:t>
            </w:r>
            <w:r>
              <w:rPr>
                <w:rFonts w:hint="default"/>
                <w:b/>
                <w:bCs/>
                <w:color w:val="000000" w:themeColor="text1"/>
                <w:sz w:val="24"/>
                <w:szCs w:val="24"/>
                <w:lang w:val="en-US" w:eastAsia="zh-CN"/>
                <w14:textFill>
                  <w14:solidFill>
                    <w14:schemeClr w14:val="tx1"/>
                  </w14:solidFill>
                </w14:textFill>
              </w:rPr>
              <w:t>《安徽省2022年大气污染防治工作要点》</w:t>
            </w:r>
            <w:r>
              <w:rPr>
                <w:rFonts w:hint="eastAsia"/>
                <w:b/>
                <w:bCs/>
                <w:color w:val="000000" w:themeColor="text1"/>
                <w:sz w:val="24"/>
                <w:szCs w:val="24"/>
                <w:lang w:val="en-US" w:eastAsia="zh-CN"/>
                <w14:textFill>
                  <w14:solidFill>
                    <w14:schemeClr w14:val="tx1"/>
                  </w14:solidFill>
                </w14:textFill>
              </w:rPr>
              <w:t>（安环委办【2022】37号）</w:t>
            </w:r>
            <w:r>
              <w:rPr>
                <w:rFonts w:hint="default" w:ascii="Times New Roman" w:hAnsi="Times New Roman" w:cs="Times New Roman"/>
                <w:b/>
                <w:bCs/>
                <w:color w:val="000000" w:themeColor="text1"/>
                <w:sz w:val="24"/>
                <w:szCs w:val="24"/>
                <w:lang w:val="en-US" w:eastAsia="zh-CN"/>
                <w14:textFill>
                  <w14:solidFill>
                    <w14:schemeClr w14:val="tx1"/>
                  </w14:solidFill>
                </w14:textFill>
              </w:rPr>
              <w:t>相符性分析一览表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280"/>
              <w:gridCol w:w="2270"/>
              <w:gridCol w:w="1028"/>
            </w:tblGrid>
            <w:tr w14:paraId="07B3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dxa"/>
                  <w:noWrap w:val="0"/>
                  <w:vAlign w:val="center"/>
                </w:tcPr>
                <w:p w14:paraId="65413D6A">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序号</w:t>
                  </w:r>
                </w:p>
              </w:tc>
              <w:tc>
                <w:tcPr>
                  <w:tcW w:w="4208" w:type="dxa"/>
                  <w:noWrap w:val="0"/>
                  <w:vAlign w:val="center"/>
                </w:tcPr>
                <w:p w14:paraId="5796515D">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安徽省2022年大气污染防治工作要点</w:t>
                  </w:r>
                </w:p>
              </w:tc>
              <w:tc>
                <w:tcPr>
                  <w:tcW w:w="2232" w:type="dxa"/>
                  <w:noWrap w:val="0"/>
                  <w:vAlign w:val="center"/>
                </w:tcPr>
                <w:p w14:paraId="706B6FA6">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项目情况</w:t>
                  </w:r>
                </w:p>
              </w:tc>
              <w:tc>
                <w:tcPr>
                  <w:tcW w:w="1011" w:type="dxa"/>
                  <w:noWrap w:val="0"/>
                  <w:vAlign w:val="center"/>
                </w:tcPr>
                <w:p w14:paraId="40A8E061">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相符性</w:t>
                  </w:r>
                </w:p>
              </w:tc>
            </w:tr>
            <w:tr w14:paraId="0FC8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7" w:type="dxa"/>
                  <w:noWrap w:val="0"/>
                  <w:vAlign w:val="center"/>
                </w:tcPr>
                <w:p w14:paraId="079F556E">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4208" w:type="dxa"/>
                  <w:noWrap w:val="0"/>
                  <w:vAlign w:val="center"/>
                </w:tcPr>
                <w:p w14:paraId="75F4D791">
                  <w:pPr>
                    <w:keepNext w:val="0"/>
                    <w:keepLines w:val="0"/>
                    <w:pageBreakBefore w:val="0"/>
                    <w:widowControl w:val="0"/>
                    <w:numPr>
                      <w:ilvl w:val="0"/>
                      <w:numId w:val="0"/>
                    </w:numPr>
                    <w:kinsoku/>
                    <w:wordWrap/>
                    <w:overflowPunct/>
                    <w:topLinePunct w:val="0"/>
                    <w:bidi w:val="0"/>
                    <w:adjustRightInd w:val="0"/>
                    <w:snapToGrid w:val="0"/>
                    <w:ind w:left="0" w:leftChars="0"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加强煤炭消费管理。严控新增耗煤项目，大气污染防治重点区域内新建、改建、扩建用煤项目的严格实施煤炭减量替代。加强商品煤质量监督和管理，确保符合国家和地方标准要求。推进煤炭清洁高效利用，鼓励和支持洁净煤技术的开发和推广。禁止新建企业自备燃煤设施，加快供热管网建设，充分释放燃煤电厂、工业余热等供热能力。</w:t>
                  </w:r>
                </w:p>
              </w:tc>
              <w:tc>
                <w:tcPr>
                  <w:tcW w:w="2232" w:type="dxa"/>
                  <w:noWrap w:val="0"/>
                  <w:vAlign w:val="center"/>
                </w:tcPr>
                <w:p w14:paraId="1684B172">
                  <w:pPr>
                    <w:keepNext w:val="0"/>
                    <w:keepLines w:val="0"/>
                    <w:pageBreakBefore w:val="0"/>
                    <w:widowControl w:val="0"/>
                    <w:numPr>
                      <w:ilvl w:val="0"/>
                      <w:numId w:val="0"/>
                    </w:numPr>
                    <w:kinsoku/>
                    <w:wordWrap/>
                    <w:overflowPunct/>
                    <w:topLinePunct w:val="0"/>
                    <w:bidi w:val="0"/>
                    <w:adjustRightInd w:val="0"/>
                    <w:snapToGrid w:val="0"/>
                    <w:ind w:left="0" w:leftChars="0" w:firstLine="0" w:firstLineChars="0"/>
                    <w:jc w:val="center"/>
                    <w:textAlignment w:val="auto"/>
                    <w:rPr>
                      <w:rFonts w:hint="eastAsia"/>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本项目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为锅炉技改项目，蒸汽锅炉为天然气锅炉</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，不属于燃煤锅炉和低效燃煤小热电。</w:t>
                  </w:r>
                  <w:r>
                    <w:rPr>
                      <w:rFonts w:hint="default" w:ascii="Times New Roman" w:hAnsi="Times New Roman" w:eastAsia="宋体" w:cs="Times New Roman"/>
                      <w:color w:val="000000" w:themeColor="text1"/>
                      <w:sz w:val="21"/>
                      <w:szCs w:val="21"/>
                      <w:lang w:eastAsia="zh-CN"/>
                      <w14:textFill>
                        <w14:solidFill>
                          <w14:schemeClr w14:val="tx1"/>
                        </w14:solidFill>
                      </w14:textFill>
                    </w:rPr>
                    <w:t>锅炉</w:t>
                  </w:r>
                  <w:r>
                    <w:rPr>
                      <w:rFonts w:hint="eastAsia" w:cs="Times New Roman"/>
                      <w:color w:val="000000" w:themeColor="text1"/>
                      <w:sz w:val="21"/>
                      <w:szCs w:val="21"/>
                      <w:lang w:val="en-US" w:eastAsia="zh-CN"/>
                      <w14:textFill>
                        <w14:solidFill>
                          <w14:schemeClr w14:val="tx1"/>
                        </w14:solidFill>
                      </w14:textFill>
                    </w:rPr>
                    <w:t>使用燃料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为天然气</w:t>
                  </w:r>
                  <w:r>
                    <w:rPr>
                      <w:rFonts w:hint="eastAsia" w:cs="Times New Roman"/>
                      <w:color w:val="000000" w:themeColor="text1"/>
                      <w:sz w:val="21"/>
                      <w:szCs w:val="21"/>
                      <w:lang w:val="en-US" w:eastAsia="zh-CN"/>
                      <w14:textFill>
                        <w14:solidFill>
                          <w14:schemeClr w14:val="tx1"/>
                        </w14:solidFill>
                      </w14:textFill>
                    </w:rPr>
                    <w:t>，不属</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于高污染燃料，改造后的</w:t>
                  </w:r>
                  <w:r>
                    <w:rPr>
                      <w:rFonts w:hint="default" w:ascii="Times New Roman" w:hAnsi="Times New Roman" w:eastAsia="宋体" w:cs="Times New Roman"/>
                      <w:color w:val="000000" w:themeColor="text1"/>
                      <w:sz w:val="21"/>
                      <w:szCs w:val="21"/>
                      <w:lang w:eastAsia="zh-CN"/>
                      <w14:textFill>
                        <w14:solidFill>
                          <w14:schemeClr w14:val="tx1"/>
                        </w14:solidFill>
                      </w14:textFill>
                    </w:rPr>
                    <w:t>锅炉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配套低氮燃烧器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实现低氮燃烧技术改造</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011" w:type="dxa"/>
                  <w:noWrap w:val="0"/>
                  <w:vAlign w:val="center"/>
                </w:tcPr>
                <w:p w14:paraId="4E1323DC">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相符</w:t>
                  </w:r>
                </w:p>
              </w:tc>
            </w:tr>
          </w:tbl>
          <w:p w14:paraId="2341DD22">
            <w:pPr>
              <w:keepNext w:val="0"/>
              <w:keepLines w:val="0"/>
              <w:pageBreakBefore w:val="0"/>
              <w:widowControl w:val="0"/>
              <w:numPr>
                <w:ilvl w:val="0"/>
                <w:numId w:val="2"/>
              </w:numPr>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w:t>
            </w:r>
            <w:r>
              <w:rPr>
                <w:rFonts w:hint="default"/>
                <w:color w:val="000000" w:themeColor="text1"/>
                <w:sz w:val="24"/>
                <w:szCs w:val="24"/>
                <w:lang w:val="en-US" w:eastAsia="zh-CN"/>
                <w14:textFill>
                  <w14:solidFill>
                    <w14:schemeClr w14:val="tx1"/>
                  </w14:solidFill>
                </w14:textFill>
              </w:rPr>
              <w:t>与</w:t>
            </w:r>
            <w:r>
              <w:rPr>
                <w:rFonts w:hint="eastAsia"/>
                <w:color w:val="000000" w:themeColor="text1"/>
                <w:sz w:val="24"/>
                <w:szCs w:val="24"/>
                <w:lang w:val="en-US" w:eastAsia="zh-CN"/>
                <w14:textFill>
                  <w14:solidFill>
                    <w14:schemeClr w14:val="tx1"/>
                  </w14:solidFill>
                </w14:textFill>
              </w:rPr>
              <w:t>关于印发《安徽省“十四五”生态环境保护规划》的通知</w:t>
            </w:r>
            <w:r>
              <w:rPr>
                <w:rFonts w:hint="eastAsia"/>
                <w:b w:val="0"/>
                <w:bCs w:val="0"/>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皖环发〔2022〕8号</w:t>
            </w:r>
            <w:r>
              <w:rPr>
                <w:rFonts w:hint="eastAsia"/>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相符性分析详见下表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03AFF9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表1.</w:t>
            </w: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b/>
                <w:bCs/>
                <w:color w:val="000000" w:themeColor="text1"/>
                <w:sz w:val="24"/>
                <w:szCs w:val="24"/>
                <w:lang w:val="en-US" w:eastAsia="zh-CN"/>
                <w14:textFill>
                  <w14:solidFill>
                    <w14:schemeClr w14:val="tx1"/>
                  </w14:solidFill>
                </w14:textFill>
              </w:rPr>
              <w:t>与</w:t>
            </w:r>
            <w:r>
              <w:rPr>
                <w:rFonts w:hint="eastAsia"/>
                <w:b/>
                <w:bCs/>
                <w:color w:val="000000" w:themeColor="text1"/>
                <w:sz w:val="24"/>
                <w:szCs w:val="24"/>
                <w:lang w:val="en-US" w:eastAsia="zh-CN"/>
                <w14:textFill>
                  <w14:solidFill>
                    <w14:schemeClr w14:val="tx1"/>
                  </w14:solidFill>
                </w14:textFill>
              </w:rPr>
              <w:t>关于印发《安徽省“十四五”生态环境保护规划》的通知（皖环发〔2022〕8号）</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相符性分析</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57"/>
              <w:gridCol w:w="2312"/>
              <w:gridCol w:w="966"/>
            </w:tblGrid>
            <w:tr w14:paraId="49C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2" w:type="dxa"/>
                  <w:noWrap w:val="0"/>
                  <w:vAlign w:val="center"/>
                </w:tcPr>
                <w:p w14:paraId="06761D1E">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4110" w:type="dxa"/>
                  <w:noWrap w:val="0"/>
                  <w:vAlign w:val="center"/>
                </w:tcPr>
                <w:p w14:paraId="77823E4A">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default"/>
                      <w:color w:val="000000" w:themeColor="text1"/>
                      <w:sz w:val="21"/>
                      <w:szCs w:val="21"/>
                      <w:vertAlign w:val="baseline"/>
                      <w:lang w:val="en-US" w:eastAsia="zh-CN"/>
                      <w14:textFill>
                        <w14:solidFill>
                          <w14:schemeClr w14:val="tx1"/>
                        </w14:solidFill>
                      </w14:textFill>
                    </w:rPr>
                    <w:t>安徽省“十四五”生态环境保护规划</w:t>
                  </w:r>
                </w:p>
              </w:tc>
              <w:tc>
                <w:tcPr>
                  <w:tcW w:w="2286" w:type="dxa"/>
                  <w:noWrap w:val="0"/>
                  <w:vAlign w:val="center"/>
                </w:tcPr>
                <w:p w14:paraId="2DEF9E62">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本项目情况</w:t>
                  </w:r>
                </w:p>
              </w:tc>
              <w:tc>
                <w:tcPr>
                  <w:tcW w:w="954" w:type="dxa"/>
                  <w:noWrap w:val="0"/>
                  <w:vAlign w:val="center"/>
                </w:tcPr>
                <w:p w14:paraId="1F35820A">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相符性</w:t>
                  </w:r>
                </w:p>
              </w:tc>
            </w:tr>
            <w:tr w14:paraId="68CD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2" w:type="dxa"/>
                  <w:noWrap w:val="0"/>
                  <w:vAlign w:val="center"/>
                </w:tcPr>
                <w:p w14:paraId="68A83F14">
                  <w:pPr>
                    <w:pStyle w:val="11"/>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4110" w:type="dxa"/>
                  <w:noWrap w:val="0"/>
                  <w:vAlign w:val="center"/>
                </w:tcPr>
                <w:p w14:paraId="5CD5ACC2">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0" w:firstLineChars="0"/>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深入开展锅炉、炉窑综合整治。实施重点涉工业炉窑企业深度治理或清洁能源替代，完成65蒸吨及以上燃煤锅炉节能改造。持续开展散煤污染治理行动，严格查处非法销售、使用非清洁散煤等行为。</w:t>
                  </w:r>
                </w:p>
                <w:p w14:paraId="594DFFB5">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286" w:type="dxa"/>
                  <w:noWrap w:val="0"/>
                  <w:vAlign w:val="center"/>
                </w:tcPr>
                <w:p w14:paraId="2B713A24">
                  <w:pPr>
                    <w:pStyle w:val="2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right="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本项目使用</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台</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t/h燃气蒸汽锅炉，不属于燃煤锅炉和低效燃煤小热电。锅炉</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使用燃料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为天然气</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改造后的</w:t>
                  </w:r>
                  <w:r>
                    <w:rPr>
                      <w:rFonts w:hint="default" w:ascii="Times New Roman" w:hAnsi="Times New Roman" w:eastAsia="宋体" w:cs="Times New Roman"/>
                      <w:color w:val="000000" w:themeColor="text1"/>
                      <w:sz w:val="21"/>
                      <w:szCs w:val="21"/>
                      <w:lang w:eastAsia="zh-CN"/>
                      <w14:textFill>
                        <w14:solidFill>
                          <w14:schemeClr w14:val="tx1"/>
                        </w14:solidFill>
                      </w14:textFill>
                    </w:rPr>
                    <w:t>锅炉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废气排放量减少</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954" w:type="dxa"/>
                  <w:noWrap w:val="0"/>
                  <w:vAlign w:val="center"/>
                </w:tcPr>
                <w:p w14:paraId="12457DE0">
                  <w:pPr>
                    <w:keepNext w:val="0"/>
                    <w:keepLines w:val="0"/>
                    <w:pageBreakBefore w:val="0"/>
                    <w:numPr>
                      <w:ilvl w:val="0"/>
                      <w:numId w:val="0"/>
                    </w:numPr>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相符</w:t>
                  </w:r>
                </w:p>
              </w:tc>
            </w:tr>
          </w:tbl>
          <w:p w14:paraId="51A6791C">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cs="Times New Roman"/>
                <w:b/>
                <w:bCs/>
                <w:i w:val="0"/>
                <w:i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i w:val="0"/>
                <w:iCs w:val="0"/>
                <w:snapToGrid/>
                <w:color w:val="000000" w:themeColor="text1"/>
                <w:spacing w:val="0"/>
                <w:kern w:val="0"/>
                <w:position w:val="0"/>
                <w:sz w:val="24"/>
                <w:szCs w:val="24"/>
                <w:lang w:val="en-US" w:eastAsia="zh-CN"/>
                <w14:textFill>
                  <w14:solidFill>
                    <w14:schemeClr w14:val="tx1"/>
                  </w14:solidFill>
                </w14:textFill>
              </w:rPr>
              <w:t>4、环境相容性分析</w:t>
            </w:r>
          </w:p>
          <w:p w14:paraId="4CE6055F">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336" w:lineRule="auto"/>
              <w:ind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建设地点位于</w:t>
            </w:r>
            <w:r>
              <w:rPr>
                <w:rFonts w:hint="eastAsia" w:cs="Times New Roman"/>
                <w:color w:val="000000" w:themeColor="text1"/>
                <w:sz w:val="24"/>
                <w:szCs w:val="24"/>
                <w:highlight w:val="none"/>
                <w:lang w:eastAsia="zh-CN"/>
                <w14:textFill>
                  <w14:solidFill>
                    <w14:schemeClr w14:val="tx1"/>
                  </w14:solidFill>
                </w14:textFill>
              </w:rPr>
              <w:t>宿州市高新技术产业开发区拂晓大道9号</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厂区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北</w:t>
            </w:r>
            <w:r>
              <w:rPr>
                <w:rFonts w:hint="eastAsia" w:cs="Times New Roman"/>
                <w:color w:val="000000" w:themeColor="text1"/>
                <w:sz w:val="24"/>
                <w:szCs w:val="24"/>
                <w:highlight w:val="none"/>
                <w:lang w:val="en-US" w:eastAsia="zh-CN"/>
                <w14:textFill>
                  <w14:solidFill>
                    <w14:schemeClr w14:val="tx1"/>
                  </w14:solidFill>
                </w14:textFill>
              </w:rPr>
              <w:t>侧为宿州市汽车站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，东</w:t>
            </w:r>
            <w:r>
              <w:rPr>
                <w:rFonts w:hint="eastAsia" w:cs="Times New Roman"/>
                <w:color w:val="000000" w:themeColor="text1"/>
                <w:sz w:val="24"/>
                <w:szCs w:val="24"/>
                <w:highlight w:val="none"/>
                <w:lang w:val="en-US" w:eastAsia="zh-CN"/>
                <w14:textFill>
                  <w14:solidFill>
                    <w14:schemeClr w14:val="tx1"/>
                  </w14:solidFill>
                </w14:textFill>
              </w:rPr>
              <w:t>侧为闲置厂房、</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南</w:t>
            </w:r>
            <w:r>
              <w:rPr>
                <w:rFonts w:hint="eastAsia" w:cs="Times New Roman"/>
                <w:color w:val="000000" w:themeColor="text1"/>
                <w:sz w:val="24"/>
                <w:szCs w:val="24"/>
                <w:highlight w:val="none"/>
                <w:lang w:val="en-US" w:eastAsia="zh-CN"/>
                <w14:textFill>
                  <w14:solidFill>
                    <w14:schemeClr w14:val="tx1"/>
                  </w14:solidFill>
                </w14:textFill>
              </w:rPr>
              <w:t>侧为宿州市高新区云计算产业园、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西</w:t>
            </w:r>
            <w:r>
              <w:rPr>
                <w:rFonts w:hint="eastAsia" w:cs="Times New Roman"/>
                <w:color w:val="000000" w:themeColor="text1"/>
                <w:sz w:val="24"/>
                <w:szCs w:val="24"/>
                <w:highlight w:val="none"/>
                <w:lang w:val="en-US" w:eastAsia="zh-CN"/>
                <w14:textFill>
                  <w14:solidFill>
                    <w14:schemeClr w14:val="tx1"/>
                  </w14:solidFill>
                </w14:textFill>
              </w:rPr>
              <w:t>侧为空地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对项目产生影响较小。</w:t>
            </w:r>
          </w:p>
          <w:p w14:paraId="154AB70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eastAsia="宋体"/>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本项目属于</w:t>
            </w:r>
            <w:r>
              <w:rPr>
                <w:rFonts w:hint="eastAsia" w:ascii="宋体" w:hAnsi="宋体" w:eastAsia="宋体" w:cs="宋体"/>
                <w:color w:val="000000" w:themeColor="text1"/>
                <w:kern w:val="0"/>
                <w:sz w:val="24"/>
                <w:szCs w:val="24"/>
                <w:lang w:val="en-US" w:eastAsia="zh-CN" w:bidi="ar"/>
                <w14:textFill>
                  <w14:solidFill>
                    <w14:schemeClr w14:val="tx1"/>
                  </w14:solidFill>
                </w14:textFill>
              </w:rPr>
              <w:t>蔬菜、菌类、水果和坚果加工</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color w:val="000000" w:themeColor="text1"/>
                <w:sz w:val="24"/>
                <w:highlight w:val="none"/>
                <w14:textFill>
                  <w14:solidFill>
                    <w14:schemeClr w14:val="tx1"/>
                  </w14:solidFill>
                </w14:textFill>
              </w:rPr>
              <w:t>项目运营期产生的各类污染物</w:t>
            </w:r>
            <w:r>
              <w:rPr>
                <w:color w:val="000000" w:themeColor="text1"/>
                <w:sz w:val="24"/>
                <w:highlight w:val="none"/>
                <w:lang w:val="zh-CN"/>
                <w14:textFill>
                  <w14:solidFill>
                    <w14:schemeClr w14:val="tx1"/>
                  </w14:solidFill>
                </w14:textFill>
              </w:rPr>
              <w:t>在采取相应处理处置措施后，均可做到综合利用或无害化处置，不会对区域环境造成不利影响。</w:t>
            </w:r>
            <w:r>
              <w:rPr>
                <w:color w:val="000000" w:themeColor="text1"/>
                <w:sz w:val="24"/>
                <w:highlight w:val="none"/>
                <w14:textFill>
                  <w14:solidFill>
                    <w14:schemeClr w14:val="tx1"/>
                  </w14:solidFill>
                </w14:textFill>
              </w:rPr>
              <w:t>因此，本项目建设对周边环境影响较小。</w:t>
            </w:r>
          </w:p>
          <w:p w14:paraId="655A515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综上所述，本项目与周边环境相容。</w:t>
            </w:r>
          </w:p>
          <w:p w14:paraId="64F7F0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BAF1E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830EF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0D87B3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33430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0690DD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64FDCE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734712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13592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6A19B8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18E193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A147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D01C1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01C094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710C9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4BB9B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06160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3A2777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cs="宋体"/>
                <w:snapToGrid/>
                <w:color w:val="000000" w:themeColor="text1"/>
                <w:spacing w:val="0"/>
                <w:kern w:val="0"/>
                <w:position w:val="0"/>
                <w:sz w:val="24"/>
                <w:szCs w:val="24"/>
                <w:lang w:val="en-US" w:eastAsia="zh-CN"/>
                <w14:textFill>
                  <w14:solidFill>
                    <w14:schemeClr w14:val="tx1"/>
                  </w14:solidFill>
                </w14:textFill>
              </w:rPr>
            </w:pPr>
          </w:p>
          <w:p w14:paraId="546BAD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p>
        </w:tc>
      </w:tr>
    </w:tbl>
    <w:p w14:paraId="29974F33">
      <w:pPr>
        <w:tabs>
          <w:tab w:val="left" w:pos="558"/>
        </w:tabs>
        <w:bidi w:val="0"/>
        <w:jc w:val="left"/>
        <w:rPr>
          <w:rFonts w:hint="eastAsia"/>
          <w:snapToGrid/>
          <w:color w:val="000000" w:themeColor="text1"/>
          <w:spacing w:val="0"/>
          <w:kern w:val="0"/>
          <w:position w:val="0"/>
          <w:lang w:val="en-US" w:eastAsia="zh-CN"/>
          <w14:textFill>
            <w14:solidFill>
              <w14:schemeClr w14:val="tx1"/>
            </w14:solidFill>
          </w14:textFill>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2596EA72">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vertAlign w:val="baseline"/>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二、建设项目工程分析</w:t>
      </w:r>
    </w:p>
    <w:tbl>
      <w:tblPr>
        <w:tblStyle w:val="2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03"/>
      </w:tblGrid>
      <w:tr w14:paraId="4C88F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305" w:type="pct"/>
            <w:tcBorders>
              <w:tl2br w:val="nil"/>
              <w:tr2bl w:val="nil"/>
            </w:tcBorders>
            <w:vAlign w:val="center"/>
          </w:tcPr>
          <w:p w14:paraId="158A61F1">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outlineLvl w:val="0"/>
              <w:rPr>
                <w:rFonts w:hint="eastAsia" w:ascii="宋体" w:hAnsi="宋体" w:eastAsia="宋体" w:cs="宋体"/>
                <w:b/>
                <w:bCs/>
                <w:snapToGrid/>
                <w:color w:val="000000" w:themeColor="text1"/>
                <w:spacing w:val="0"/>
                <w:kern w:val="0"/>
                <w:position w:val="0"/>
                <w:sz w:val="30"/>
                <w:szCs w:val="30"/>
                <w:vertAlign w:val="baseline"/>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建设内容</w:t>
            </w:r>
          </w:p>
        </w:tc>
        <w:tc>
          <w:tcPr>
            <w:tcW w:w="4565" w:type="pct"/>
            <w:tcBorders>
              <w:tl2br w:val="nil"/>
              <w:tr2bl w:val="nil"/>
            </w:tcBorders>
            <w:vAlign w:val="top"/>
          </w:tcPr>
          <w:p w14:paraId="1E53DD54">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line="360" w:lineRule="auto"/>
              <w:jc w:val="both"/>
              <w:textAlignment w:val="auto"/>
              <w:rPr>
                <w:rFonts w:hint="eastAsia"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项目建设基本情况</w:t>
            </w:r>
          </w:p>
          <w:p w14:paraId="59C8B0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（1）环评报告表类别确定</w:t>
            </w:r>
          </w:p>
          <w:p w14:paraId="1CF5A1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根据《中华人民共和国环境保护法》、《中华人民共和国环境影响评价法》、《建设项目环境影响评价分类管理名录（2021 年版）》（生态环境部令第16号）中的有关规定，本项目属于：</w:t>
            </w:r>
            <w:r>
              <w:rPr>
                <w:rFonts w:hint="default"/>
                <w:color w:val="000000" w:themeColor="text1"/>
                <w:sz w:val="24"/>
                <w:szCs w:val="24"/>
                <w:lang w:val="en-US" w:eastAsia="zh-CN"/>
                <w14:textFill>
                  <w14:solidFill>
                    <w14:schemeClr w14:val="tx1"/>
                  </w14:solidFill>
                </w14:textFill>
              </w:rPr>
              <w:t>四十一、电力、热力生产和供应业</w:t>
            </w:r>
            <w:r>
              <w:rPr>
                <w:rFonts w:hint="eastAsia"/>
                <w:color w:val="000000" w:themeColor="text1"/>
                <w:sz w:val="24"/>
                <w:szCs w:val="24"/>
                <w:lang w:val="en-US" w:eastAsia="zh-CN"/>
                <w14:textFill>
                  <w14:solidFill>
                    <w14:schemeClr w14:val="tx1"/>
                  </w14:solidFill>
                </w14:textFill>
              </w:rPr>
              <w:t xml:space="preserve"> 91 热力生产和供应工程（包括建设单位自建自用的供热工程）</w:t>
            </w:r>
            <w:r>
              <w:rPr>
                <w:rFonts w:hint="default" w:ascii="Times New Roman" w:hAnsi="Times New Roman" w:eastAsia="宋体" w:cs="Times New Roman"/>
                <w:color w:val="000000" w:themeColor="text1"/>
                <w:sz w:val="24"/>
                <w:lang w:val="en-US" w:eastAsia="zh-CN"/>
                <w14:textFill>
                  <w14:solidFill>
                    <w14:schemeClr w14:val="tx1"/>
                  </w14:solidFill>
                </w14:textFill>
              </w:rPr>
              <w:t>，应</w:t>
            </w:r>
            <w:r>
              <w:rPr>
                <w:rFonts w:hint="eastAsia" w:eastAsia="宋体"/>
                <w:color w:val="000000" w:themeColor="text1"/>
                <w:sz w:val="24"/>
                <w:lang w:val="en-US" w:eastAsia="zh-CN"/>
                <w14:textFill>
                  <w14:solidFill>
                    <w14:schemeClr w14:val="tx1"/>
                  </w14:solidFill>
                </w14:textFill>
              </w:rPr>
              <w:t>当编制环境影响报告表。</w:t>
            </w:r>
          </w:p>
          <w:p w14:paraId="24EF1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color w:val="000000" w:themeColor="text1"/>
                <w14:textFill>
                  <w14:solidFill>
                    <w14:schemeClr w14:val="tx1"/>
                  </w14:solidFill>
                </w14:textFill>
              </w:rPr>
            </w:pPr>
            <w:r>
              <w:rPr>
                <w:rFonts w:hint="eastAsia" w:eastAsia="宋体"/>
                <w:b/>
                <w:bCs/>
                <w:color w:val="000000" w:themeColor="text1"/>
                <w:sz w:val="24"/>
                <w:lang w:val="en-US" w:eastAsia="zh-CN"/>
                <w14:textFill>
                  <w14:solidFill>
                    <w14:schemeClr w14:val="tx1"/>
                  </w14:solidFill>
                </w14:textFill>
              </w:rPr>
              <w:t xml:space="preserve">表2.1 </w:t>
            </w:r>
            <w:r>
              <w:rPr>
                <w:rFonts w:hint="eastAsia"/>
                <w:b/>
                <w:bCs/>
                <w:color w:val="000000" w:themeColor="text1"/>
                <w:sz w:val="24"/>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环评类别对照表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557"/>
              <w:gridCol w:w="1560"/>
              <w:gridCol w:w="2699"/>
              <w:gridCol w:w="937"/>
              <w:gridCol w:w="960"/>
            </w:tblGrid>
            <w:tr w14:paraId="79A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79" w:type="pct"/>
                  <w:gridSpan w:val="2"/>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0C996C6">
                  <w:pPr>
                    <w:pStyle w:val="15"/>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3168DFD8">
                  <w:pPr>
                    <w:keepNext w:val="0"/>
                    <w:keepLines w:val="0"/>
                    <w:pageBreakBefore w:val="0"/>
                    <w:widowControl w:val="0"/>
                    <w:kinsoku/>
                    <w:wordWrap/>
                    <w:overflowPunct/>
                    <w:topLinePunct w:val="0"/>
                    <w:autoSpaceDE/>
                    <w:autoSpaceDN/>
                    <w:bidi w:val="0"/>
                    <w:adjustRightInd/>
                    <w:spacing w:line="240" w:lineRule="auto"/>
                    <w:ind w:left="0" w:leftChars="0" w:firstLine="0"/>
                    <w:jc w:val="center"/>
                    <w:textAlignment w:val="auto"/>
                    <mc:AlternateContent>
                      <mc:Choice Requires="wpsCustomData">
                        <wpsCustomData:diagonalParaType/>
                      </mc:Choice>
                    </mc:AlternateConten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项目类别</w:t>
                  </w:r>
                </w:p>
                <w:p w14:paraId="305FCF3A">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环评类别</w:t>
                  </w:r>
                </w:p>
              </w:tc>
              <w:tc>
                <w:tcPr>
                  <w:tcW w:w="3139" w:type="pct"/>
                  <w:gridSpan w:val="3"/>
                  <w:noWrap w:val="0"/>
                  <w:vAlign w:val="center"/>
                </w:tcPr>
                <w:p w14:paraId="531B30D3">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环境影响评价类别</w:t>
                  </w:r>
                </w:p>
              </w:tc>
              <w:tc>
                <w:tcPr>
                  <w:tcW w:w="580" w:type="pct"/>
                  <w:vMerge w:val="restart"/>
                  <w:noWrap w:val="0"/>
                  <w:vAlign w:val="center"/>
                </w:tcPr>
                <w:p w14:paraId="0AC89913">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项目环评类别判定</w:t>
                  </w:r>
                </w:p>
              </w:tc>
            </w:tr>
            <w:tr w14:paraId="355D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9" w:type="pct"/>
                  <w:gridSpan w:val="2"/>
                  <w:vMerge w:val="continue"/>
                  <w:noWrap w:val="0"/>
                  <w:vAlign w:val="center"/>
                </w:tcPr>
                <w:p w14:paraId="26DFA441">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42" w:type="pct"/>
                  <w:noWrap w:val="0"/>
                  <w:vAlign w:val="center"/>
                </w:tcPr>
                <w:p w14:paraId="14EC75D2">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报告书</w:t>
                  </w:r>
                </w:p>
              </w:tc>
              <w:tc>
                <w:tcPr>
                  <w:tcW w:w="1631" w:type="pct"/>
                  <w:noWrap w:val="0"/>
                  <w:vAlign w:val="center"/>
                </w:tcPr>
                <w:p w14:paraId="38904E0B">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报告表</w:t>
                  </w:r>
                </w:p>
              </w:tc>
              <w:tc>
                <w:tcPr>
                  <w:tcW w:w="566" w:type="pct"/>
                  <w:noWrap w:val="0"/>
                  <w:vAlign w:val="center"/>
                </w:tcPr>
                <w:p w14:paraId="3E58BA88">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登记表</w:t>
                  </w:r>
                </w:p>
              </w:tc>
              <w:tc>
                <w:tcPr>
                  <w:tcW w:w="580" w:type="pct"/>
                  <w:vMerge w:val="continue"/>
                  <w:noWrap w:val="0"/>
                  <w:vAlign w:val="center"/>
                </w:tcPr>
                <w:p w14:paraId="581A7E66">
                  <w:pPr>
                    <w:pStyle w:val="15"/>
                    <w:keepNext w:val="0"/>
                    <w:keepLines w:val="0"/>
                    <w:pageBreakBefore w:val="0"/>
                    <w:widowControl w:val="0"/>
                    <w:kinsoku/>
                    <w:wordWrap/>
                    <w:overflowPunct/>
                    <w:topLinePunct w:val="0"/>
                    <w:autoSpaceDE/>
                    <w:autoSpaceDN/>
                    <w:bidi w:val="0"/>
                    <w:adjustRightIn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5189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6"/>
                  <w:noWrap w:val="0"/>
                  <w:vAlign w:val="center"/>
                </w:tcPr>
                <w:p w14:paraId="6642952A">
                  <w:pPr>
                    <w:keepNext w:val="0"/>
                    <w:keepLines w:val="0"/>
                    <w:pageBreakBefore w:val="0"/>
                    <w:widowControl/>
                    <w:suppressLineNumbers w:val="0"/>
                    <w:kinsoku/>
                    <w:wordWrap/>
                    <w:overflowPunct/>
                    <w:topLinePunct w:val="0"/>
                    <w:autoSpaceDE/>
                    <w:autoSpaceDN/>
                    <w:bidi w:val="0"/>
                    <w:adjustRightInd/>
                    <w:jc w:val="both"/>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四十一、电力、热力生产和供应业</w:t>
                  </w:r>
                </w:p>
              </w:tc>
            </w:tr>
            <w:tr w14:paraId="3D53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339" w:type="pct"/>
                  <w:noWrap w:val="0"/>
                  <w:vAlign w:val="center"/>
                </w:tcPr>
                <w:p w14:paraId="713025B8">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91</w:t>
                  </w:r>
                </w:p>
              </w:tc>
              <w:tc>
                <w:tcPr>
                  <w:tcW w:w="940" w:type="pct"/>
                  <w:noWrap w:val="0"/>
                  <w:vAlign w:val="center"/>
                </w:tcPr>
                <w:p w14:paraId="553D8BAD">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热力生产和供应工程（包括建设单位自建自用的供热工程）</w:t>
                  </w:r>
                </w:p>
              </w:tc>
              <w:tc>
                <w:tcPr>
                  <w:tcW w:w="942" w:type="pct"/>
                  <w:noWrap w:val="0"/>
                  <w:vAlign w:val="center"/>
                </w:tcPr>
                <w:p w14:paraId="6E7236E5">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燃煤、燃油锅炉总容量65吨/小时（45.5兆瓦）以上的</w:t>
                  </w:r>
                </w:p>
              </w:tc>
              <w:tc>
                <w:tcPr>
                  <w:tcW w:w="1631" w:type="pct"/>
                  <w:shd w:val="clear" w:color="auto" w:fill="BEBEBE" w:themeFill="background1" w:themeFillShade="BF"/>
                  <w:noWrap w:val="0"/>
                  <w:vAlign w:val="center"/>
                </w:tcPr>
                <w:p w14:paraId="570AD8E6">
                  <w:pPr>
                    <w:keepNext w:val="0"/>
                    <w:keepLines w:val="0"/>
                    <w:pageBreakBefore w:val="0"/>
                    <w:widowControl/>
                    <w:suppressLineNumbers w:val="0"/>
                    <w:kinsoku/>
                    <w:wordWrap/>
                    <w:overflowPunct/>
                    <w:topLinePunct w:val="0"/>
                    <w:autoSpaceDE/>
                    <w:autoSpaceDN/>
                    <w:bidi w:val="0"/>
                    <w:adjustRightInd/>
                    <w:jc w:val="center"/>
                    <w:textAlignment w:val="auto"/>
                    <w:rPr>
                      <w:rFonts w:hint="default" w:ascii="Times New Roman" w:hAnsi="Times New Roman" w:eastAsia="宋体" w:cs="Times New Roman"/>
                      <w:b w:val="0"/>
                      <w:bCs w:val="0"/>
                      <w:color w:val="000000" w:themeColor="text1"/>
                      <w:sz w:val="21"/>
                      <w:szCs w:val="21"/>
                      <w:highlight w:val="lightGray"/>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燃煤、燃油锅炉总容量65吨/小时（45.5兆瓦）及以下的；天然气锅炉总容量1吨/小时（0.7兆瓦）以上的；使用其他高污染燃料的（高污染燃料指国环规大气〔2017〕2号《高污染燃料目录》中规定的燃料）</w:t>
                  </w:r>
                </w:p>
              </w:tc>
              <w:tc>
                <w:tcPr>
                  <w:tcW w:w="566" w:type="pct"/>
                  <w:noWrap w:val="0"/>
                  <w:vAlign w:val="center"/>
                </w:tcPr>
                <w:p w14:paraId="3346754D">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w:t>
                  </w:r>
                </w:p>
              </w:tc>
              <w:tc>
                <w:tcPr>
                  <w:tcW w:w="580" w:type="pct"/>
                  <w:noWrap w:val="0"/>
                  <w:vAlign w:val="center"/>
                </w:tcPr>
                <w:p w14:paraId="18FFA477">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jc w:val="center"/>
                    <w:textAlignment w:val="auto"/>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报告表</w:t>
                  </w:r>
                </w:p>
              </w:tc>
            </w:tr>
          </w:tbl>
          <w:p w14:paraId="11F117A4">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eastAsia="宋体"/>
                <w:color w:val="000000" w:themeColor="text1"/>
                <w:sz w:val="24"/>
                <w:lang w:val="en-US" w:eastAsia="zh-CN"/>
                <w14:textFill>
                  <w14:solidFill>
                    <w14:schemeClr w14:val="tx1"/>
                  </w14:solidFill>
                </w14:textFill>
              </w:rPr>
              <w:t>）排污许可管理类别确定</w:t>
            </w:r>
          </w:p>
          <w:p w14:paraId="25925E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根据《固定污染源排污许可分类管理名录（2019年版）》（生态环境部令第11号）中的有关规定，</w:t>
            </w:r>
            <w:r>
              <w:rPr>
                <w:rFonts w:hint="default" w:ascii="Times New Roman" w:hAnsi="Times New Roman" w:cs="Times New Roman"/>
                <w:color w:val="000000" w:themeColor="text1"/>
                <w:kern w:val="0"/>
                <w:sz w:val="24"/>
                <w14:textFill>
                  <w14:solidFill>
                    <w14:schemeClr w14:val="tx1"/>
                  </w14:solidFill>
                </w14:textFill>
              </w:rPr>
              <w:t>本项目属于</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八、农副食品加工业 13</w:t>
            </w:r>
            <w:r>
              <w:rPr>
                <w:rFonts w:hint="default" w:ascii="Times New Roman" w:hAnsi="Times New Roman" w:cs="Times New Roman"/>
                <w:color w:val="000000" w:themeColor="text1"/>
                <w:kern w:val="0"/>
                <w:sz w:val="24"/>
                <w:lang w:val="en-US" w:eastAsia="zh-CN"/>
                <w14:textFill>
                  <w14:solidFill>
                    <w14:schemeClr w14:val="tx1"/>
                  </w14:solidFill>
                </w14:textFill>
              </w:rPr>
              <w:t xml:space="preserve">  </w:t>
            </w:r>
            <w:r>
              <w:rPr>
                <w:rFonts w:hint="eastAsia" w:cs="Times New Roman"/>
                <w:color w:val="000000" w:themeColor="text1"/>
                <w:kern w:val="0"/>
                <w:sz w:val="24"/>
                <w:lang w:val="en-US" w:eastAsia="zh-CN"/>
                <w14:textFill>
                  <w14:solidFill>
                    <w14:schemeClr w14:val="tx1"/>
                  </w14:solidFill>
                </w14:textFill>
              </w:rPr>
              <w:t>15</w:t>
            </w:r>
            <w:r>
              <w:rPr>
                <w:rFonts w:hint="default" w:ascii="Times New Roman" w:hAnsi="Times New Roman" w:cs="Times New Roman"/>
                <w:color w:val="000000" w:themeColor="text1"/>
                <w:kern w:val="0"/>
                <w:sz w:val="24"/>
                <w:lang w:val="en-US" w:eastAsia="zh-CN"/>
                <w14:textFill>
                  <w14:solidFill>
                    <w14:schemeClr w14:val="tx1"/>
                  </w14:solidFill>
                </w14:textFill>
              </w:rPr>
              <w:t>蔬菜、菌类、水果和坚果加工 137</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。其中</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涉及通用工序重点管理的</w:t>
            </w:r>
            <w:r>
              <w:rPr>
                <w:rFonts w:hint="eastAsia" w:ascii="宋体" w:hAnsi="宋体" w:eastAsia="宋体" w:cs="宋体"/>
                <w:color w:val="000000" w:themeColor="text1"/>
                <w:kern w:val="0"/>
                <w:sz w:val="24"/>
                <w14:textFill>
                  <w14:solidFill>
                    <w14:schemeClr w14:val="tx1"/>
                  </w14:solidFill>
                </w14:textFill>
              </w:rPr>
              <w:t>”为</w:t>
            </w:r>
            <w:r>
              <w:rPr>
                <w:rFonts w:hint="default" w:ascii="Times New Roman" w:hAnsi="Times New Roman" w:cs="Times New Roman"/>
                <w:color w:val="000000" w:themeColor="text1"/>
                <w:kern w:val="0"/>
                <w:sz w:val="24"/>
                <w14:textFill>
                  <w14:solidFill>
                    <w14:schemeClr w14:val="tx1"/>
                  </w14:solidFill>
                </w14:textFill>
              </w:rPr>
              <w:t>重点管理</w:t>
            </w:r>
            <w:r>
              <w:rPr>
                <w:rFonts w:hint="eastAsia" w:cs="Times New Roman"/>
                <w:color w:val="000000" w:themeColor="text1"/>
                <w:kern w:val="0"/>
                <w:sz w:val="24"/>
                <w:lang w:eastAsia="zh-CN"/>
                <w14:textFill>
                  <w14:solidFill>
                    <w14:schemeClr w14:val="tx1"/>
                  </w14:solidFill>
                </w14:textFill>
              </w:rPr>
              <w:t>，“涉及通用工序简化管理的”</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简化</w:t>
            </w:r>
            <w:r>
              <w:rPr>
                <w:rFonts w:hint="default" w:ascii="Times New Roman" w:hAnsi="Times New Roman" w:cs="Times New Roman"/>
                <w:color w:val="000000" w:themeColor="text1"/>
                <w:kern w:val="0"/>
                <w:sz w:val="24"/>
                <w14:textFill>
                  <w14:solidFill>
                    <w14:schemeClr w14:val="tx1"/>
                  </w14:solidFill>
                </w14:textFill>
              </w:rPr>
              <w:t>管理</w:t>
            </w:r>
            <w:r>
              <w:rPr>
                <w:rFonts w:hint="eastAsia" w:cs="Times New Roman"/>
                <w:color w:val="000000" w:themeColor="text1"/>
                <w:kern w:val="0"/>
                <w:sz w:val="24"/>
                <w:lang w:eastAsia="zh-CN"/>
                <w14:textFill>
                  <w14:solidFill>
                    <w14:schemeClr w14:val="tx1"/>
                  </w14:solidFill>
                </w14:textFill>
              </w:rPr>
              <w:t>，“其他”</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登记</w:t>
            </w:r>
            <w:r>
              <w:rPr>
                <w:rFonts w:hint="default" w:ascii="Times New Roman" w:hAnsi="Times New Roman" w:cs="Times New Roman"/>
                <w:color w:val="000000" w:themeColor="text1"/>
                <w:kern w:val="0"/>
                <w:sz w:val="24"/>
                <w14:textFill>
                  <w14:solidFill>
                    <w14:schemeClr w14:val="tx1"/>
                  </w14:solidFill>
                </w14:textFill>
              </w:rPr>
              <w:t>管理</w:t>
            </w:r>
            <w:r>
              <w:rPr>
                <w:rFonts w:hint="eastAsia" w:cs="Times New Roman"/>
                <w:color w:val="000000" w:themeColor="text1"/>
                <w:kern w:val="0"/>
                <w:sz w:val="24"/>
                <w:lang w:eastAsia="zh-CN"/>
                <w14:textFill>
                  <w14:solidFill>
                    <w14:schemeClr w14:val="tx1"/>
                  </w14:solidFill>
                </w14:textFill>
              </w:rPr>
              <w:t>；本项目涉及“五十一、通用工序</w:t>
            </w:r>
            <w:r>
              <w:rPr>
                <w:rFonts w:hint="eastAsia" w:cs="Times New Roman"/>
                <w:color w:val="000000" w:themeColor="text1"/>
                <w:kern w:val="0"/>
                <w:sz w:val="24"/>
                <w:lang w:val="en-US" w:eastAsia="zh-CN"/>
                <w14:textFill>
                  <w14:solidFill>
                    <w14:schemeClr w14:val="tx1"/>
                  </w14:solidFill>
                </w14:textFill>
              </w:rPr>
              <w:t xml:space="preserve">  109 锅炉</w:t>
            </w:r>
            <w:r>
              <w:rPr>
                <w:rFonts w:hint="eastAsia" w:cs="Times New Roman"/>
                <w:color w:val="000000" w:themeColor="text1"/>
                <w:kern w:val="0"/>
                <w:sz w:val="24"/>
                <w:lang w:eastAsia="zh-CN"/>
                <w14:textFill>
                  <w14:solidFill>
                    <w14:schemeClr w14:val="tx1"/>
                  </w14:solidFill>
                </w14:textFill>
              </w:rPr>
              <w:t>”，其中</w:t>
            </w:r>
            <w:r>
              <w:rPr>
                <w:rFonts w:hint="eastAsia" w:ascii="宋体" w:hAnsi="宋体" w:eastAsia="宋体" w:cs="宋体"/>
                <w:color w:val="000000" w:themeColor="text1"/>
                <w:kern w:val="0"/>
                <w:sz w:val="24"/>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纳入重点排污单位名录的</w:t>
            </w:r>
            <w:r>
              <w:rPr>
                <w:rFonts w:hint="eastAsia" w:ascii="宋体" w:hAnsi="宋体" w:eastAsia="宋体" w:cs="宋体"/>
                <w:color w:val="000000" w:themeColor="text1"/>
                <w:kern w:val="0"/>
                <w:sz w:val="24"/>
                <w14:textFill>
                  <w14:solidFill>
                    <w14:schemeClr w14:val="tx1"/>
                  </w14:solidFill>
                </w14:textFill>
              </w:rPr>
              <w:t>”为</w:t>
            </w:r>
            <w:r>
              <w:rPr>
                <w:rFonts w:hint="default" w:ascii="Times New Roman" w:hAnsi="Times New Roman" w:cs="Times New Roman"/>
                <w:color w:val="000000" w:themeColor="text1"/>
                <w:kern w:val="0"/>
                <w:sz w:val="24"/>
                <w14:textFill>
                  <w14:solidFill>
                    <w14:schemeClr w14:val="tx1"/>
                  </w14:solidFill>
                </w14:textFill>
              </w:rPr>
              <w:t>重点管理</w:t>
            </w:r>
            <w:r>
              <w:rPr>
                <w:rFonts w:hint="eastAsia" w:cs="Times New Roman"/>
                <w:color w:val="000000" w:themeColor="text1"/>
                <w:kern w:val="0"/>
                <w:sz w:val="24"/>
                <w:lang w:eastAsia="zh-CN"/>
                <w14:textFill>
                  <w14:solidFill>
                    <w14:schemeClr w14:val="tx1"/>
                  </w14:solidFill>
                </w14:textFill>
              </w:rPr>
              <w:t>，“除纳入重点排污单位名录的，单台或者合计出力20吨/小时（14兆瓦）及以上的锅炉（不含电热锅炉）”</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简化</w:t>
            </w:r>
            <w:r>
              <w:rPr>
                <w:rFonts w:hint="default" w:ascii="Times New Roman" w:hAnsi="Times New Roman" w:cs="Times New Roman"/>
                <w:color w:val="000000" w:themeColor="text1"/>
                <w:kern w:val="0"/>
                <w:sz w:val="24"/>
                <w14:textFill>
                  <w14:solidFill>
                    <w14:schemeClr w14:val="tx1"/>
                  </w14:solidFill>
                </w14:textFill>
              </w:rPr>
              <w:t>管理</w:t>
            </w:r>
            <w:r>
              <w:rPr>
                <w:rFonts w:hint="eastAsia" w:cs="Times New Roman"/>
                <w:color w:val="000000" w:themeColor="text1"/>
                <w:kern w:val="0"/>
                <w:sz w:val="24"/>
                <w:lang w:eastAsia="zh-CN"/>
                <w14:textFill>
                  <w14:solidFill>
                    <w14:schemeClr w14:val="tx1"/>
                  </w14:solidFill>
                </w14:textFill>
              </w:rPr>
              <w:t>，“除纳入重点排污单位名录的，单台且合计出力20吨/小时（14兆瓦）以下的锅炉（不含电热锅炉）”</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cs="宋体"/>
                <w:color w:val="000000" w:themeColor="text1"/>
                <w:kern w:val="0"/>
                <w:sz w:val="24"/>
                <w:lang w:eastAsia="zh-CN"/>
                <w14:textFill>
                  <w14:solidFill>
                    <w14:schemeClr w14:val="tx1"/>
                  </w14:solidFill>
                </w14:textFill>
              </w:rPr>
              <w:t>登记</w:t>
            </w:r>
            <w:r>
              <w:rPr>
                <w:rFonts w:hint="default" w:ascii="Times New Roman" w:hAnsi="Times New Roman" w:cs="Times New Roman"/>
                <w:color w:val="000000" w:themeColor="text1"/>
                <w:kern w:val="0"/>
                <w:sz w:val="24"/>
                <w14:textFill>
                  <w14:solidFill>
                    <w14:schemeClr w14:val="tx1"/>
                  </w14:solidFill>
                </w14:textFill>
              </w:rPr>
              <w:t>管理。本项目</w:t>
            </w:r>
            <w:r>
              <w:rPr>
                <w:rFonts w:hint="eastAsia" w:cs="Times New Roman"/>
                <w:color w:val="000000" w:themeColor="text1"/>
                <w:kern w:val="0"/>
                <w:sz w:val="24"/>
                <w:lang w:eastAsia="zh-CN"/>
                <w14:textFill>
                  <w14:solidFill>
                    <w14:schemeClr w14:val="tx1"/>
                  </w14:solidFill>
                </w14:textFill>
              </w:rPr>
              <w:t>使用</w:t>
            </w:r>
            <w:r>
              <w:rPr>
                <w:rFonts w:hint="eastAsia" w:cs="Times New Roman"/>
                <w:color w:val="000000" w:themeColor="text1"/>
                <w:kern w:val="0"/>
                <w:sz w:val="24"/>
                <w:lang w:val="en-US" w:eastAsia="zh-CN"/>
                <w14:textFill>
                  <w14:solidFill>
                    <w14:schemeClr w14:val="tx1"/>
                  </w14:solidFill>
                </w14:textFill>
              </w:rPr>
              <w:t>1台9t/h燃气锅炉</w:t>
            </w:r>
            <w:r>
              <w:rPr>
                <w:rFonts w:hint="default" w:ascii="Times New Roman" w:hAnsi="Times New Roman" w:cs="Times New Roman"/>
                <w:color w:val="000000" w:themeColor="text1"/>
                <w:kern w:val="0"/>
                <w:sz w:val="24"/>
                <w:lang w:val="en-US" w:eastAsia="zh-CN"/>
                <w14:textFill>
                  <w14:solidFill>
                    <w14:schemeClr w14:val="tx1"/>
                  </w14:solidFill>
                </w14:textFill>
              </w:rPr>
              <w:t>˂</w:t>
            </w:r>
            <w:r>
              <w:rPr>
                <w:rFonts w:hint="eastAsia" w:cs="Times New Roman"/>
                <w:color w:val="000000" w:themeColor="text1"/>
                <w:kern w:val="0"/>
                <w:sz w:val="24"/>
                <w:lang w:eastAsia="zh-CN"/>
                <w14:textFill>
                  <w14:solidFill>
                    <w14:schemeClr w14:val="tx1"/>
                  </w14:solidFill>
                </w14:textFill>
              </w:rPr>
              <w:t>20吨/小时</w:t>
            </w:r>
            <w:r>
              <w:rPr>
                <w:rFonts w:hint="eastAsia" w:cs="Times New Roman"/>
                <w:color w:val="000000" w:themeColor="text1"/>
                <w:kern w:val="0"/>
                <w:sz w:val="24"/>
                <w:lang w:val="en-US" w:eastAsia="zh-CN"/>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因此本项目排污许可实行登记管理。</w:t>
            </w:r>
          </w:p>
          <w:p w14:paraId="0FA08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eastAsia="宋体"/>
                <w:b/>
                <w:bCs/>
                <w:color w:val="000000" w:themeColor="text1"/>
                <w:sz w:val="24"/>
                <w:lang w:val="en-US" w:eastAsia="zh-CN"/>
                <w14:textFill>
                  <w14:solidFill>
                    <w14:schemeClr w14:val="tx1"/>
                  </w14:solidFill>
                </w14:textFill>
              </w:rPr>
            </w:pPr>
            <w:r>
              <w:rPr>
                <w:rFonts w:hint="eastAsia" w:eastAsia="宋体"/>
                <w:b/>
                <w:bCs/>
                <w:color w:val="000000" w:themeColor="text1"/>
                <w:sz w:val="24"/>
                <w:lang w:val="en-US" w:eastAsia="zh-CN"/>
                <w14:textFill>
                  <w14:solidFill>
                    <w14:schemeClr w14:val="tx1"/>
                  </w14:solidFill>
                </w14:textFill>
              </w:rPr>
              <w:t xml:space="preserve">表2.2 </w:t>
            </w:r>
            <w:r>
              <w:rPr>
                <w:rFonts w:hint="eastAsia"/>
                <w:b/>
                <w:bCs/>
                <w:color w:val="000000" w:themeColor="text1"/>
                <w:sz w:val="24"/>
                <w:lang w:val="en-US" w:eastAsia="zh-CN"/>
                <w14:textFill>
                  <w14:solidFill>
                    <w14:schemeClr w14:val="tx1"/>
                  </w14:solidFill>
                </w14:textFill>
              </w:rPr>
              <w:t xml:space="preserve"> </w:t>
            </w:r>
            <w:r>
              <w:rPr>
                <w:rFonts w:hint="eastAsia" w:eastAsia="宋体"/>
                <w:b/>
                <w:bCs/>
                <w:color w:val="000000" w:themeColor="text1"/>
                <w:sz w:val="24"/>
                <w:lang w:val="en-US" w:eastAsia="zh-CN"/>
                <w14:textFill>
                  <w14:solidFill>
                    <w14:schemeClr w14:val="tx1"/>
                  </w14:solidFill>
                </w14:textFill>
              </w:rPr>
              <w:t>排污许可类别对照表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12"/>
              <w:gridCol w:w="1279"/>
              <w:gridCol w:w="1815"/>
              <w:gridCol w:w="1918"/>
              <w:gridCol w:w="951"/>
            </w:tblGrid>
            <w:tr w14:paraId="5686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2"/>
                  <w:vMerge w:val="restart"/>
                  <w:vAlign w:val="center"/>
                </w:tcPr>
                <w:p w14:paraId="04352B46">
                  <w:pPr>
                    <w:jc w:val="center"/>
                    <w:rPr>
                      <w:color w:val="000000" w:themeColor="text1"/>
                      <w:szCs w:val="21"/>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27305</wp:posOffset>
                            </wp:positionV>
                            <wp:extent cx="1409700" cy="527685"/>
                            <wp:effectExtent l="2540" t="5715" r="16510" b="19050"/>
                            <wp:wrapNone/>
                            <wp:docPr id="3" name="直接连接符 3"/>
                            <wp:cNvGraphicFramePr/>
                            <a:graphic xmlns:a="http://schemas.openxmlformats.org/drawingml/2006/main">
                              <a:graphicData uri="http://schemas.microsoft.com/office/word/2010/wordprocessingShape">
                                <wps:wsp>
                                  <wps:cNvCnPr/>
                                  <wps:spPr>
                                    <a:xfrm>
                                      <a:off x="1327785" y="9040495"/>
                                      <a:ext cx="1409700" cy="5276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5pt;margin-top:2.15pt;height:41.55pt;width:111pt;z-index:251660288;mso-width-relative:page;mso-height-relative:page;" filled="f" stroked="t" coordsize="21600,21600" o:gfxdata="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RBtp1wAAAAcBAAAPAAAAAAAAAAEAIAAAACIAAABkcnMvZG93bnJldi54bWxQSwECFAAU&#10;AAAACACHTuJASmLWUfIBAADDAwAADgAAAAAAAAABACAAAAAmAQAAZHJzL2Uyb0RvYy54bWxQSwUG&#10;AAAAAAYABgBZAQAAigUAAAAA&#10;">
                            <v:fill on="f" focussize="0,0"/>
                            <v:stroke weight="1pt" color="#000000 [3213]" miterlimit="8" joinstyle="miter"/>
                            <v:imagedata o:title=""/>
                            <o:lock v:ext="edit" aspectratio="f"/>
                          </v:line>
                        </w:pict>
                      </mc:Fallback>
                    </mc:AlternateContent>
                  </w:r>
                  <w:r>
                    <w:rPr>
                      <w:color w:val="000000" w:themeColor="text1"/>
                      <w:szCs w:val="21"/>
                      <w14:textFill>
                        <w14:solidFill>
                          <w14:schemeClr w14:val="tx1"/>
                        </w14:solidFill>
                      </w14:textFill>
                    </w:rPr>
                    <w:t>项目类别</w:t>
                  </w:r>
                </w:p>
                <w:p w14:paraId="5A073582">
                  <w:pPr>
                    <w:pStyle w:val="15"/>
                    <w:keepNext w:val="0"/>
                    <w:keepLines w:val="0"/>
                    <w:pageBreakBefore w:val="0"/>
                    <w:widowControl w:val="0"/>
                    <w:kinsoku/>
                    <w:wordWrap/>
                    <w:overflowPunct/>
                    <w:topLinePunct w:val="0"/>
                    <w:autoSpaceDE/>
                    <w:autoSpaceDN/>
                    <w:bidi w:val="0"/>
                    <w:adjustRightInd w:val="0"/>
                    <w:snapToGrid w:val="0"/>
                    <w:spacing w:after="0" w:line="240" w:lineRule="auto"/>
                    <w:ind w:firstLine="420"/>
                    <w:textAlignment w:val="auto"/>
                    <w:rPr>
                      <w:color w:val="000000" w:themeColor="text1"/>
                      <w14:textFill>
                        <w14:solidFill>
                          <w14:schemeClr w14:val="tx1"/>
                        </w14:solidFill>
                      </w14:textFill>
                    </w:rPr>
                  </w:pPr>
                </w:p>
                <w:p w14:paraId="21D34364">
                  <w:pPr>
                    <w:pStyle w:val="15"/>
                    <w:spacing w:after="0"/>
                    <w:ind w:left="0" w:leftChars="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排污许可类别</w:t>
                  </w:r>
                </w:p>
              </w:tc>
              <w:tc>
                <w:tcPr>
                  <w:tcW w:w="5012" w:type="dxa"/>
                  <w:gridSpan w:val="3"/>
                  <w:vAlign w:val="center"/>
                </w:tcPr>
                <w:p w14:paraId="77149F46">
                  <w:pPr>
                    <w:pStyle w:val="15"/>
                    <w:spacing w:after="0"/>
                    <w:ind w:left="0" w:leftChars="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排污许可类别</w:t>
                  </w:r>
                </w:p>
              </w:tc>
              <w:tc>
                <w:tcPr>
                  <w:tcW w:w="951" w:type="dxa"/>
                  <w:vMerge w:val="restart"/>
                  <w:vAlign w:val="center"/>
                </w:tcPr>
                <w:p w14:paraId="47756156">
                  <w:pPr>
                    <w:widowControl/>
                    <w:adjustRightInd w:val="0"/>
                    <w:snapToGrid w:val="0"/>
                    <w:jc w:val="center"/>
                    <w:rPr>
                      <w:color w:val="000000" w:themeColor="text1"/>
                      <w:sz w:val="21"/>
                      <w:szCs w:val="21"/>
                      <w14:textFill>
                        <w14:solidFill>
                          <w14:schemeClr w14:val="tx1"/>
                        </w14:solidFill>
                      </w14:textFill>
                    </w:rPr>
                  </w:pPr>
                  <w:r>
                    <w:rPr>
                      <w:rFonts w:hint="eastAsia"/>
                      <w:color w:val="000000" w:themeColor="text1"/>
                      <w:kern w:val="0"/>
                      <w:szCs w:val="21"/>
                      <w14:textFill>
                        <w14:solidFill>
                          <w14:schemeClr w14:val="tx1"/>
                        </w14:solidFill>
                      </w14:textFill>
                    </w:rPr>
                    <w:t>排污许可</w:t>
                  </w:r>
                  <w:r>
                    <w:rPr>
                      <w:rFonts w:hint="eastAsia"/>
                      <w:color w:val="000000" w:themeColor="text1"/>
                      <w:sz w:val="21"/>
                      <w:szCs w:val="21"/>
                      <w14:textFill>
                        <w14:solidFill>
                          <w14:schemeClr w14:val="tx1"/>
                        </w14:solidFill>
                      </w14:textFill>
                    </w:rPr>
                    <w:t>管理类别</w:t>
                  </w:r>
                </w:p>
              </w:tc>
            </w:tr>
            <w:tr w14:paraId="746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14" w:type="dxa"/>
                  <w:gridSpan w:val="2"/>
                  <w:vMerge w:val="continue"/>
                  <w:vAlign w:val="center"/>
                </w:tcPr>
                <w:p w14:paraId="4400524F">
                  <w:pPr>
                    <w:pStyle w:val="15"/>
                    <w:spacing w:after="0"/>
                    <w:ind w:left="0" w:leftChars="0" w:firstLine="0"/>
                    <w:jc w:val="center"/>
                    <w:rPr>
                      <w:color w:val="000000" w:themeColor="text1"/>
                      <w:sz w:val="21"/>
                      <w:szCs w:val="21"/>
                      <w14:textFill>
                        <w14:solidFill>
                          <w14:schemeClr w14:val="tx1"/>
                        </w14:solidFill>
                      </w14:textFill>
                    </w:rPr>
                  </w:pPr>
                </w:p>
              </w:tc>
              <w:tc>
                <w:tcPr>
                  <w:tcW w:w="1279" w:type="dxa"/>
                  <w:vAlign w:val="center"/>
                </w:tcPr>
                <w:p w14:paraId="001E9123">
                  <w:pPr>
                    <w:pStyle w:val="15"/>
                    <w:spacing w:after="0"/>
                    <w:ind w:left="0" w:leftChars="0"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重点管理</w:t>
                  </w:r>
                </w:p>
              </w:tc>
              <w:tc>
                <w:tcPr>
                  <w:tcW w:w="1815" w:type="dxa"/>
                  <w:vAlign w:val="center"/>
                </w:tcPr>
                <w:p w14:paraId="0A425D84">
                  <w:pPr>
                    <w:pStyle w:val="15"/>
                    <w:spacing w:after="0"/>
                    <w:ind w:left="0" w:leftChars="0"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简化管理</w:t>
                  </w:r>
                </w:p>
              </w:tc>
              <w:tc>
                <w:tcPr>
                  <w:tcW w:w="1918" w:type="dxa"/>
                  <w:vAlign w:val="center"/>
                </w:tcPr>
                <w:p w14:paraId="68D9BDBC">
                  <w:pPr>
                    <w:pStyle w:val="15"/>
                    <w:spacing w:after="0"/>
                    <w:ind w:left="0" w:leftChars="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登记</w:t>
                  </w:r>
                  <w:r>
                    <w:rPr>
                      <w:rFonts w:hint="eastAsia"/>
                      <w:color w:val="000000" w:themeColor="text1"/>
                      <w:sz w:val="21"/>
                      <w:szCs w:val="21"/>
                      <w14:textFill>
                        <w14:solidFill>
                          <w14:schemeClr w14:val="tx1"/>
                        </w14:solidFill>
                      </w14:textFill>
                    </w:rPr>
                    <w:t>管理</w:t>
                  </w:r>
                </w:p>
              </w:tc>
              <w:tc>
                <w:tcPr>
                  <w:tcW w:w="951" w:type="dxa"/>
                  <w:vMerge w:val="continue"/>
                  <w:vAlign w:val="center"/>
                </w:tcPr>
                <w:p w14:paraId="7BD17B25">
                  <w:pPr>
                    <w:pStyle w:val="15"/>
                    <w:spacing w:after="0"/>
                    <w:ind w:left="0" w:leftChars="0" w:firstLine="0"/>
                    <w:jc w:val="center"/>
                    <w:rPr>
                      <w:color w:val="000000" w:themeColor="text1"/>
                      <w:sz w:val="21"/>
                      <w:szCs w:val="21"/>
                      <w14:textFill>
                        <w14:solidFill>
                          <w14:schemeClr w14:val="tx1"/>
                        </w14:solidFill>
                      </w14:textFill>
                    </w:rPr>
                  </w:pPr>
                </w:p>
              </w:tc>
            </w:tr>
            <w:tr w14:paraId="3D82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7" w:type="dxa"/>
                  <w:gridSpan w:val="6"/>
                  <w:shd w:val="clear" w:color="auto" w:fill="auto"/>
                  <w:vAlign w:val="center"/>
                </w:tcPr>
                <w:p w14:paraId="4194914D">
                  <w:pPr>
                    <w:pStyle w:val="40"/>
                    <w:bidi w:val="0"/>
                    <w:ind w:firstLine="0" w:firstLineChars="0"/>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八、农副食品加工业 13</w:t>
                  </w:r>
                </w:p>
              </w:tc>
            </w:tr>
            <w:tr w14:paraId="7544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auto" w:fill="auto"/>
                  <w:vAlign w:val="center"/>
                </w:tcPr>
                <w:p w14:paraId="681D1B8F">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1612" w:type="dxa"/>
                  <w:shd w:val="clear" w:color="auto" w:fill="auto"/>
                  <w:vAlign w:val="center"/>
                </w:tcPr>
                <w:p w14:paraId="29AF3B86">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蔬菜、菌类、水果和坚果加工 137</w:t>
                  </w:r>
                </w:p>
              </w:tc>
              <w:tc>
                <w:tcPr>
                  <w:tcW w:w="1279" w:type="dxa"/>
                  <w:shd w:val="clear" w:color="auto" w:fill="auto"/>
                  <w:vAlign w:val="center"/>
                </w:tcPr>
                <w:p w14:paraId="4B768F0A">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14:textFill>
                        <w14:solidFill>
                          <w14:schemeClr w14:val="tx1"/>
                        </w14:solidFill>
                      </w14:textFill>
                    </w:rPr>
                    <w:t>涉及通用工序重点管理的</w:t>
                  </w:r>
                </w:p>
              </w:tc>
              <w:tc>
                <w:tcPr>
                  <w:tcW w:w="1815" w:type="dxa"/>
                  <w:shd w:val="clear" w:color="auto" w:fill="auto"/>
                  <w:vAlign w:val="center"/>
                </w:tcPr>
                <w:p w14:paraId="137BC03B">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eastAsia="宋体"/>
                      <w:color w:val="000000" w:themeColor="text1"/>
                      <w:lang w:eastAsia="zh-CN"/>
                      <w14:textFill>
                        <w14:solidFill>
                          <w14:schemeClr w14:val="tx1"/>
                        </w14:solidFill>
                      </w14:textFill>
                    </w:rPr>
                    <w:t>涉及通用工序简化管理的</w:t>
                  </w:r>
                </w:p>
              </w:tc>
              <w:tc>
                <w:tcPr>
                  <w:tcW w:w="1918" w:type="dxa"/>
                  <w:shd w:val="clear" w:color="auto" w:fill="auto"/>
                  <w:vAlign w:val="center"/>
                </w:tcPr>
                <w:p w14:paraId="1E76129C">
                  <w:pPr>
                    <w:pStyle w:val="40"/>
                    <w:bidi w:val="0"/>
                    <w:ind w:firstLine="0" w:firstLine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其他</w:t>
                  </w:r>
                </w:p>
              </w:tc>
              <w:tc>
                <w:tcPr>
                  <w:tcW w:w="951" w:type="dxa"/>
                  <w:vAlign w:val="center"/>
                </w:tcPr>
                <w:p w14:paraId="62334BA8">
                  <w:pPr>
                    <w:pStyle w:val="15"/>
                    <w:spacing w:after="0"/>
                    <w:ind w:left="0" w:leftChars="0" w:firstLine="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bidi="ar"/>
                      <w14:textFill>
                        <w14:solidFill>
                          <w14:schemeClr w14:val="tx1"/>
                        </w14:solidFill>
                      </w14:textFill>
                    </w:rPr>
                    <w:t>/</w:t>
                  </w:r>
                </w:p>
              </w:tc>
            </w:tr>
            <w:tr w14:paraId="690B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77" w:type="dxa"/>
                  <w:gridSpan w:val="6"/>
                  <w:shd w:val="clear" w:color="auto" w:fill="auto"/>
                  <w:vAlign w:val="center"/>
                </w:tcPr>
                <w:p w14:paraId="4C3EB309">
                  <w:pPr>
                    <w:pStyle w:val="40"/>
                    <w:bidi w:val="0"/>
                    <w:ind w:firstLine="0" w:firstLineChars="0"/>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五十一、通用工序</w:t>
                  </w:r>
                  <w:r>
                    <w:rPr>
                      <w:rFonts w:hint="eastAsia"/>
                      <w:color w:val="000000" w:themeColor="text1"/>
                      <w:lang w:val="en-US" w:eastAsia="zh-CN"/>
                      <w14:textFill>
                        <w14:solidFill>
                          <w14:schemeClr w14:val="tx1"/>
                        </w14:solidFill>
                      </w14:textFill>
                    </w:rPr>
                    <w:t xml:space="preserve"> </w:t>
                  </w:r>
                </w:p>
              </w:tc>
            </w:tr>
            <w:tr w14:paraId="717F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auto" w:fill="auto"/>
                  <w:vAlign w:val="center"/>
                </w:tcPr>
                <w:p w14:paraId="5BA88511">
                  <w:pPr>
                    <w:pStyle w:val="40"/>
                    <w:bidi w:val="0"/>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109</w:t>
                  </w:r>
                </w:p>
              </w:tc>
              <w:tc>
                <w:tcPr>
                  <w:tcW w:w="1612" w:type="dxa"/>
                  <w:shd w:val="clear" w:color="auto" w:fill="auto"/>
                  <w:vAlign w:val="center"/>
                </w:tcPr>
                <w:p w14:paraId="1CA26537">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锅炉</w:t>
                  </w:r>
                </w:p>
              </w:tc>
              <w:tc>
                <w:tcPr>
                  <w:tcW w:w="1279" w:type="dxa"/>
                  <w:shd w:val="clear" w:color="auto" w:fill="auto"/>
                  <w:vAlign w:val="center"/>
                </w:tcPr>
                <w:p w14:paraId="59F73CE7">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14:textFill>
                        <w14:solidFill>
                          <w14:schemeClr w14:val="tx1"/>
                        </w14:solidFill>
                      </w14:textFill>
                    </w:rPr>
                    <w:t>纳入重点排污单位名录的</w:t>
                  </w:r>
                </w:p>
              </w:tc>
              <w:tc>
                <w:tcPr>
                  <w:tcW w:w="1815" w:type="dxa"/>
                  <w:shd w:val="clear" w:color="auto" w:fill="auto"/>
                  <w:vAlign w:val="center"/>
                </w:tcPr>
                <w:p w14:paraId="42B56453">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除纳入重点排污单位名录的，单台或者合计出力20吨/小时（14兆瓦）及以上的锅炉（不含电热锅炉）</w:t>
                  </w:r>
                </w:p>
              </w:tc>
              <w:tc>
                <w:tcPr>
                  <w:tcW w:w="1918" w:type="dxa"/>
                  <w:shd w:val="clear" w:color="auto" w:fill="BEBEBE" w:themeFill="background1" w:themeFillShade="BF"/>
                  <w:vAlign w:val="center"/>
                </w:tcPr>
                <w:p w14:paraId="2CA16670">
                  <w:pPr>
                    <w:pStyle w:val="40"/>
                    <w:bidi w:val="0"/>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除纳入重点排污单位名录的，单台且合计出力20吨/小时（14兆瓦）以下的锅炉（不含电热锅炉）</w:t>
                  </w:r>
                </w:p>
              </w:tc>
              <w:tc>
                <w:tcPr>
                  <w:tcW w:w="951" w:type="dxa"/>
                  <w:vAlign w:val="center"/>
                </w:tcPr>
                <w:p w14:paraId="39D2B964">
                  <w:pPr>
                    <w:pStyle w:val="15"/>
                    <w:spacing w:after="0"/>
                    <w:ind w:left="0" w:leftChars="0" w:firstLine="0"/>
                    <w:jc w:val="center"/>
                    <w:rPr>
                      <w:rFonts w:hint="eastAsia"/>
                      <w:color w:val="000000" w:themeColor="text1"/>
                      <w:sz w:val="21"/>
                      <w:szCs w:val="21"/>
                      <w:lang w:eastAsia="zh-CN" w:bidi="ar"/>
                      <w14:textFill>
                        <w14:solidFill>
                          <w14:schemeClr w14:val="tx1"/>
                        </w14:solidFill>
                      </w14:textFill>
                    </w:rPr>
                  </w:pPr>
                  <w:r>
                    <w:rPr>
                      <w:rFonts w:hint="eastAsia"/>
                      <w:color w:val="000000" w:themeColor="text1"/>
                      <w:sz w:val="21"/>
                      <w:szCs w:val="21"/>
                      <w:lang w:eastAsia="zh-CN" w:bidi="ar"/>
                      <w14:textFill>
                        <w14:solidFill>
                          <w14:schemeClr w14:val="tx1"/>
                        </w14:solidFill>
                      </w14:textFill>
                    </w:rPr>
                    <w:t>登记</w:t>
                  </w:r>
                  <w:r>
                    <w:rPr>
                      <w:rFonts w:hint="eastAsia"/>
                      <w:color w:val="000000" w:themeColor="text1"/>
                      <w:sz w:val="21"/>
                      <w:szCs w:val="21"/>
                      <w14:textFill>
                        <w14:solidFill>
                          <w14:schemeClr w14:val="tx1"/>
                        </w14:solidFill>
                      </w14:textFill>
                    </w:rPr>
                    <w:t>管理</w:t>
                  </w:r>
                </w:p>
              </w:tc>
            </w:tr>
          </w:tbl>
          <w:p w14:paraId="62593AC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lang w:val="en-US" w:eastAsia="zh-CN"/>
                <w14:textFill>
                  <w14:solidFill>
                    <w14:schemeClr w14:val="tx1"/>
                  </w14:solidFill>
                </w14:textFill>
              </w:rPr>
              <w:t>3</w:t>
            </w: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lang w:val="en-US" w:eastAsia="zh-CN"/>
                <w14:textFill>
                  <w14:solidFill>
                    <w14:schemeClr w14:val="tx1"/>
                  </w14:solidFill>
                </w14:textFill>
              </w:rPr>
              <w:t>项目建设背景及由来</w:t>
            </w:r>
          </w:p>
          <w:p w14:paraId="358D09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安徽东方果园生物科技有限公司成立于2013年，选址位于宿州市高新技术产业开发区拂晓大道9号。2013年，安徽东方果园生物科技有限公司投资46800万元建设1000吨真空速冻果蔬干及现代电子商务产业综合服务中心项目，项目已于2013年12月20日取得了宿州市高新技术产业开发区经济与科技局的备案。2014年12月委托天津天发源环境保护事务代理中心有限公司编制完成《安徽东方果园生物科技有限公司1000吨真空速冻果蔬干及现代电子商务产业综合服务中心项目环境影响报告表》。2015年4月22日取得《宿州市环境保护局高新区分局关于1000吨真空速冻果蔬干及现代电子商务产业综合服务中心项目环境影响报告表的批复》（环函〔2015〕6号），环评设计年产能为果蔬干10000吨。因生产车间建设情况发生变化，企业于2016年3月委托安徽汇泽通环境技术有限公司编制完成《1000吨真空速冻果蔬干及现代电子商务产业综合服务中心项目变更报告环境影响报告表》，2016年4月7日取得《宿州市环境保护局高新区分局关于1000吨真空速冻果蔬干及现代电子商务产业综合服务中心项目变更报告环境影响报告表的批复》（环函〔2016〕4号），环评设计产能不变，年生产果蔬干10000吨。项目建设完成后，对果蔬干生产车间进行升级改造，则企业投资36万元建设果蔬干生产车间升级改造项目，项目已于2016年12月28日取得了宿州市高新技术产业开发区经济与科技局的备案。2017年9月委托安徽汇泽通环境技术有限公司编制完成《果蔬干生产车间升级改造项目环境影响报告表》，2017年11月16日取得宿州市环境保护局高新区分局《关于安徽东方果园生物科技有限公果蔬干生产车间升级改造项目环境影响报告表的批复》（环函〔2017〕32号）。2018年6月通过环境保护竣工验收并备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日取得</w:t>
            </w:r>
            <w:r>
              <w:rPr>
                <w:rStyle w:val="43"/>
                <w:rFonts w:hint="default" w:ascii="Times New Roman" w:hAnsi="Times New Roman" w:eastAsia="宋体" w:cs="Times New Roman"/>
                <w:color w:val="000000" w:themeColor="text1"/>
                <w:sz w:val="24"/>
                <w:szCs w:val="24"/>
                <w:lang w:val="en-US" w:eastAsia="zh-CN" w:bidi="ar"/>
                <w14:textFill>
                  <w14:solidFill>
                    <w14:schemeClr w14:val="tx1"/>
                  </w14:solidFill>
                </w14:textFill>
              </w:rPr>
              <w:t>固定污染源排污登记回执（登记编号：</w:t>
            </w:r>
            <w:r>
              <w:rPr>
                <w:rStyle w:val="43"/>
                <w:rFonts w:hint="default" w:ascii="Times New Roman" w:hAnsi="Times New Roman" w:cs="Times New Roman"/>
                <w:color w:val="000000" w:themeColor="text1"/>
                <w:sz w:val="24"/>
                <w:szCs w:val="24"/>
                <w:lang w:val="en-US" w:eastAsia="zh-CN" w:bidi="ar"/>
                <w14:textFill>
                  <w14:solidFill>
                    <w14:schemeClr w14:val="tx1"/>
                  </w14:solidFill>
                </w14:textFill>
              </w:rPr>
              <w:t>913413000836873296002Z</w:t>
            </w:r>
            <w:r>
              <w:rPr>
                <w:rStyle w:val="43"/>
                <w:rFonts w:hint="default" w:ascii="Times New Roman" w:hAnsi="Times New Roman" w:eastAsia="宋体" w:cs="Times New Roman"/>
                <w:color w:val="000000" w:themeColor="text1"/>
                <w:sz w:val="24"/>
                <w:szCs w:val="24"/>
                <w:lang w:val="en-US" w:eastAsia="zh-CN" w:bidi="ar"/>
                <w14:textFill>
                  <w14:solidFill>
                    <w14:schemeClr w14:val="tx1"/>
                  </w14:solidFill>
                </w14:textFill>
              </w:rPr>
              <w:t>）。</w:t>
            </w:r>
          </w:p>
          <w:p w14:paraId="00EA6A2D">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auto"/>
              <w:outlineLvl w:val="0"/>
              <w:rPr>
                <w:rStyle w:val="43"/>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r>
              <w:rPr>
                <w:rFonts w:hint="default" w:cs="Times New Roman"/>
                <w:b/>
                <w:bCs/>
                <w:color w:val="000000" w:themeColor="text1"/>
                <w:sz w:val="24"/>
                <w:szCs w:val="24"/>
                <w:highlight w:val="none"/>
                <w:lang w:val="en-US" w:eastAsia="zh-CN"/>
                <w14:textFill>
                  <w14:solidFill>
                    <w14:schemeClr w14:val="tx1"/>
                  </w14:solidFill>
                </w14:textFill>
              </w:rPr>
              <w:t>由于</w:t>
            </w:r>
            <w:r>
              <w:rPr>
                <w:rFonts w:hint="eastAsia" w:cs="Times New Roman"/>
                <w:b/>
                <w:bCs/>
                <w:color w:val="000000" w:themeColor="text1"/>
                <w:sz w:val="24"/>
                <w:szCs w:val="24"/>
                <w:highlight w:val="none"/>
                <w:lang w:val="en-US" w:eastAsia="zh-CN"/>
                <w14:textFill>
                  <w14:solidFill>
                    <w14:schemeClr w14:val="tx1"/>
                  </w14:solidFill>
                </w14:textFill>
              </w:rPr>
              <w:t>市场需求及技术升级，</w:t>
            </w:r>
            <w:r>
              <w:rPr>
                <w:rFonts w:hint="default" w:cs="Times New Roman"/>
                <w:b/>
                <w:bCs/>
                <w:color w:val="000000" w:themeColor="text1"/>
                <w:sz w:val="24"/>
                <w:szCs w:val="24"/>
                <w:highlight w:val="none"/>
                <w:lang w:val="en-US" w:eastAsia="zh-CN"/>
                <w14:textFill>
                  <w14:solidFill>
                    <w14:schemeClr w14:val="tx1"/>
                  </w14:solidFill>
                </w14:textFill>
              </w:rPr>
              <w:t>企业</w:t>
            </w:r>
            <w:r>
              <w:rPr>
                <w:rFonts w:hint="eastAsia" w:cs="Times New Roman"/>
                <w:b/>
                <w:bCs/>
                <w:color w:val="000000" w:themeColor="text1"/>
                <w:sz w:val="24"/>
                <w:szCs w:val="24"/>
                <w:highlight w:val="none"/>
                <w:lang w:val="en-US" w:eastAsia="zh-CN"/>
                <w14:textFill>
                  <w14:solidFill>
                    <w14:schemeClr w14:val="tx1"/>
                  </w14:solidFill>
                </w14:textFill>
              </w:rPr>
              <w:t>投资</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3000</w:t>
            </w:r>
            <w:r>
              <w:rPr>
                <w:rFonts w:hint="eastAsia" w:cs="Times New Roman"/>
                <w:b/>
                <w:bCs/>
                <w:color w:val="000000" w:themeColor="text1"/>
                <w:sz w:val="24"/>
                <w:szCs w:val="24"/>
                <w:highlight w:val="none"/>
                <w:lang w:val="en-US" w:eastAsia="zh-CN"/>
                <w14:textFill>
                  <w14:solidFill>
                    <w14:schemeClr w14:val="tx1"/>
                  </w14:solidFill>
                </w14:textFill>
              </w:rPr>
              <w:t>万元建设“安徽东方果园生物科技有限公司技术升级改造项目”，宿州市高新技术产业开发区经济与科技局</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于20</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25</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年</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月</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予以备案</w:t>
            </w:r>
            <w:r>
              <w:rPr>
                <w:rFonts w:hint="eastAsia" w:cs="Times New Roman"/>
                <w:b/>
                <w:bCs/>
                <w:color w:val="000000" w:themeColor="text1"/>
                <w:sz w:val="24"/>
                <w:szCs w:val="24"/>
                <w:highlight w:val="none"/>
                <w:lang w:val="en-US" w:eastAsia="zh-CN"/>
                <w14:textFill>
                  <w14:solidFill>
                    <w14:schemeClr w14:val="tx1"/>
                  </w14:solidFill>
                </w14:textFill>
              </w:rPr>
              <w:t>，项目代码为：</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2512-341367-04-02-464425</w:t>
            </w:r>
            <w:r>
              <w:rPr>
                <w:rFonts w:hint="eastAsia" w:cs="Times New Roman"/>
                <w:b/>
                <w:bCs/>
                <w:color w:val="000000" w:themeColor="text1"/>
                <w:sz w:val="24"/>
                <w:szCs w:val="24"/>
                <w:highlight w:val="none"/>
                <w:lang w:val="en-US" w:eastAsia="zh-CN"/>
                <w14:textFill>
                  <w14:solidFill>
                    <w14:schemeClr w14:val="tx1"/>
                  </w14:solidFill>
                </w14:textFill>
              </w:rPr>
              <w:t>。</w:t>
            </w:r>
          </w:p>
          <w:p w14:paraId="55EB0208">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0"/>
              <w:rPr>
                <w:rStyle w:val="43"/>
                <w:rFonts w:hint="default"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pPr>
            <w:r>
              <w:rPr>
                <w:rStyle w:val="43"/>
                <w:rFonts w:hint="eastAsia"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t>（4）项目建设内容</w:t>
            </w:r>
          </w:p>
          <w:p w14:paraId="7FEA7EDC">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outlineLvl w:val="0"/>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项目改建6000平方米厂房，新建12000方低温储藏库，新增5T/H果蔬杀青速冻线，配套新建1台9t/h燃气锅炉，拆除1台2t/h燃气锅炉，并配套建设消防、环保、变压器等设施。生产能力不变。</w:t>
            </w:r>
          </w:p>
          <w:p w14:paraId="6CE270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项目建</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设</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基本情况</w:t>
            </w:r>
            <w:r>
              <w:rPr>
                <w:rFonts w:hint="default" w:ascii="Times New Roman" w:hAnsi="Times New Roman" w:eastAsia="宋体" w:cs="Times New Roman"/>
                <w:color w:val="000000" w:themeColor="text1"/>
                <w:sz w:val="24"/>
                <w:szCs w:val="24"/>
                <w:highlight w:val="none"/>
                <w14:textFill>
                  <w14:solidFill>
                    <w14:schemeClr w14:val="tx1"/>
                  </w14:solidFill>
                </w14:textFill>
              </w:rPr>
              <w:t>一览表见表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8251E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b/>
                <w:bCs/>
                <w:color w:val="000000" w:themeColor="text1"/>
                <w:kern w:val="0"/>
                <w:sz w:val="24"/>
                <w14:textFill>
                  <w14:solidFill>
                    <w14:schemeClr w14:val="tx1"/>
                  </w14:solidFill>
                </w14:textFill>
              </w:rPr>
              <w:t>表2.</w:t>
            </w:r>
            <w:r>
              <w:rPr>
                <w:rFonts w:hint="eastAsia"/>
                <w:b/>
                <w:bCs/>
                <w:color w:val="000000" w:themeColor="text1"/>
                <w:kern w:val="0"/>
                <w:sz w:val="24"/>
                <w14:textFill>
                  <w14:solidFill>
                    <w14:schemeClr w14:val="tx1"/>
                  </w14:solidFill>
                </w14:textFill>
              </w:rPr>
              <w:t>3</w:t>
            </w:r>
            <w:r>
              <w:rPr>
                <w:b/>
                <w:bCs/>
                <w:color w:val="000000" w:themeColor="text1"/>
                <w:kern w:val="0"/>
                <w:sz w:val="24"/>
                <w14:textFill>
                  <w14:solidFill>
                    <w14:schemeClr w14:val="tx1"/>
                  </w14:solidFill>
                </w14:textFill>
              </w:rPr>
              <w:t xml:space="preserve">  项目建设内容一览表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918"/>
              <w:gridCol w:w="1755"/>
              <w:gridCol w:w="1953"/>
              <w:gridCol w:w="2040"/>
              <w:gridCol w:w="1163"/>
            </w:tblGrid>
            <w:tr w14:paraId="502A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Align w:val="center"/>
                </w:tcPr>
                <w:p w14:paraId="7ED14E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工程类别</w:t>
                  </w:r>
                </w:p>
              </w:tc>
              <w:tc>
                <w:tcPr>
                  <w:tcW w:w="918" w:type="dxa"/>
                  <w:vAlign w:val="center"/>
                </w:tcPr>
                <w:p w14:paraId="4BD7E3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单项工程</w:t>
                  </w:r>
                </w:p>
              </w:tc>
              <w:tc>
                <w:tcPr>
                  <w:tcW w:w="1755" w:type="dxa"/>
                  <w:vAlign w:val="center"/>
                </w:tcPr>
                <w:p w14:paraId="1CF9C05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现有工程内容及规模</w:t>
                  </w:r>
                </w:p>
              </w:tc>
              <w:tc>
                <w:tcPr>
                  <w:tcW w:w="1953" w:type="dxa"/>
                  <w:vAlign w:val="center"/>
                </w:tcPr>
                <w:p w14:paraId="1F86BD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本项目工程内容及规模</w:t>
                  </w:r>
                </w:p>
              </w:tc>
              <w:tc>
                <w:tcPr>
                  <w:tcW w:w="2040" w:type="dxa"/>
                  <w:vAlign w:val="center"/>
                </w:tcPr>
                <w:p w14:paraId="44A885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本项目建成后全厂工程内容及规模</w:t>
                  </w:r>
                </w:p>
              </w:tc>
              <w:tc>
                <w:tcPr>
                  <w:tcW w:w="1163" w:type="dxa"/>
                  <w:vAlign w:val="center"/>
                </w:tcPr>
                <w:p w14:paraId="277B94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备注</w:t>
                  </w:r>
                </w:p>
              </w:tc>
            </w:tr>
            <w:tr w14:paraId="091D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566A54AE">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主体工程</w:t>
                  </w:r>
                </w:p>
              </w:tc>
              <w:tc>
                <w:tcPr>
                  <w:tcW w:w="918" w:type="dxa"/>
                  <w:vAlign w:val="center"/>
                </w:tcPr>
                <w:p w14:paraId="442287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1#生产车间</w:t>
                  </w:r>
                </w:p>
              </w:tc>
              <w:tc>
                <w:tcPr>
                  <w:tcW w:w="1755" w:type="dxa"/>
                  <w:vAlign w:val="center"/>
                </w:tcPr>
                <w:p w14:paraId="7BCC69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2900m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vAlign w:val="center"/>
                </w:tcPr>
                <w:p w14:paraId="3C517F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4F7EA4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2900m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6D24A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15A3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0F6C99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0CA8AF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2#生产车间</w:t>
                  </w:r>
                </w:p>
              </w:tc>
              <w:tc>
                <w:tcPr>
                  <w:tcW w:w="1755" w:type="dxa"/>
                  <w:vAlign w:val="center"/>
                </w:tcPr>
                <w:p w14:paraId="4C810D5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vAlign w:val="center"/>
                </w:tcPr>
                <w:p w14:paraId="43A770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34732E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1919FB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7A50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1FA699D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138E6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3#生产车间</w:t>
                  </w:r>
                </w:p>
              </w:tc>
              <w:tc>
                <w:tcPr>
                  <w:tcW w:w="1755" w:type="dxa"/>
                  <w:vAlign w:val="center"/>
                </w:tcPr>
                <w:p w14:paraId="23651D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vAlign w:val="center"/>
                </w:tcPr>
                <w:p w14:paraId="2451C44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5E1330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46BE8FB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2EF0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263FBC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shd w:val="clear" w:color="auto" w:fill="auto"/>
                  <w:vAlign w:val="center"/>
                </w:tcPr>
                <w:p w14:paraId="37BBFC2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4#生产车间</w:t>
                  </w:r>
                </w:p>
              </w:tc>
              <w:tc>
                <w:tcPr>
                  <w:tcW w:w="1755" w:type="dxa"/>
                  <w:shd w:val="clear" w:color="auto" w:fill="auto"/>
                  <w:vAlign w:val="center"/>
                </w:tcPr>
                <w:p w14:paraId="4DDFE1A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shd w:val="clear" w:color="auto" w:fill="auto"/>
                  <w:vAlign w:val="center"/>
                </w:tcPr>
                <w:p w14:paraId="2AF35F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708F2D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2100m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vAlign w:val="center"/>
                </w:tcPr>
                <w:p w14:paraId="57A017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4A82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757467C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shd w:val="clear" w:color="auto" w:fill="auto"/>
                  <w:vAlign w:val="center"/>
                </w:tcPr>
                <w:p w14:paraId="2827E7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5#生产车间</w:t>
                  </w:r>
                </w:p>
              </w:tc>
              <w:tc>
                <w:tcPr>
                  <w:tcW w:w="1755" w:type="dxa"/>
                  <w:shd w:val="clear" w:color="auto" w:fill="auto"/>
                  <w:vAlign w:val="center"/>
                </w:tcPr>
                <w:p w14:paraId="4A084C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4321m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953" w:type="dxa"/>
                  <w:shd w:val="clear" w:color="auto" w:fill="auto"/>
                  <w:vAlign w:val="center"/>
                </w:tcPr>
                <w:p w14:paraId="0CA10C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02DBC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建筑面积</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4321m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设置1条果蔬干生产线，用于果蔬干的生产。</w:t>
                  </w:r>
                </w:p>
              </w:tc>
              <w:tc>
                <w:tcPr>
                  <w:tcW w:w="1163" w:type="dxa"/>
                  <w:shd w:val="clear" w:color="auto" w:fill="auto"/>
                  <w:vAlign w:val="center"/>
                </w:tcPr>
                <w:p w14:paraId="252D7FA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3D4B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6CF380EF">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48B2EC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p>
              </w:tc>
              <w:tc>
                <w:tcPr>
                  <w:tcW w:w="1755" w:type="dxa"/>
                  <w:vAlign w:val="center"/>
                </w:tcPr>
                <w:p w14:paraId="2BD670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30CAB6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eastAsia" w:ascii="宋体" w:hAnsi="宋体" w:eastAsia="宋体" w:cs="宋体"/>
                      <w:color w:val="000000" w:themeColor="text1"/>
                      <w:kern w:val="0"/>
                      <w:sz w:val="21"/>
                      <w:szCs w:val="21"/>
                      <w:lang w:val="en-US" w:eastAsia="zh-CN" w:bidi="ar"/>
                      <w14:textFill>
                        <w14:solidFill>
                          <w14:schemeClr w14:val="tx1"/>
                        </w14:solidFill>
                      </w14:textFill>
                    </w:rPr>
                    <w:t>建筑面积</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6000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设置1条</w:t>
                  </w:r>
                  <w:r>
                    <w:rPr>
                      <w:rFonts w:hint="default" w:ascii="Times New Roman" w:hAnsi="Times New Roman" w:cs="Times New Roman"/>
                      <w:b w:val="0"/>
                      <w:bCs w:val="0"/>
                      <w:snapToGrid/>
                      <w:color w:val="000000" w:themeColor="text1"/>
                      <w:spacing w:val="0"/>
                      <w:kern w:val="0"/>
                      <w:position w:val="0"/>
                      <w:sz w:val="21"/>
                      <w:szCs w:val="21"/>
                      <w:lang w:val="en-US" w:eastAsia="zh-CN" w:bidi="ar-SA"/>
                      <w14:textFill>
                        <w14:solidFill>
                          <w14:schemeClr w14:val="tx1"/>
                        </w14:solidFill>
                      </w14:textFill>
                    </w:rPr>
                    <w:t>5T/H果蔬杀青速冻线</w:t>
                  </w:r>
                  <w:r>
                    <w:rPr>
                      <w:rFonts w:hint="eastAsia" w:ascii="宋体" w:hAnsi="宋体" w:eastAsia="宋体" w:cs="宋体"/>
                      <w:color w:val="000000" w:themeColor="text1"/>
                      <w:kern w:val="0"/>
                      <w:sz w:val="21"/>
                      <w:szCs w:val="21"/>
                      <w:lang w:val="en-US" w:eastAsia="zh-CN" w:bidi="ar"/>
                      <w14:textFill>
                        <w14:solidFill>
                          <w14:schemeClr w14:val="tx1"/>
                        </w14:solidFill>
                      </w14:textFill>
                    </w:rPr>
                    <w:t>，新建</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12000方低温储藏</w:t>
                  </w:r>
                  <w:r>
                    <w:rPr>
                      <w:rFonts w:hint="eastAsia" w:ascii="宋体" w:hAnsi="宋体" w:eastAsia="宋体" w:cs="宋体"/>
                      <w:color w:val="000000" w:themeColor="text1"/>
                      <w:kern w:val="0"/>
                      <w:sz w:val="21"/>
                      <w:szCs w:val="21"/>
                      <w:lang w:val="en-US" w:eastAsia="zh-CN" w:bidi="ar"/>
                      <w14:textFill>
                        <w14:solidFill>
                          <w14:schemeClr w14:val="tx1"/>
                        </w14:solidFill>
                      </w14:textFill>
                    </w:rPr>
                    <w:t>库。用于果蔬干的杀青工艺及冷藏。</w:t>
                  </w:r>
                </w:p>
              </w:tc>
              <w:tc>
                <w:tcPr>
                  <w:tcW w:w="2040" w:type="dxa"/>
                  <w:vAlign w:val="center"/>
                </w:tcPr>
                <w:p w14:paraId="7669A01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w:t>
                  </w:r>
                  <w:r>
                    <w:rPr>
                      <w:rFonts w:hint="eastAsia" w:ascii="宋体" w:hAnsi="宋体" w:eastAsia="宋体" w:cs="宋体"/>
                      <w:color w:val="000000" w:themeColor="text1"/>
                      <w:kern w:val="0"/>
                      <w:sz w:val="21"/>
                      <w:szCs w:val="21"/>
                      <w:lang w:val="en-US" w:eastAsia="zh-CN" w:bidi="ar"/>
                      <w14:textFill>
                        <w14:solidFill>
                          <w14:schemeClr w14:val="tx1"/>
                        </w14:solidFill>
                      </w14:textFill>
                    </w:rPr>
                    <w:t>建筑面积</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6000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设置1条</w:t>
                  </w:r>
                  <w:r>
                    <w:rPr>
                      <w:rFonts w:hint="default" w:ascii="Times New Roman" w:hAnsi="Times New Roman" w:cs="Times New Roman"/>
                      <w:b w:val="0"/>
                      <w:bCs w:val="0"/>
                      <w:snapToGrid/>
                      <w:color w:val="000000" w:themeColor="text1"/>
                      <w:spacing w:val="0"/>
                      <w:kern w:val="0"/>
                      <w:position w:val="0"/>
                      <w:sz w:val="21"/>
                      <w:szCs w:val="21"/>
                      <w:lang w:val="en-US" w:eastAsia="zh-CN" w:bidi="ar-SA"/>
                      <w14:textFill>
                        <w14:solidFill>
                          <w14:schemeClr w14:val="tx1"/>
                        </w14:solidFill>
                      </w14:textFill>
                    </w:rPr>
                    <w:t>5T/H果蔬杀青速冻线</w:t>
                  </w:r>
                  <w:r>
                    <w:rPr>
                      <w:rFonts w:hint="eastAsia" w:ascii="宋体" w:hAnsi="宋体" w:eastAsia="宋体" w:cs="宋体"/>
                      <w:color w:val="000000" w:themeColor="text1"/>
                      <w:kern w:val="0"/>
                      <w:sz w:val="21"/>
                      <w:szCs w:val="21"/>
                      <w:lang w:val="en-US" w:eastAsia="zh-CN" w:bidi="ar"/>
                      <w14:textFill>
                        <w14:solidFill>
                          <w14:schemeClr w14:val="tx1"/>
                        </w14:solidFill>
                      </w14:textFill>
                    </w:rPr>
                    <w:t>，新建</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12000方低温储藏</w:t>
                  </w:r>
                  <w:r>
                    <w:rPr>
                      <w:rFonts w:hint="eastAsia" w:ascii="宋体" w:hAnsi="宋体" w:eastAsia="宋体" w:cs="宋体"/>
                      <w:color w:val="000000" w:themeColor="text1"/>
                      <w:kern w:val="0"/>
                      <w:sz w:val="21"/>
                      <w:szCs w:val="21"/>
                      <w:lang w:val="en-US" w:eastAsia="zh-CN" w:bidi="ar"/>
                      <w14:textFill>
                        <w14:solidFill>
                          <w14:schemeClr w14:val="tx1"/>
                        </w14:solidFill>
                      </w14:textFill>
                    </w:rPr>
                    <w:t>库。用于果蔬干的杀青工艺及冷藏。</w:t>
                  </w:r>
                </w:p>
              </w:tc>
              <w:tc>
                <w:tcPr>
                  <w:tcW w:w="1163" w:type="dxa"/>
                  <w:vAlign w:val="center"/>
                </w:tcPr>
                <w:p w14:paraId="32476A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63A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7ED438F6">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辅助工程</w:t>
                  </w:r>
                </w:p>
              </w:tc>
              <w:tc>
                <w:tcPr>
                  <w:tcW w:w="918" w:type="dxa"/>
                  <w:vAlign w:val="center"/>
                </w:tcPr>
                <w:p w14:paraId="79BFBE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办公室</w:t>
                  </w:r>
                </w:p>
              </w:tc>
              <w:tc>
                <w:tcPr>
                  <w:tcW w:w="1755" w:type="dxa"/>
                  <w:vAlign w:val="center"/>
                </w:tcPr>
                <w:p w14:paraId="2595C29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宋体" w:hAnsi="宋体" w:eastAsia="宋体" w:cs="宋体"/>
                      <w:color w:val="000000" w:themeColor="text1"/>
                      <w:kern w:val="0"/>
                      <w:sz w:val="21"/>
                      <w:szCs w:val="21"/>
                      <w:lang w:val="en-US" w:eastAsia="zh-CN" w:bidi="ar"/>
                      <w14:textFill>
                        <w14:solidFill>
                          <w14:schemeClr w14:val="tx1"/>
                        </w14:solidFill>
                      </w14:textFill>
                    </w:rPr>
                    <w:t>喵语小调线下体验馆二层</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，用于区域内员工办公及休憩。</w:t>
                  </w:r>
                </w:p>
              </w:tc>
              <w:tc>
                <w:tcPr>
                  <w:tcW w:w="1953" w:type="dxa"/>
                  <w:vAlign w:val="center"/>
                </w:tcPr>
                <w:p w14:paraId="766512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73AD0B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宋体" w:hAnsi="宋体" w:eastAsia="宋体" w:cs="宋体"/>
                      <w:color w:val="000000" w:themeColor="text1"/>
                      <w:kern w:val="0"/>
                      <w:sz w:val="21"/>
                      <w:szCs w:val="21"/>
                      <w:lang w:val="en-US" w:eastAsia="zh-CN" w:bidi="ar"/>
                      <w14:textFill>
                        <w14:solidFill>
                          <w14:schemeClr w14:val="tx1"/>
                        </w14:solidFill>
                      </w14:textFill>
                    </w:rPr>
                    <w:t>喵语小调线下体验馆二层</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，用于区域内员工办公及休憩。</w:t>
                  </w:r>
                </w:p>
              </w:tc>
              <w:tc>
                <w:tcPr>
                  <w:tcW w:w="1163" w:type="dxa"/>
                  <w:vAlign w:val="center"/>
                </w:tcPr>
                <w:p w14:paraId="7AFEB2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5D4E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51118F1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EEB3B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产品检测楼</w:t>
                  </w:r>
                </w:p>
              </w:tc>
              <w:tc>
                <w:tcPr>
                  <w:tcW w:w="1755" w:type="dxa"/>
                  <w:vAlign w:val="center"/>
                </w:tcPr>
                <w:p w14:paraId="70A9D3E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3024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用于</w:t>
                  </w:r>
                  <w:r>
                    <w:rPr>
                      <w:rFonts w:hint="eastAsia" w:ascii="Times New Roman" w:hAnsi="Times New Roman" w:cs="Times New Roman"/>
                      <w:color w:val="000000" w:themeColor="text1"/>
                      <w:sz w:val="21"/>
                      <w:szCs w:val="21"/>
                      <w:lang w:eastAsia="zh-CN"/>
                      <w14:textFill>
                        <w14:solidFill>
                          <w14:schemeClr w14:val="tx1"/>
                        </w14:solidFill>
                      </w14:textFill>
                    </w:rPr>
                    <w:t>产品质量检测及研发等</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1953" w:type="dxa"/>
                  <w:vAlign w:val="center"/>
                </w:tcPr>
                <w:p w14:paraId="41342F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8F07C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3024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用于</w:t>
                  </w:r>
                  <w:r>
                    <w:rPr>
                      <w:rFonts w:hint="eastAsia" w:ascii="Times New Roman" w:hAnsi="Times New Roman" w:cs="Times New Roman"/>
                      <w:color w:val="000000" w:themeColor="text1"/>
                      <w:sz w:val="21"/>
                      <w:szCs w:val="21"/>
                      <w:lang w:eastAsia="zh-CN"/>
                      <w14:textFill>
                        <w14:solidFill>
                          <w14:schemeClr w14:val="tx1"/>
                        </w14:solidFill>
                      </w14:textFill>
                    </w:rPr>
                    <w:t>产品质量检测及研发等</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tc>
              <w:tc>
                <w:tcPr>
                  <w:tcW w:w="1163" w:type="dxa"/>
                  <w:vAlign w:val="center"/>
                </w:tcPr>
                <w:p w14:paraId="211E35A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6118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6E0AAF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7F6E82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企业展示楼</w:t>
                  </w:r>
                </w:p>
              </w:tc>
              <w:tc>
                <w:tcPr>
                  <w:tcW w:w="1755" w:type="dxa"/>
                  <w:vAlign w:val="center"/>
                </w:tcPr>
                <w:p w14:paraId="71503C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厂区东北侧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1123</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，，用于企业各产品展示。</w:t>
                  </w:r>
                </w:p>
              </w:tc>
              <w:tc>
                <w:tcPr>
                  <w:tcW w:w="1953" w:type="dxa"/>
                  <w:vAlign w:val="center"/>
                </w:tcPr>
                <w:p w14:paraId="1F6326C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088BE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厂区东北侧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1123</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，，用于企业各产品展示。</w:t>
                  </w:r>
                </w:p>
              </w:tc>
              <w:tc>
                <w:tcPr>
                  <w:tcW w:w="1163" w:type="dxa"/>
                  <w:vAlign w:val="center"/>
                </w:tcPr>
                <w:p w14:paraId="3E9DA1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3911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34956DE3">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03DD86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喵语小调线下体验馆及展厅</w:t>
                  </w:r>
                </w:p>
              </w:tc>
              <w:tc>
                <w:tcPr>
                  <w:tcW w:w="1755" w:type="dxa"/>
                  <w:vAlign w:val="center"/>
                </w:tcPr>
                <w:p w14:paraId="435C70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1C4ECF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6B29B4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3F，</w:t>
                  </w:r>
                  <w:r>
                    <w:rPr>
                      <w:rFonts w:hint="eastAsia" w:ascii="Times New Roman" w:hAnsi="Times New Roman" w:eastAsia="宋体" w:cs="Times New Roman"/>
                      <w:color w:val="000000" w:themeColor="text1"/>
                      <w:sz w:val="21"/>
                      <w:szCs w:val="21"/>
                      <w:lang w:eastAsia="zh-CN"/>
                      <w14:textFill>
                        <w14:solidFill>
                          <w14:schemeClr w14:val="tx1"/>
                        </w14:solidFill>
                      </w14:textFill>
                    </w:rPr>
                    <w:t>位于</w:t>
                  </w:r>
                  <w:r>
                    <w:rPr>
                      <w:rFonts w:hint="eastAsia" w:cs="Times New Roman"/>
                      <w:color w:val="000000" w:themeColor="text1"/>
                      <w:sz w:val="21"/>
                      <w:szCs w:val="21"/>
                      <w:lang w:eastAsia="zh-CN"/>
                      <w14:textFill>
                        <w14:solidFill>
                          <w14:schemeClr w14:val="tx1"/>
                        </w14:solidFill>
                      </w14:textFill>
                    </w:rPr>
                    <w:t>厂区北侧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550C989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15A9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D5C0E8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653E4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恒温库</w:t>
                  </w:r>
                </w:p>
              </w:tc>
              <w:tc>
                <w:tcPr>
                  <w:tcW w:w="1755" w:type="dxa"/>
                  <w:vAlign w:val="center"/>
                </w:tcPr>
                <w:p w14:paraId="317660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1F，位于</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4CB885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vAlign w:val="center"/>
                </w:tcPr>
                <w:p w14:paraId="4EDCEB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1F，位于</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北侧，</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170E2E4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7B4B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7E6D635F">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5743727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1#锅炉房</w:t>
                  </w:r>
                </w:p>
              </w:tc>
              <w:tc>
                <w:tcPr>
                  <w:tcW w:w="1755" w:type="dxa"/>
                  <w:vAlign w:val="center"/>
                </w:tcPr>
                <w:p w14:paraId="4CB74E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西南侧，内置</w:t>
                  </w:r>
                  <w:r>
                    <w:rPr>
                      <w:rFonts w:hint="eastAsia"/>
                      <w:color w:val="000000" w:themeColor="text1"/>
                      <w:sz w:val="21"/>
                      <w:szCs w:val="21"/>
                      <w:lang w:val="en-US" w:eastAsia="zh-CN"/>
                      <w14:textFill>
                        <w14:solidFill>
                          <w14:schemeClr w14:val="tx1"/>
                        </w14:solidFill>
                      </w14:textFill>
                    </w:rPr>
                    <w:t>1台2t/h燃气蒸汽锅炉及配套设备。</w:t>
                  </w:r>
                </w:p>
              </w:tc>
              <w:tc>
                <w:tcPr>
                  <w:tcW w:w="1953" w:type="dxa"/>
                  <w:vAlign w:val="center"/>
                </w:tcPr>
                <w:p w14:paraId="700AF2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vAlign w:val="center"/>
                </w:tcPr>
                <w:p w14:paraId="5766DB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77A36C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拆除</w:t>
                  </w:r>
                </w:p>
              </w:tc>
            </w:tr>
            <w:tr w14:paraId="2C87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DCF611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51B4EFC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锅炉房</w:t>
                  </w:r>
                </w:p>
              </w:tc>
              <w:tc>
                <w:tcPr>
                  <w:tcW w:w="1755" w:type="dxa"/>
                  <w:vAlign w:val="center"/>
                </w:tcPr>
                <w:p w14:paraId="4E6588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vAlign w:val="center"/>
                </w:tcPr>
                <w:p w14:paraId="6FD046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，位于5</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东南侧，内置</w:t>
                  </w:r>
                  <w:r>
                    <w:rPr>
                      <w:rFonts w:hint="eastAsia"/>
                      <w:color w:val="000000" w:themeColor="text1"/>
                      <w:sz w:val="21"/>
                      <w:szCs w:val="21"/>
                      <w:lang w:val="en-US" w:eastAsia="zh-CN"/>
                      <w14:textFill>
                        <w14:solidFill>
                          <w14:schemeClr w14:val="tx1"/>
                        </w14:solidFill>
                      </w14:textFill>
                    </w:rPr>
                    <w:t>1台9t/h燃气蒸汽锅炉及配套设备。</w:t>
                  </w:r>
                </w:p>
              </w:tc>
              <w:tc>
                <w:tcPr>
                  <w:tcW w:w="2040" w:type="dxa"/>
                  <w:vAlign w:val="center"/>
                </w:tcPr>
                <w:p w14:paraId="01516CC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，位于5</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东南侧，内置</w:t>
                  </w:r>
                  <w:r>
                    <w:rPr>
                      <w:rFonts w:hint="eastAsia"/>
                      <w:color w:val="000000" w:themeColor="text1"/>
                      <w:sz w:val="21"/>
                      <w:szCs w:val="21"/>
                      <w:lang w:val="en-US" w:eastAsia="zh-CN"/>
                      <w14:textFill>
                        <w14:solidFill>
                          <w14:schemeClr w14:val="tx1"/>
                        </w14:solidFill>
                      </w14:textFill>
                    </w:rPr>
                    <w:t>1台9t/h燃气蒸汽锅炉及配套设备。</w:t>
                  </w:r>
                </w:p>
              </w:tc>
              <w:tc>
                <w:tcPr>
                  <w:tcW w:w="1163" w:type="dxa"/>
                  <w:vAlign w:val="center"/>
                </w:tcPr>
                <w:p w14:paraId="643F75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11E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41F03EA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储运工程</w:t>
                  </w:r>
                </w:p>
              </w:tc>
              <w:tc>
                <w:tcPr>
                  <w:tcW w:w="918" w:type="dxa"/>
                  <w:vAlign w:val="center"/>
                </w:tcPr>
                <w:p w14:paraId="42D614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原料区</w:t>
                  </w:r>
                </w:p>
              </w:tc>
              <w:tc>
                <w:tcPr>
                  <w:tcW w:w="1755" w:type="dxa"/>
                  <w:vAlign w:val="center"/>
                </w:tcPr>
                <w:p w14:paraId="5445F3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总建筑</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，储存生产所需的原辅材料。</w:t>
                  </w:r>
                </w:p>
              </w:tc>
              <w:tc>
                <w:tcPr>
                  <w:tcW w:w="1953" w:type="dxa"/>
                  <w:vAlign w:val="center"/>
                </w:tcPr>
                <w:p w14:paraId="64E8A0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0077DC7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总建筑</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800</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，储存生产所需的原辅材料。</w:t>
                  </w:r>
                </w:p>
              </w:tc>
              <w:tc>
                <w:tcPr>
                  <w:tcW w:w="1163" w:type="dxa"/>
                  <w:vAlign w:val="center"/>
                </w:tcPr>
                <w:p w14:paraId="2B226B5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2D4B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1D748945">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shd w:val="clear" w:color="auto" w:fill="auto"/>
                  <w:vAlign w:val="center"/>
                </w:tcPr>
                <w:p w14:paraId="2DEBF9A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成品堆放区</w:t>
                  </w:r>
                </w:p>
              </w:tc>
              <w:tc>
                <w:tcPr>
                  <w:tcW w:w="1755" w:type="dxa"/>
                  <w:shd w:val="clear" w:color="auto" w:fill="auto"/>
                  <w:vAlign w:val="center"/>
                </w:tcPr>
                <w:p w14:paraId="7EC478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侧，占地面积共约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，储存包装后的成品。</w:t>
                  </w:r>
                </w:p>
              </w:tc>
              <w:tc>
                <w:tcPr>
                  <w:tcW w:w="1953" w:type="dxa"/>
                  <w:shd w:val="clear" w:color="auto" w:fill="auto"/>
                  <w:vAlign w:val="center"/>
                </w:tcPr>
                <w:p w14:paraId="11456A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4BA055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位于</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各</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内东</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侧，占地面积共约</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8</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00m</w:t>
                  </w:r>
                  <w:r>
                    <w:rPr>
                      <w:rFonts w:hint="default"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，储存包装后的成品。</w:t>
                  </w:r>
                </w:p>
              </w:tc>
              <w:tc>
                <w:tcPr>
                  <w:tcW w:w="1163" w:type="dxa"/>
                  <w:shd w:val="clear" w:color="auto" w:fill="auto"/>
                  <w:vAlign w:val="center"/>
                </w:tcPr>
                <w:p w14:paraId="570C3CB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07A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50352764">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公用工程</w:t>
                  </w:r>
                </w:p>
              </w:tc>
              <w:tc>
                <w:tcPr>
                  <w:tcW w:w="918" w:type="dxa"/>
                  <w:vAlign w:val="center"/>
                </w:tcPr>
                <w:p w14:paraId="585727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给水</w:t>
                  </w:r>
                </w:p>
              </w:tc>
              <w:tc>
                <w:tcPr>
                  <w:tcW w:w="1755" w:type="dxa"/>
                  <w:vAlign w:val="center"/>
                </w:tcPr>
                <w:p w14:paraId="69A902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自来水供水管网供给，总用水量为</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30412.8</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c>
                <w:tcPr>
                  <w:tcW w:w="1953" w:type="dxa"/>
                  <w:vAlign w:val="center"/>
                </w:tcPr>
                <w:p w14:paraId="0B6E563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自来水供水管网供给，用水量为</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2462.44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c>
                <w:tcPr>
                  <w:tcW w:w="2040" w:type="dxa"/>
                  <w:vAlign w:val="center"/>
                </w:tcPr>
                <w:p w14:paraId="10BA62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自来水供水管网供给，总用水量为</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32855.44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c>
                <w:tcPr>
                  <w:tcW w:w="1163" w:type="dxa"/>
                  <w:vAlign w:val="center"/>
                </w:tcPr>
                <w:p w14:paraId="17D882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后用水增加</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24</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42.64</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t/a</w:t>
                  </w:r>
                </w:p>
              </w:tc>
            </w:tr>
            <w:tr w14:paraId="0493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58F45A8">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81F044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排水</w:t>
                  </w:r>
                </w:p>
              </w:tc>
              <w:tc>
                <w:tcPr>
                  <w:tcW w:w="1755" w:type="dxa"/>
                  <w:vAlign w:val="center"/>
                </w:tcPr>
                <w:p w14:paraId="33E033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953" w:type="dxa"/>
                  <w:vAlign w:val="center"/>
                </w:tcPr>
                <w:p w14:paraId="5BD85F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2040" w:type="dxa"/>
                  <w:vAlign w:val="center"/>
                </w:tcPr>
                <w:p w14:paraId="75971D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163" w:type="dxa"/>
                  <w:vAlign w:val="center"/>
                </w:tcPr>
                <w:p w14:paraId="518A62D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废水</w:t>
                  </w:r>
                  <w:r>
                    <w:rPr>
                      <w:rFonts w:hint="default" w:ascii="Times New Roman" w:hAnsi="Times New Roman" w:eastAsia="宋体" w:cs="Times New Roman"/>
                      <w:color w:val="000000" w:themeColor="text1"/>
                      <w:sz w:val="21"/>
                      <w:szCs w:val="21"/>
                      <w14:textFill>
                        <w14:solidFill>
                          <w14:schemeClr w14:val="tx1"/>
                        </w14:solidFill>
                      </w14:textFill>
                    </w:rPr>
                    <w:t>量增大</w:t>
                  </w:r>
                  <w:r>
                    <w:rPr>
                      <w:rFonts w:hint="default" w:ascii="Times New Roman" w:hAnsi="Times New Roman" w:eastAsia="宋体" w:cs="Times New Roman"/>
                      <w:color w:val="000000" w:themeColor="text1"/>
                      <w:sz w:val="21"/>
                      <w:szCs w:val="21"/>
                      <w:lang w:eastAsia="zh-CN"/>
                      <w14:textFill>
                        <w14:solidFill>
                          <w14:schemeClr w14:val="tx1"/>
                        </w14:solidFill>
                      </w14:textFill>
                    </w:rPr>
                    <w:t>，处理方式无变更</w:t>
                  </w:r>
                </w:p>
              </w:tc>
            </w:tr>
            <w:tr w14:paraId="36DF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FCBEE4D">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19BF8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供电</w:t>
                  </w:r>
                </w:p>
              </w:tc>
              <w:tc>
                <w:tcPr>
                  <w:tcW w:w="1755" w:type="dxa"/>
                  <w:vAlign w:val="center"/>
                </w:tcPr>
                <w:p w14:paraId="0E5984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市政供电电网，总用电量为188.67万kW·h/a</w:t>
                  </w:r>
                </w:p>
              </w:tc>
              <w:tc>
                <w:tcPr>
                  <w:tcW w:w="1953" w:type="dxa"/>
                  <w:vAlign w:val="center"/>
                </w:tcPr>
                <w:p w14:paraId="59B32E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市政供电电网，总用电量为257.6万kW·h/a</w:t>
                  </w:r>
                </w:p>
              </w:tc>
              <w:tc>
                <w:tcPr>
                  <w:tcW w:w="2040" w:type="dxa"/>
                  <w:vAlign w:val="center"/>
                </w:tcPr>
                <w:p w14:paraId="3EB1B2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市政供电电网，总用电量为446.27万kW·h/a</w:t>
                  </w:r>
                </w:p>
              </w:tc>
              <w:tc>
                <w:tcPr>
                  <w:tcW w:w="1163" w:type="dxa"/>
                  <w:vAlign w:val="center"/>
                </w:tcPr>
                <w:p w14:paraId="56F7B2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后用电增加257.6万kW·h/a</w:t>
                  </w:r>
                </w:p>
              </w:tc>
            </w:tr>
            <w:tr w14:paraId="672A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2CA22B6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413CDA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消防</w:t>
                  </w:r>
                </w:p>
              </w:tc>
              <w:tc>
                <w:tcPr>
                  <w:tcW w:w="1755" w:type="dxa"/>
                  <w:vAlign w:val="center"/>
                </w:tcPr>
                <w:p w14:paraId="1CBCF1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按照相关规定设置各类消防设施</w:t>
                  </w:r>
                </w:p>
              </w:tc>
              <w:tc>
                <w:tcPr>
                  <w:tcW w:w="1953" w:type="dxa"/>
                  <w:vAlign w:val="center"/>
                </w:tcPr>
                <w:p w14:paraId="105EE1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按照相关规定设置各类消防设施</w:t>
                  </w:r>
                </w:p>
              </w:tc>
              <w:tc>
                <w:tcPr>
                  <w:tcW w:w="2040" w:type="dxa"/>
                  <w:vAlign w:val="center"/>
                </w:tcPr>
                <w:p w14:paraId="03D3750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按照相关规定设置各类消防设施</w:t>
                  </w:r>
                </w:p>
              </w:tc>
              <w:tc>
                <w:tcPr>
                  <w:tcW w:w="1163" w:type="dxa"/>
                  <w:vAlign w:val="center"/>
                </w:tcPr>
                <w:p w14:paraId="6D4D8F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32A9CA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7923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restart"/>
                  <w:vAlign w:val="center"/>
                </w:tcPr>
                <w:p w14:paraId="1FAF07E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环保工程</w:t>
                  </w:r>
                </w:p>
              </w:tc>
              <w:tc>
                <w:tcPr>
                  <w:tcW w:w="918" w:type="dxa"/>
                  <w:vMerge w:val="restart"/>
                  <w:vAlign w:val="center"/>
                </w:tcPr>
                <w:p w14:paraId="72349B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废气</w:t>
                  </w:r>
                </w:p>
              </w:tc>
              <w:tc>
                <w:tcPr>
                  <w:tcW w:w="1755" w:type="dxa"/>
                  <w:vAlign w:val="center"/>
                </w:tcPr>
                <w:p w14:paraId="5F8CBE4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2T锅炉废气</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shd w:val="clear" w:color="auto" w:fill="auto"/>
                  <w:vAlign w:val="center"/>
                </w:tcPr>
                <w:p w14:paraId="7A42350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1965DAE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vAlign w:val="center"/>
                </w:tcPr>
                <w:p w14:paraId="642E74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拆除</w:t>
                  </w:r>
                </w:p>
              </w:tc>
            </w:tr>
            <w:tr w14:paraId="6366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27DBC41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continue"/>
                  <w:vAlign w:val="center"/>
                </w:tcPr>
                <w:p w14:paraId="33D1B2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1755" w:type="dxa"/>
                  <w:shd w:val="clear" w:color="auto" w:fill="auto"/>
                  <w:vAlign w:val="center"/>
                </w:tcPr>
                <w:p w14:paraId="0EC012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953" w:type="dxa"/>
                  <w:shd w:val="clear" w:color="auto" w:fill="auto"/>
                  <w:vAlign w:val="center"/>
                </w:tcPr>
                <w:p w14:paraId="4B9FC2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9T锅炉废气</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shd w:val="clear" w:color="auto" w:fill="auto"/>
                  <w:vAlign w:val="center"/>
                </w:tcPr>
                <w:p w14:paraId="74854E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9T锅炉废气</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1163" w:type="dxa"/>
                  <w:shd w:val="clear" w:color="auto" w:fill="auto"/>
                  <w:vAlign w:val="center"/>
                </w:tcPr>
                <w:p w14:paraId="097EEB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23C5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9D5E6EA">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continue"/>
                  <w:vAlign w:val="center"/>
                </w:tcPr>
                <w:p w14:paraId="5165AEE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1755" w:type="dxa"/>
                  <w:vAlign w:val="center"/>
                </w:tcPr>
                <w:p w14:paraId="00B189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c>
                <w:tcPr>
                  <w:tcW w:w="1953" w:type="dxa"/>
                  <w:shd w:val="clear" w:color="auto" w:fill="auto"/>
                  <w:vAlign w:val="center"/>
                </w:tcPr>
                <w:p w14:paraId="7C0F824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w:t>
                  </w:r>
                </w:p>
              </w:tc>
              <w:tc>
                <w:tcPr>
                  <w:tcW w:w="2040" w:type="dxa"/>
                  <w:shd w:val="clear" w:color="auto" w:fill="auto"/>
                  <w:vAlign w:val="center"/>
                </w:tcPr>
                <w:p w14:paraId="5275A26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c>
                <w:tcPr>
                  <w:tcW w:w="1163" w:type="dxa"/>
                  <w:vAlign w:val="center"/>
                </w:tcPr>
                <w:p w14:paraId="0507FF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无变更</w:t>
                  </w:r>
                </w:p>
              </w:tc>
            </w:tr>
            <w:tr w14:paraId="034B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6AA1078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3AC569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废水</w:t>
                  </w:r>
                </w:p>
              </w:tc>
              <w:tc>
                <w:tcPr>
                  <w:tcW w:w="1755" w:type="dxa"/>
                  <w:shd w:val="clear" w:color="auto" w:fill="auto"/>
                  <w:vAlign w:val="center"/>
                </w:tcPr>
                <w:p w14:paraId="0CCF6A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953" w:type="dxa"/>
                  <w:shd w:val="clear" w:color="auto" w:fill="auto"/>
                  <w:vAlign w:val="center"/>
                </w:tcPr>
                <w:p w14:paraId="59BA51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2040" w:type="dxa"/>
                  <w:shd w:val="clear" w:color="auto" w:fill="auto"/>
                  <w:vAlign w:val="center"/>
                </w:tcPr>
                <w:p w14:paraId="7CD40C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c>
                <w:tcPr>
                  <w:tcW w:w="1163" w:type="dxa"/>
                  <w:shd w:val="clear" w:color="auto" w:fill="auto"/>
                  <w:vAlign w:val="center"/>
                </w:tcPr>
                <w:p w14:paraId="4BF9DB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废水</w:t>
                  </w:r>
                  <w:r>
                    <w:rPr>
                      <w:rFonts w:hint="default" w:ascii="Times New Roman" w:hAnsi="Times New Roman" w:eastAsia="宋体" w:cs="Times New Roman"/>
                      <w:color w:val="000000" w:themeColor="text1"/>
                      <w:sz w:val="21"/>
                      <w:szCs w:val="21"/>
                      <w14:textFill>
                        <w14:solidFill>
                          <w14:schemeClr w14:val="tx1"/>
                        </w14:solidFill>
                      </w14:textFill>
                    </w:rPr>
                    <w:t>量增大</w:t>
                  </w:r>
                  <w:r>
                    <w:rPr>
                      <w:rFonts w:hint="default" w:ascii="Times New Roman" w:hAnsi="Times New Roman" w:eastAsia="宋体" w:cs="Times New Roman"/>
                      <w:color w:val="000000" w:themeColor="text1"/>
                      <w:sz w:val="21"/>
                      <w:szCs w:val="21"/>
                      <w:lang w:eastAsia="zh-CN"/>
                      <w14:textFill>
                        <w14:solidFill>
                          <w14:schemeClr w14:val="tx1"/>
                        </w14:solidFill>
                      </w14:textFill>
                    </w:rPr>
                    <w:t>，处理方式无变更</w:t>
                  </w:r>
                </w:p>
              </w:tc>
            </w:tr>
            <w:tr w14:paraId="15E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491D733C">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1F44F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噪声</w:t>
                  </w:r>
                </w:p>
              </w:tc>
              <w:tc>
                <w:tcPr>
                  <w:tcW w:w="1755" w:type="dxa"/>
                  <w:vAlign w:val="center"/>
                </w:tcPr>
                <w:p w14:paraId="4909D7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隔声、消声、减振、设备定期保养、绿化等</w:t>
                  </w:r>
                </w:p>
              </w:tc>
              <w:tc>
                <w:tcPr>
                  <w:tcW w:w="1953" w:type="dxa"/>
                  <w:vAlign w:val="center"/>
                </w:tcPr>
                <w:p w14:paraId="413DD8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隔声、消声、减振、设备定期保养、绿化等</w:t>
                  </w:r>
                </w:p>
              </w:tc>
              <w:tc>
                <w:tcPr>
                  <w:tcW w:w="2040" w:type="dxa"/>
                  <w:vAlign w:val="center"/>
                </w:tcPr>
                <w:p w14:paraId="43D781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隔声、消声、减振、设备定期保养、绿化等</w:t>
                  </w:r>
                </w:p>
              </w:tc>
              <w:tc>
                <w:tcPr>
                  <w:tcW w:w="1163" w:type="dxa"/>
                  <w:vAlign w:val="center"/>
                </w:tcPr>
                <w:p w14:paraId="6CB120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42CD37A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4F51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1162EA3E">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restart"/>
                  <w:vAlign w:val="center"/>
                </w:tcPr>
                <w:p w14:paraId="25554E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固废</w:t>
                  </w:r>
                </w:p>
              </w:tc>
              <w:tc>
                <w:tcPr>
                  <w:tcW w:w="1755" w:type="dxa"/>
                  <w:vAlign w:val="center"/>
                </w:tcPr>
                <w:p w14:paraId="5D3BC5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一般工业固体废物：</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于生产车间暂存</w:t>
                  </w:r>
                </w:p>
              </w:tc>
              <w:tc>
                <w:tcPr>
                  <w:tcW w:w="1953" w:type="dxa"/>
                  <w:vAlign w:val="center"/>
                </w:tcPr>
                <w:p w14:paraId="01E4B4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2040" w:type="dxa"/>
                  <w:vAlign w:val="center"/>
                </w:tcPr>
                <w:p w14:paraId="287129D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一般工业固体废物：</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于生产车间暂存</w:t>
                  </w:r>
                </w:p>
              </w:tc>
              <w:tc>
                <w:tcPr>
                  <w:tcW w:w="1163" w:type="dxa"/>
                  <w:vAlign w:val="center"/>
                </w:tcPr>
                <w:p w14:paraId="58A319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无变更</w:t>
                  </w:r>
                </w:p>
              </w:tc>
            </w:tr>
            <w:tr w14:paraId="6162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08C847A2">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Merge w:val="continue"/>
                  <w:vAlign w:val="center"/>
                </w:tcPr>
                <w:p w14:paraId="4EE2D2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p>
              </w:tc>
              <w:tc>
                <w:tcPr>
                  <w:tcW w:w="1755" w:type="dxa"/>
                  <w:vAlign w:val="center"/>
                </w:tcPr>
                <w:p w14:paraId="064FE8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生活垃圾：垃圾桶等</w:t>
                  </w:r>
                </w:p>
              </w:tc>
              <w:tc>
                <w:tcPr>
                  <w:tcW w:w="1953" w:type="dxa"/>
                  <w:vAlign w:val="center"/>
                </w:tcPr>
                <w:p w14:paraId="136C3C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生活垃圾：垃圾桶等</w:t>
                  </w:r>
                </w:p>
              </w:tc>
              <w:tc>
                <w:tcPr>
                  <w:tcW w:w="2040" w:type="dxa"/>
                  <w:vAlign w:val="center"/>
                </w:tcPr>
                <w:p w14:paraId="23044F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生活垃圾：垃圾桶等</w:t>
                  </w:r>
                </w:p>
              </w:tc>
              <w:tc>
                <w:tcPr>
                  <w:tcW w:w="1163" w:type="dxa"/>
                  <w:vAlign w:val="center"/>
                </w:tcPr>
                <w:p w14:paraId="6FB421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43610C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10B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27582A4B">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1319D0F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地下水、土壤</w:t>
                  </w:r>
                </w:p>
              </w:tc>
              <w:tc>
                <w:tcPr>
                  <w:tcW w:w="1755" w:type="dxa"/>
                  <w:vAlign w:val="center"/>
                </w:tcPr>
                <w:p w14:paraId="47EFCD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重点防渗区域，需采取地坪硬化、防渗措施。一般防渗区域采取地面硬化处理。</w:t>
                  </w:r>
                </w:p>
              </w:tc>
              <w:tc>
                <w:tcPr>
                  <w:tcW w:w="1953" w:type="dxa"/>
                  <w:vAlign w:val="center"/>
                </w:tcPr>
                <w:p w14:paraId="4ACD0D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重点防渗区域，需采取地坪硬化、防渗措施。一般防渗区域采取地面硬化处理。</w:t>
                  </w:r>
                </w:p>
              </w:tc>
              <w:tc>
                <w:tcPr>
                  <w:tcW w:w="2040" w:type="dxa"/>
                  <w:vAlign w:val="center"/>
                </w:tcPr>
                <w:p w14:paraId="548881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重点防渗区域，需采取地坪硬化、防渗措施。一般防渗区域采取地面硬化处理。</w:t>
                  </w:r>
                </w:p>
              </w:tc>
              <w:tc>
                <w:tcPr>
                  <w:tcW w:w="1163" w:type="dxa"/>
                  <w:vAlign w:val="center"/>
                </w:tcPr>
                <w:p w14:paraId="739C39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35758C5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r w14:paraId="445E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vAlign w:val="center"/>
                </w:tcPr>
                <w:p w14:paraId="51B206C7">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8" w:type="dxa"/>
                  <w:vAlign w:val="center"/>
                </w:tcPr>
                <w:p w14:paraId="60AEF7E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风险</w:t>
                  </w:r>
                </w:p>
              </w:tc>
              <w:tc>
                <w:tcPr>
                  <w:tcW w:w="1755" w:type="dxa"/>
                  <w:vAlign w:val="center"/>
                </w:tcPr>
                <w:p w14:paraId="273F0A5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设置室外消火栓、灭火器、制定风险应急预案等。</w:t>
                  </w:r>
                </w:p>
              </w:tc>
              <w:tc>
                <w:tcPr>
                  <w:tcW w:w="1953" w:type="dxa"/>
                  <w:vAlign w:val="center"/>
                </w:tcPr>
                <w:p w14:paraId="3F6129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设置室外消火栓、灭火器、制定风险应急预案等。</w:t>
                  </w:r>
                </w:p>
              </w:tc>
              <w:tc>
                <w:tcPr>
                  <w:tcW w:w="2040" w:type="dxa"/>
                  <w:vAlign w:val="center"/>
                </w:tcPr>
                <w:p w14:paraId="3AAB0D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设置室外消火栓、灭火器、制定风险应急预案等。</w:t>
                  </w:r>
                </w:p>
              </w:tc>
              <w:tc>
                <w:tcPr>
                  <w:tcW w:w="1163" w:type="dxa"/>
                  <w:vAlign w:val="center"/>
                </w:tcPr>
                <w:p w14:paraId="0E5B64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p>
                <w:p w14:paraId="651B7B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新增</w:t>
                  </w:r>
                </w:p>
              </w:tc>
            </w:tr>
          </w:tbl>
          <w:p w14:paraId="6983E1C4">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及产能</w:t>
            </w:r>
          </w:p>
          <w:p w14:paraId="2060BB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及产能</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见表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snapToGrid/>
                <w:color w:val="000000" w:themeColor="text1"/>
                <w:spacing w:val="0"/>
                <w:kern w:val="0"/>
                <w:position w:val="0"/>
                <w:sz w:val="24"/>
                <w:szCs w:val="24"/>
                <w:lang w:val="en-US" w:eastAsia="zh-CN"/>
                <w14:textFill>
                  <w14:solidFill>
                    <w14:schemeClr w14:val="tx1"/>
                  </w14:solidFill>
                </w14:textFill>
              </w:rPr>
              <w:t>4</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p w14:paraId="1C7026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及产能</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365"/>
              <w:gridCol w:w="1163"/>
              <w:gridCol w:w="1552"/>
              <w:gridCol w:w="1654"/>
              <w:gridCol w:w="1616"/>
            </w:tblGrid>
            <w:tr w14:paraId="369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 w:type="dxa"/>
                  <w:noWrap w:val="0"/>
                  <w:vAlign w:val="center"/>
                </w:tcPr>
                <w:p w14:paraId="44AFEC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序号</w:t>
                  </w:r>
                </w:p>
              </w:tc>
              <w:tc>
                <w:tcPr>
                  <w:tcW w:w="1389" w:type="dxa"/>
                  <w:noWrap w:val="0"/>
                  <w:vAlign w:val="center"/>
                </w:tcPr>
                <w:p w14:paraId="66373F5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产品名称</w:t>
                  </w:r>
                </w:p>
              </w:tc>
              <w:tc>
                <w:tcPr>
                  <w:tcW w:w="1183" w:type="dxa"/>
                  <w:noWrap w:val="0"/>
                  <w:vAlign w:val="center"/>
                </w:tcPr>
                <w:p w14:paraId="6750F83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单位</w:t>
                  </w:r>
                </w:p>
              </w:tc>
              <w:tc>
                <w:tcPr>
                  <w:tcW w:w="1580" w:type="dxa"/>
                  <w:noWrap w:val="0"/>
                  <w:vAlign w:val="center"/>
                </w:tcPr>
                <w:p w14:paraId="37B620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改建</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前）</w:t>
                  </w:r>
                </w:p>
              </w:tc>
              <w:tc>
                <w:tcPr>
                  <w:tcW w:w="1684" w:type="dxa"/>
                  <w:noWrap w:val="0"/>
                  <w:vAlign w:val="center"/>
                </w:tcPr>
                <w:p w14:paraId="55592F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改建</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后</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w:t>
                  </w:r>
                </w:p>
              </w:tc>
              <w:tc>
                <w:tcPr>
                  <w:tcW w:w="1646" w:type="dxa"/>
                  <w:noWrap w:val="0"/>
                  <w:vAlign w:val="center"/>
                </w:tcPr>
                <w:p w14:paraId="46D0F0E2">
                  <w:pPr>
                    <w:keepNext w:val="0"/>
                    <w:keepLines w:val="0"/>
                    <w:pageBreakBefore w:val="0"/>
                    <w:kinsoku/>
                    <w:wordWrap/>
                    <w:overflowPunct/>
                    <w:topLinePunct w:val="0"/>
                    <w:autoSpaceDE w:val="0"/>
                    <w:autoSpaceDN w:val="0"/>
                    <w:bidi w:val="0"/>
                    <w:adjustRightInd/>
                    <w:snapToGrid w:val="0"/>
                    <w:spacing w:before="63" w:beforeLines="20"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产能变化</w:t>
                  </w:r>
                </w:p>
              </w:tc>
            </w:tr>
            <w:tr w14:paraId="6A74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2" w:type="dxa"/>
                  <w:noWrap w:val="0"/>
                  <w:vAlign w:val="center"/>
                </w:tcPr>
                <w:p w14:paraId="45CD2A5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p>
              </w:tc>
              <w:tc>
                <w:tcPr>
                  <w:tcW w:w="1389" w:type="dxa"/>
                  <w:noWrap w:val="0"/>
                  <w:vAlign w:val="center"/>
                </w:tcPr>
                <w:p w14:paraId="5E077A86">
                  <w:pPr>
                    <w:spacing w:line="240" w:lineRule="auto"/>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t>果蔬干</w:t>
                  </w:r>
                </w:p>
              </w:tc>
              <w:tc>
                <w:tcPr>
                  <w:tcW w:w="1183" w:type="dxa"/>
                  <w:noWrap w:val="0"/>
                  <w:vAlign w:val="center"/>
                </w:tcPr>
                <w:p w14:paraId="0355FE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580" w:type="dxa"/>
                  <w:noWrap w:val="0"/>
                  <w:vAlign w:val="center"/>
                </w:tcPr>
                <w:p w14:paraId="3BE1B8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10000</w:t>
                  </w:r>
                </w:p>
              </w:tc>
              <w:tc>
                <w:tcPr>
                  <w:tcW w:w="1684" w:type="dxa"/>
                  <w:noWrap w:val="0"/>
                  <w:vAlign w:val="center"/>
                </w:tcPr>
                <w:p w14:paraId="2F61E2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4"/>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10000</w:t>
                  </w:r>
                </w:p>
              </w:tc>
              <w:tc>
                <w:tcPr>
                  <w:tcW w:w="1646" w:type="dxa"/>
                  <w:noWrap w:val="0"/>
                  <w:vAlign w:val="center"/>
                </w:tcPr>
                <w:p w14:paraId="76AFF11A">
                  <w:pPr>
                    <w:keepNext w:val="0"/>
                    <w:keepLines w:val="0"/>
                    <w:pageBreakBefore w:val="0"/>
                    <w:widowControl/>
                    <w:suppressLineNumbers w:val="0"/>
                    <w:kinsoku/>
                    <w:wordWrap/>
                    <w:overflowPunct/>
                    <w:topLinePunct w:val="0"/>
                    <w:bidi w:val="0"/>
                    <w:adjustRightInd/>
                    <w:snapToGrid w:val="0"/>
                    <w:spacing w:before="63" w:beforeLines="20" w:line="240" w:lineRule="auto"/>
                    <w:jc w:val="center"/>
                    <w:textAlignment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w:t>
                  </w:r>
                </w:p>
              </w:tc>
            </w:tr>
          </w:tbl>
          <w:p w14:paraId="722E1DF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主要生产单元、主要工艺、主要生产设施及设施参数</w:t>
            </w:r>
          </w:p>
          <w:p w14:paraId="25DE6A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5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主要生产单元、主要工艺、主要生产设施及设施参数</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164"/>
              <w:gridCol w:w="1506"/>
              <w:gridCol w:w="1854"/>
              <w:gridCol w:w="1002"/>
              <w:gridCol w:w="992"/>
              <w:gridCol w:w="876"/>
            </w:tblGrid>
            <w:tr w14:paraId="236D3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noWrap w:val="0"/>
                  <w:vAlign w:val="center"/>
                </w:tcPr>
                <w:p w14:paraId="609B77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主要生产单元名称</w:t>
                  </w:r>
                </w:p>
              </w:tc>
              <w:tc>
                <w:tcPr>
                  <w:tcW w:w="703" w:type="pct"/>
                  <w:noWrap w:val="0"/>
                  <w:vAlign w:val="center"/>
                </w:tcPr>
                <w:p w14:paraId="35AB421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主要工艺</w:t>
                  </w:r>
                </w:p>
              </w:tc>
              <w:tc>
                <w:tcPr>
                  <w:tcW w:w="910" w:type="pct"/>
                  <w:noWrap w:val="0"/>
                  <w:vAlign w:val="center"/>
                </w:tcPr>
                <w:p w14:paraId="4B7B195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主要生产设施</w:t>
                  </w:r>
                </w:p>
              </w:tc>
              <w:tc>
                <w:tcPr>
                  <w:tcW w:w="1120" w:type="pct"/>
                  <w:noWrap w:val="0"/>
                  <w:vAlign w:val="center"/>
                </w:tcPr>
                <w:p w14:paraId="567914D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firstLineChars="0"/>
                    <w:jc w:val="center"/>
                    <w:textAlignment w:val="bottom"/>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规格型号</w:t>
                  </w:r>
                </w:p>
              </w:tc>
              <w:tc>
                <w:tcPr>
                  <w:tcW w:w="605" w:type="pct"/>
                  <w:noWrap w:val="0"/>
                  <w:vAlign w:val="center"/>
                </w:tcPr>
                <w:p w14:paraId="05009A6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数量</w:t>
                  </w:r>
                </w:p>
                <w:p w14:paraId="72998DB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前)</w:t>
                  </w:r>
                </w:p>
              </w:tc>
              <w:tc>
                <w:tcPr>
                  <w:tcW w:w="599" w:type="pct"/>
                  <w:noWrap w:val="0"/>
                  <w:vAlign w:val="center"/>
                </w:tcPr>
                <w:p w14:paraId="75C0B90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数量</w:t>
                  </w:r>
                </w:p>
                <w:p w14:paraId="1A93181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后)</w:t>
                  </w:r>
                </w:p>
              </w:tc>
              <w:tc>
                <w:tcPr>
                  <w:tcW w:w="529" w:type="pct"/>
                  <w:noWrap w:val="0"/>
                  <w:vAlign w:val="center"/>
                </w:tcPr>
                <w:p w14:paraId="0DBB7F1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数量变化情况</w:t>
                  </w:r>
                </w:p>
              </w:tc>
            </w:tr>
            <w:tr w14:paraId="1B793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restart"/>
                  <w:noWrap w:val="0"/>
                  <w:vAlign w:val="center"/>
                </w:tcPr>
                <w:p w14:paraId="5F2C248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果蔬干生产线</w:t>
                  </w:r>
                </w:p>
              </w:tc>
              <w:tc>
                <w:tcPr>
                  <w:tcW w:w="703" w:type="pct"/>
                  <w:vMerge w:val="restart"/>
                  <w:shd w:val="clear" w:color="auto" w:fill="auto"/>
                  <w:noWrap w:val="0"/>
                  <w:vAlign w:val="center"/>
                </w:tcPr>
                <w:p w14:paraId="3968B05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t>真空干燥</w:t>
                  </w:r>
                </w:p>
              </w:tc>
              <w:tc>
                <w:tcPr>
                  <w:tcW w:w="910" w:type="pct"/>
                  <w:shd w:val="clear" w:color="auto" w:fill="auto"/>
                  <w:noWrap w:val="0"/>
                  <w:vAlign w:val="center"/>
                </w:tcPr>
                <w:p w14:paraId="59E7D6D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FD</w:t>
                  </w:r>
                  <w:r>
                    <w:rPr>
                      <w:rFonts w:hint="default" w:ascii="Times New Roman" w:hAnsi="Times New Roman" w:eastAsia="宋体" w:cs="Times New Roman"/>
                      <w:b w:val="0"/>
                      <w:bCs w:val="0"/>
                      <w:color w:val="000000" w:themeColor="text1"/>
                      <w:kern w:val="0"/>
                      <w:sz w:val="21"/>
                      <w:szCs w:val="21"/>
                      <w:u w:val="none"/>
                      <w:lang w:val="en-US" w:eastAsia="zh-CN" w:bidi="ar"/>
                      <w14:textFill>
                        <w14:solidFill>
                          <w14:schemeClr w14:val="tx1"/>
                        </w14:solidFill>
                      </w14:textFill>
                    </w:rPr>
                    <w:t>干燥仓</w:t>
                  </w:r>
                </w:p>
              </w:tc>
              <w:tc>
                <w:tcPr>
                  <w:tcW w:w="1120" w:type="pct"/>
                  <w:shd w:val="clear" w:color="auto" w:fill="auto"/>
                  <w:noWrap w:val="0"/>
                  <w:vAlign w:val="center"/>
                </w:tcPr>
                <w:p w14:paraId="7126F3C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Φ</w:t>
                  </w:r>
                  <w:r>
                    <w:rPr>
                      <w:rFonts w:hint="eastAsia" w:eastAsia="华文中宋"/>
                      <w:color w:val="000000" w:themeColor="text1"/>
                      <w:sz w:val="21"/>
                      <w:szCs w:val="21"/>
                      <w:lang w:val="en-US" w:eastAsia="zh-CN"/>
                      <w14:textFill>
                        <w14:solidFill>
                          <w14:schemeClr w14:val="tx1"/>
                        </w14:solidFill>
                      </w14:textFill>
                    </w:rPr>
                    <w:t>2300+128500</w:t>
                  </w:r>
                </w:p>
              </w:tc>
              <w:tc>
                <w:tcPr>
                  <w:tcW w:w="605" w:type="pct"/>
                  <w:shd w:val="clear" w:color="auto" w:fill="auto"/>
                  <w:noWrap w:val="0"/>
                  <w:vAlign w:val="center"/>
                </w:tcPr>
                <w:p w14:paraId="4C8C3718">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61BA6B3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5891363B">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ECA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A08368C">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603233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3264551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lang w:val="en-US" w:eastAsia="zh-CN" w:bidi="ar"/>
                      <w14:textFill>
                        <w14:solidFill>
                          <w14:schemeClr w14:val="tx1"/>
                        </w14:solidFill>
                      </w14:textFill>
                    </w:rPr>
                    <w:t>捕水器罐</w:t>
                  </w:r>
                </w:p>
              </w:tc>
              <w:tc>
                <w:tcPr>
                  <w:tcW w:w="1120" w:type="pct"/>
                  <w:shd w:val="clear" w:color="auto" w:fill="auto"/>
                  <w:noWrap w:val="0"/>
                  <w:vAlign w:val="center"/>
                </w:tcPr>
                <w:p w14:paraId="4E6AA56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Φ</w:t>
                  </w:r>
                  <w:r>
                    <w:rPr>
                      <w:rFonts w:hint="eastAsia" w:eastAsia="华文中宋"/>
                      <w:color w:val="000000" w:themeColor="text1"/>
                      <w:sz w:val="21"/>
                      <w:szCs w:val="21"/>
                      <w:lang w:val="en-US" w:eastAsia="zh-CN"/>
                      <w14:textFill>
                        <w14:solidFill>
                          <w14:schemeClr w14:val="tx1"/>
                        </w14:solidFill>
                      </w14:textFill>
                    </w:rPr>
                    <w:t>2300*6300</w:t>
                  </w:r>
                </w:p>
              </w:tc>
              <w:tc>
                <w:tcPr>
                  <w:tcW w:w="605" w:type="pct"/>
                  <w:shd w:val="clear" w:color="auto" w:fill="auto"/>
                  <w:noWrap w:val="0"/>
                  <w:vAlign w:val="center"/>
                </w:tcPr>
                <w:p w14:paraId="326B9B6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75D24B9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5AD3064A">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385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72DE2AC">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CD8A1F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4DA0320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加热板</w:t>
                  </w:r>
                </w:p>
              </w:tc>
              <w:tc>
                <w:tcPr>
                  <w:tcW w:w="1120" w:type="pct"/>
                  <w:shd w:val="clear" w:color="auto" w:fill="auto"/>
                  <w:noWrap w:val="0"/>
                  <w:vAlign w:val="center"/>
                </w:tcPr>
                <w:p w14:paraId="510A56F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5750*57*522</w:t>
                  </w:r>
                </w:p>
              </w:tc>
              <w:tc>
                <w:tcPr>
                  <w:tcW w:w="605" w:type="pct"/>
                  <w:shd w:val="clear" w:color="auto" w:fill="auto"/>
                  <w:noWrap w:val="0"/>
                  <w:vAlign w:val="center"/>
                </w:tcPr>
                <w:p w14:paraId="3064097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0EDD7D5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6F7B8D96">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F81B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00A341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22B8F0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0E8793D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油回转真空泵</w:t>
                  </w:r>
                </w:p>
              </w:tc>
              <w:tc>
                <w:tcPr>
                  <w:tcW w:w="1120" w:type="pct"/>
                  <w:shd w:val="clear" w:color="auto" w:fill="auto"/>
                  <w:noWrap w:val="0"/>
                  <w:vAlign w:val="center"/>
                </w:tcPr>
                <w:p w14:paraId="673821A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P450</w:t>
                  </w:r>
                </w:p>
              </w:tc>
              <w:tc>
                <w:tcPr>
                  <w:tcW w:w="605" w:type="pct"/>
                  <w:shd w:val="clear" w:color="auto" w:fill="auto"/>
                  <w:noWrap w:val="0"/>
                  <w:vAlign w:val="center"/>
                </w:tcPr>
                <w:p w14:paraId="5DE35189">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3415EEC4">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48659B2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639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66BB480">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A0D67A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6C69664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机械外压真空</w:t>
                  </w: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泵</w:t>
                  </w:r>
                </w:p>
              </w:tc>
              <w:tc>
                <w:tcPr>
                  <w:tcW w:w="1120" w:type="pct"/>
                  <w:shd w:val="clear" w:color="auto" w:fill="auto"/>
                  <w:noWrap w:val="0"/>
                  <w:vAlign w:val="center"/>
                </w:tcPr>
                <w:p w14:paraId="756DCA1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Pd2500</w:t>
                  </w:r>
                </w:p>
              </w:tc>
              <w:tc>
                <w:tcPr>
                  <w:tcW w:w="605" w:type="pct"/>
                  <w:shd w:val="clear" w:color="auto" w:fill="auto"/>
                  <w:noWrap w:val="0"/>
                  <w:vAlign w:val="center"/>
                </w:tcPr>
                <w:p w14:paraId="7999C06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7A8FF83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0F93FEF8">
                  <w:pPr>
                    <w:keepNext w:val="0"/>
                    <w:keepLines w:val="0"/>
                    <w:pageBreakBefore w:val="0"/>
                    <w:widowControl/>
                    <w:suppressLineNumbers w:val="0"/>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snapToGrid/>
                      <w:color w:val="000000" w:themeColor="text1"/>
                      <w:spacing w:val="0"/>
                      <w:kern w:val="0"/>
                      <w:position w:val="0"/>
                      <w:sz w:val="21"/>
                      <w:szCs w:val="21"/>
                      <w:u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668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49FBA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92AF1F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5FDABF3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干燥式真空</w:t>
                  </w: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泵</w:t>
                  </w:r>
                </w:p>
              </w:tc>
              <w:tc>
                <w:tcPr>
                  <w:tcW w:w="1120" w:type="pct"/>
                  <w:shd w:val="clear" w:color="auto" w:fill="auto"/>
                  <w:noWrap w:val="0"/>
                  <w:vAlign w:val="center"/>
                </w:tcPr>
                <w:p w14:paraId="4D11C6D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Ft4-450</w:t>
                  </w:r>
                </w:p>
              </w:tc>
              <w:tc>
                <w:tcPr>
                  <w:tcW w:w="605" w:type="pct"/>
                  <w:shd w:val="clear" w:color="auto" w:fill="auto"/>
                  <w:noWrap w:val="0"/>
                  <w:vAlign w:val="center"/>
                </w:tcPr>
                <w:p w14:paraId="0494C3F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09DA9C34">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6AB106EE">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108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088807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5AB66D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p>
              </w:tc>
              <w:tc>
                <w:tcPr>
                  <w:tcW w:w="910" w:type="pct"/>
                  <w:shd w:val="clear" w:color="auto" w:fill="auto"/>
                  <w:noWrap w:val="0"/>
                  <w:vAlign w:val="center"/>
                </w:tcPr>
                <w:p w14:paraId="4305CE5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eastAsia="zh-CN"/>
                      <w14:textFill>
                        <w14:solidFill>
                          <w14:schemeClr w14:val="tx1"/>
                        </w14:solidFill>
                      </w14:textFill>
                    </w:rPr>
                    <w:t>真空自动切换阀</w:t>
                  </w:r>
                </w:p>
              </w:tc>
              <w:tc>
                <w:tcPr>
                  <w:tcW w:w="1120" w:type="pct"/>
                  <w:shd w:val="clear" w:color="auto" w:fill="auto"/>
                  <w:noWrap w:val="0"/>
                  <w:vAlign w:val="center"/>
                </w:tcPr>
                <w:p w14:paraId="6C21191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Laac03r1/2</w:t>
                  </w:r>
                </w:p>
              </w:tc>
              <w:tc>
                <w:tcPr>
                  <w:tcW w:w="605" w:type="pct"/>
                  <w:shd w:val="clear" w:color="auto" w:fill="auto"/>
                  <w:noWrap w:val="0"/>
                  <w:vAlign w:val="center"/>
                </w:tcPr>
                <w:p w14:paraId="56FDC05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61E6747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270A482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B564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C2E5E6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781E71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8BAABB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冷冻机组</w:t>
                  </w:r>
                </w:p>
              </w:tc>
              <w:tc>
                <w:tcPr>
                  <w:tcW w:w="1120" w:type="pct"/>
                  <w:shd w:val="clear" w:color="auto" w:fill="auto"/>
                  <w:noWrap w:val="0"/>
                  <w:vAlign w:val="center"/>
                </w:tcPr>
                <w:p w14:paraId="15015D1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S8-17-132d</w:t>
                  </w:r>
                </w:p>
              </w:tc>
              <w:tc>
                <w:tcPr>
                  <w:tcW w:w="605" w:type="pct"/>
                  <w:shd w:val="clear" w:color="auto" w:fill="auto"/>
                  <w:noWrap w:val="0"/>
                  <w:vAlign w:val="center"/>
                </w:tcPr>
                <w:p w14:paraId="506802B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99" w:type="pct"/>
                  <w:shd w:val="clear" w:color="auto" w:fill="auto"/>
                  <w:noWrap w:val="0"/>
                  <w:vAlign w:val="center"/>
                </w:tcPr>
                <w:p w14:paraId="239F44A0">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29" w:type="pct"/>
                  <w:noWrap w:val="0"/>
                  <w:vAlign w:val="center"/>
                </w:tcPr>
                <w:p w14:paraId="3FE4D0EE">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E84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560131A">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EA9309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65F0BE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冷冻机组</w:t>
                  </w:r>
                </w:p>
              </w:tc>
              <w:tc>
                <w:tcPr>
                  <w:tcW w:w="1120" w:type="pct"/>
                  <w:shd w:val="clear" w:color="auto" w:fill="auto"/>
                  <w:noWrap w:val="0"/>
                  <w:vAlign w:val="center"/>
                </w:tcPr>
                <w:p w14:paraId="20FE6A9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Sf8zf8-12.5</w:t>
                  </w:r>
                </w:p>
              </w:tc>
              <w:tc>
                <w:tcPr>
                  <w:tcW w:w="605" w:type="pct"/>
                  <w:shd w:val="clear" w:color="auto" w:fill="auto"/>
                  <w:noWrap w:val="0"/>
                  <w:vAlign w:val="center"/>
                </w:tcPr>
                <w:p w14:paraId="5154FF3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99" w:type="pct"/>
                  <w:shd w:val="clear" w:color="auto" w:fill="auto"/>
                  <w:noWrap w:val="0"/>
                  <w:vAlign w:val="center"/>
                </w:tcPr>
                <w:p w14:paraId="4572FE20">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29" w:type="pct"/>
                  <w:noWrap w:val="0"/>
                  <w:vAlign w:val="center"/>
                </w:tcPr>
                <w:p w14:paraId="6045737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5B9E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0B80A3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167EB2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874228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中阀冷却器</w:t>
                  </w:r>
                </w:p>
              </w:tc>
              <w:tc>
                <w:tcPr>
                  <w:tcW w:w="1120" w:type="pct"/>
                  <w:shd w:val="clear" w:color="auto" w:fill="auto"/>
                  <w:noWrap w:val="0"/>
                  <w:vAlign w:val="center"/>
                </w:tcPr>
                <w:p w14:paraId="153AB6C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Zzq-1000</w:t>
                  </w:r>
                </w:p>
              </w:tc>
              <w:tc>
                <w:tcPr>
                  <w:tcW w:w="605" w:type="pct"/>
                  <w:shd w:val="clear" w:color="auto" w:fill="auto"/>
                  <w:noWrap w:val="0"/>
                  <w:vAlign w:val="center"/>
                </w:tcPr>
                <w:p w14:paraId="4E34C34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99" w:type="pct"/>
                  <w:shd w:val="clear" w:color="auto" w:fill="auto"/>
                  <w:noWrap w:val="0"/>
                  <w:vAlign w:val="center"/>
                </w:tcPr>
                <w:p w14:paraId="622F383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10</w:t>
                  </w:r>
                </w:p>
              </w:tc>
              <w:tc>
                <w:tcPr>
                  <w:tcW w:w="529" w:type="pct"/>
                  <w:noWrap w:val="0"/>
                  <w:vAlign w:val="center"/>
                </w:tcPr>
                <w:p w14:paraId="44F9F086">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A50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A8B8BB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352213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D6AD4C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立式冷凝器</w:t>
                  </w:r>
                </w:p>
              </w:tc>
              <w:tc>
                <w:tcPr>
                  <w:tcW w:w="1120" w:type="pct"/>
                  <w:shd w:val="clear" w:color="auto" w:fill="auto"/>
                  <w:noWrap w:val="0"/>
                  <w:vAlign w:val="center"/>
                </w:tcPr>
                <w:p w14:paraId="177BB1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LNA200</w:t>
                  </w:r>
                </w:p>
              </w:tc>
              <w:tc>
                <w:tcPr>
                  <w:tcW w:w="605" w:type="pct"/>
                  <w:shd w:val="clear" w:color="auto" w:fill="auto"/>
                  <w:noWrap w:val="0"/>
                  <w:vAlign w:val="center"/>
                </w:tcPr>
                <w:p w14:paraId="24CBA46F">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4</w:t>
                  </w:r>
                </w:p>
              </w:tc>
              <w:tc>
                <w:tcPr>
                  <w:tcW w:w="599" w:type="pct"/>
                  <w:shd w:val="clear" w:color="auto" w:fill="auto"/>
                  <w:noWrap w:val="0"/>
                  <w:vAlign w:val="center"/>
                </w:tcPr>
                <w:p w14:paraId="032511F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4</w:t>
                  </w:r>
                </w:p>
              </w:tc>
              <w:tc>
                <w:tcPr>
                  <w:tcW w:w="529" w:type="pct"/>
                  <w:noWrap w:val="0"/>
                  <w:vAlign w:val="center"/>
                </w:tcPr>
                <w:p w14:paraId="0CC953F4">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6AF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8A20F6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229F0B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4C0C5D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冷媒循环泵</w:t>
                  </w:r>
                </w:p>
              </w:tc>
              <w:tc>
                <w:tcPr>
                  <w:tcW w:w="1120" w:type="pct"/>
                  <w:shd w:val="clear" w:color="auto" w:fill="auto"/>
                  <w:noWrap w:val="0"/>
                  <w:vAlign w:val="center"/>
                </w:tcPr>
                <w:p w14:paraId="00B56AD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IH95-90-160</w:t>
                  </w:r>
                </w:p>
              </w:tc>
              <w:tc>
                <w:tcPr>
                  <w:tcW w:w="605" w:type="pct"/>
                  <w:shd w:val="clear" w:color="auto" w:fill="auto"/>
                  <w:noWrap w:val="0"/>
                  <w:vAlign w:val="center"/>
                </w:tcPr>
                <w:p w14:paraId="1A2327F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27E541A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6920003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E8C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6D64E3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14D16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C38EB2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冷媒输送泵</w:t>
                  </w:r>
                </w:p>
              </w:tc>
              <w:tc>
                <w:tcPr>
                  <w:tcW w:w="1120" w:type="pct"/>
                  <w:shd w:val="clear" w:color="auto" w:fill="auto"/>
                  <w:noWrap w:val="0"/>
                  <w:vAlign w:val="center"/>
                </w:tcPr>
                <w:p w14:paraId="1C4A422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80FS4K515</w:t>
                  </w:r>
                </w:p>
              </w:tc>
              <w:tc>
                <w:tcPr>
                  <w:tcW w:w="605" w:type="pct"/>
                  <w:shd w:val="clear" w:color="auto" w:fill="auto"/>
                  <w:noWrap w:val="0"/>
                  <w:vAlign w:val="center"/>
                </w:tcPr>
                <w:p w14:paraId="575DF73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43E96AC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431B20E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2C5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958FF1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2AC873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65E995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冷媒回收泵</w:t>
                  </w:r>
                </w:p>
              </w:tc>
              <w:tc>
                <w:tcPr>
                  <w:tcW w:w="1120" w:type="pct"/>
                  <w:shd w:val="clear" w:color="auto" w:fill="auto"/>
                  <w:noWrap w:val="0"/>
                  <w:vAlign w:val="center"/>
                </w:tcPr>
                <w:p w14:paraId="7E4E2D4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50PD51.5</w:t>
                  </w:r>
                </w:p>
              </w:tc>
              <w:tc>
                <w:tcPr>
                  <w:tcW w:w="605" w:type="pct"/>
                  <w:shd w:val="clear" w:color="auto" w:fill="auto"/>
                  <w:noWrap w:val="0"/>
                  <w:vAlign w:val="center"/>
                </w:tcPr>
                <w:p w14:paraId="5EF91CA9">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5ECDB0B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21CDEBD4">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1DBB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C9697D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6BD4E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3FEF4F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融冰泵</w:t>
                  </w:r>
                </w:p>
              </w:tc>
              <w:tc>
                <w:tcPr>
                  <w:tcW w:w="1120" w:type="pct"/>
                  <w:shd w:val="clear" w:color="auto" w:fill="auto"/>
                  <w:noWrap w:val="0"/>
                  <w:vAlign w:val="center"/>
                </w:tcPr>
                <w:p w14:paraId="073D4A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80FS2E57.5</w:t>
                  </w:r>
                </w:p>
              </w:tc>
              <w:tc>
                <w:tcPr>
                  <w:tcW w:w="605" w:type="pct"/>
                  <w:shd w:val="clear" w:color="auto" w:fill="auto"/>
                  <w:noWrap w:val="0"/>
                  <w:vAlign w:val="center"/>
                </w:tcPr>
                <w:p w14:paraId="275B20C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5D31735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1399E95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A3CE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9EBC0C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97E49E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ACF902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板式换热器</w:t>
                  </w:r>
                </w:p>
              </w:tc>
              <w:tc>
                <w:tcPr>
                  <w:tcW w:w="1120" w:type="pct"/>
                  <w:shd w:val="clear" w:color="auto" w:fill="auto"/>
                  <w:noWrap w:val="0"/>
                  <w:vAlign w:val="center"/>
                </w:tcPr>
                <w:p w14:paraId="1B8C7B2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6C0E4DE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1CB8F163">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0A442A7E">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1B2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E6B32D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91A702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376A1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热媒循环泵</w:t>
                  </w:r>
                </w:p>
              </w:tc>
              <w:tc>
                <w:tcPr>
                  <w:tcW w:w="1120" w:type="pct"/>
                  <w:shd w:val="clear" w:color="auto" w:fill="auto"/>
                  <w:noWrap w:val="0"/>
                  <w:vAlign w:val="center"/>
                </w:tcPr>
                <w:p w14:paraId="62BD0B7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80PS4K511</w:t>
                  </w:r>
                </w:p>
              </w:tc>
              <w:tc>
                <w:tcPr>
                  <w:tcW w:w="605" w:type="pct"/>
                  <w:shd w:val="clear" w:color="auto" w:fill="auto"/>
                  <w:noWrap w:val="0"/>
                  <w:vAlign w:val="center"/>
                </w:tcPr>
                <w:p w14:paraId="48E4EA8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2B2363E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483A0CC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98B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FB1BF5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395FE1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290B42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热媒调控阀</w:t>
                  </w:r>
                </w:p>
              </w:tc>
              <w:tc>
                <w:tcPr>
                  <w:tcW w:w="1120" w:type="pct"/>
                  <w:shd w:val="clear" w:color="auto" w:fill="auto"/>
                  <w:noWrap w:val="0"/>
                  <w:vAlign w:val="center"/>
                </w:tcPr>
                <w:p w14:paraId="1FEE422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SKD62、PS-12</w:t>
                  </w:r>
                </w:p>
              </w:tc>
              <w:tc>
                <w:tcPr>
                  <w:tcW w:w="605" w:type="pct"/>
                  <w:shd w:val="clear" w:color="auto" w:fill="auto"/>
                  <w:noWrap w:val="0"/>
                  <w:vAlign w:val="center"/>
                </w:tcPr>
                <w:p w14:paraId="52EBDB7E">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4304770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noWrap w:val="0"/>
                  <w:vAlign w:val="center"/>
                </w:tcPr>
                <w:p w14:paraId="516E2FC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A895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91C84D5">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8F31B0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6AC2F8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FD</w:t>
                  </w: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操作盘</w:t>
                  </w:r>
                </w:p>
              </w:tc>
              <w:tc>
                <w:tcPr>
                  <w:tcW w:w="1120" w:type="pct"/>
                  <w:shd w:val="clear" w:color="auto" w:fill="auto"/>
                  <w:noWrap w:val="0"/>
                  <w:vAlign w:val="center"/>
                </w:tcPr>
                <w:p w14:paraId="0AEA911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REX-P250FSR</w:t>
                  </w:r>
                </w:p>
              </w:tc>
              <w:tc>
                <w:tcPr>
                  <w:tcW w:w="605" w:type="pct"/>
                  <w:shd w:val="clear" w:color="auto" w:fill="auto"/>
                  <w:noWrap w:val="0"/>
                  <w:vAlign w:val="center"/>
                </w:tcPr>
                <w:p w14:paraId="7C1576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2141C4F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1BF0D55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222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388089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14AAAA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2A79D8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电控制箱</w:t>
                  </w:r>
                </w:p>
              </w:tc>
              <w:tc>
                <w:tcPr>
                  <w:tcW w:w="1120" w:type="pct"/>
                  <w:shd w:val="clear" w:color="auto" w:fill="auto"/>
                  <w:noWrap w:val="0"/>
                  <w:vAlign w:val="center"/>
                </w:tcPr>
                <w:p w14:paraId="5F80BB0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CH12-22</w:t>
                  </w:r>
                </w:p>
              </w:tc>
              <w:tc>
                <w:tcPr>
                  <w:tcW w:w="605" w:type="pct"/>
                  <w:shd w:val="clear" w:color="auto" w:fill="auto"/>
                  <w:noWrap w:val="0"/>
                  <w:vAlign w:val="center"/>
                </w:tcPr>
                <w:p w14:paraId="4E6018B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780E3B1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25212992">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547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3D9283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E4E7D0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CBD417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电磁阀</w:t>
                  </w:r>
                </w:p>
              </w:tc>
              <w:tc>
                <w:tcPr>
                  <w:tcW w:w="1120" w:type="pct"/>
                  <w:shd w:val="clear" w:color="auto" w:fill="auto"/>
                  <w:noWrap w:val="0"/>
                  <w:vAlign w:val="center"/>
                </w:tcPr>
                <w:p w14:paraId="6731B0E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AB41-04-8-V</w:t>
                  </w:r>
                </w:p>
              </w:tc>
              <w:tc>
                <w:tcPr>
                  <w:tcW w:w="605" w:type="pct"/>
                  <w:shd w:val="clear" w:color="auto" w:fill="auto"/>
                  <w:noWrap w:val="0"/>
                  <w:vAlign w:val="center"/>
                </w:tcPr>
                <w:p w14:paraId="66F531C1">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24</w:t>
                  </w:r>
                </w:p>
              </w:tc>
              <w:tc>
                <w:tcPr>
                  <w:tcW w:w="599" w:type="pct"/>
                  <w:shd w:val="clear" w:color="auto" w:fill="auto"/>
                  <w:noWrap w:val="0"/>
                  <w:vAlign w:val="center"/>
                </w:tcPr>
                <w:p w14:paraId="59F31E82">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24</w:t>
                  </w:r>
                </w:p>
              </w:tc>
              <w:tc>
                <w:tcPr>
                  <w:tcW w:w="529" w:type="pct"/>
                  <w:noWrap w:val="0"/>
                  <w:vAlign w:val="center"/>
                </w:tcPr>
                <w:p w14:paraId="0A5D6C8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293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6B5C69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55DC5D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E48E85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记录仪</w:t>
                  </w:r>
                </w:p>
              </w:tc>
              <w:tc>
                <w:tcPr>
                  <w:tcW w:w="1120" w:type="pct"/>
                  <w:shd w:val="clear" w:color="auto" w:fill="auto"/>
                  <w:noWrap w:val="0"/>
                  <w:vAlign w:val="center"/>
                </w:tcPr>
                <w:p w14:paraId="24D903E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5C3C56A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99" w:type="pct"/>
                  <w:shd w:val="clear" w:color="auto" w:fill="auto"/>
                  <w:noWrap w:val="0"/>
                  <w:vAlign w:val="center"/>
                </w:tcPr>
                <w:p w14:paraId="1BEB78D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8</w:t>
                  </w:r>
                </w:p>
              </w:tc>
              <w:tc>
                <w:tcPr>
                  <w:tcW w:w="529" w:type="pct"/>
                  <w:noWrap w:val="0"/>
                  <w:vAlign w:val="center"/>
                </w:tcPr>
                <w:p w14:paraId="629A87D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7D34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C9FD17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FC7438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BF9A0E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脱水釜</w:t>
                  </w:r>
                </w:p>
              </w:tc>
              <w:tc>
                <w:tcPr>
                  <w:tcW w:w="1120" w:type="pct"/>
                  <w:shd w:val="clear" w:color="auto" w:fill="auto"/>
                  <w:noWrap w:val="0"/>
                  <w:vAlign w:val="center"/>
                </w:tcPr>
                <w:p w14:paraId="1BA5E6D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300型</w:t>
                  </w:r>
                </w:p>
              </w:tc>
              <w:tc>
                <w:tcPr>
                  <w:tcW w:w="605" w:type="pct"/>
                  <w:shd w:val="clear" w:color="auto" w:fill="auto"/>
                  <w:noWrap w:val="0"/>
                  <w:vAlign w:val="center"/>
                </w:tcPr>
                <w:p w14:paraId="4D96416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14</w:t>
                  </w:r>
                </w:p>
              </w:tc>
              <w:tc>
                <w:tcPr>
                  <w:tcW w:w="599" w:type="pct"/>
                  <w:shd w:val="clear" w:color="auto" w:fill="auto"/>
                  <w:noWrap w:val="0"/>
                  <w:vAlign w:val="center"/>
                </w:tcPr>
                <w:p w14:paraId="70B3E26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14</w:t>
                  </w:r>
                </w:p>
              </w:tc>
              <w:tc>
                <w:tcPr>
                  <w:tcW w:w="529" w:type="pct"/>
                  <w:noWrap w:val="0"/>
                  <w:vAlign w:val="center"/>
                </w:tcPr>
                <w:p w14:paraId="65BF68F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982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2DE8C1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A08695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5FCF72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油回转真空泵</w:t>
                  </w:r>
                </w:p>
              </w:tc>
              <w:tc>
                <w:tcPr>
                  <w:tcW w:w="1120" w:type="pct"/>
                  <w:shd w:val="clear" w:color="auto" w:fill="auto"/>
                  <w:noWrap w:val="0"/>
                  <w:vAlign w:val="center"/>
                </w:tcPr>
                <w:p w14:paraId="34D2A89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P450</w:t>
                  </w:r>
                </w:p>
              </w:tc>
              <w:tc>
                <w:tcPr>
                  <w:tcW w:w="605" w:type="pct"/>
                  <w:shd w:val="clear" w:color="auto" w:fill="auto"/>
                  <w:noWrap w:val="0"/>
                  <w:vAlign w:val="center"/>
                </w:tcPr>
                <w:p w14:paraId="5614C0F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25</w:t>
                  </w:r>
                </w:p>
              </w:tc>
              <w:tc>
                <w:tcPr>
                  <w:tcW w:w="599" w:type="pct"/>
                  <w:shd w:val="clear" w:color="auto" w:fill="auto"/>
                  <w:noWrap w:val="0"/>
                  <w:vAlign w:val="center"/>
                </w:tcPr>
                <w:p w14:paraId="5A655C1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25</w:t>
                  </w:r>
                </w:p>
              </w:tc>
              <w:tc>
                <w:tcPr>
                  <w:tcW w:w="529" w:type="pct"/>
                  <w:shd w:val="clear" w:color="auto" w:fill="auto"/>
                  <w:noWrap w:val="0"/>
                  <w:vAlign w:val="center"/>
                </w:tcPr>
                <w:p w14:paraId="568B745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1450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F26CA5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49B3C3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EDA4B4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速冻机组</w:t>
                  </w:r>
                </w:p>
              </w:tc>
              <w:tc>
                <w:tcPr>
                  <w:tcW w:w="1120" w:type="pct"/>
                  <w:shd w:val="clear" w:color="auto" w:fill="auto"/>
                  <w:noWrap w:val="0"/>
                  <w:vAlign w:val="center"/>
                </w:tcPr>
                <w:p w14:paraId="3A43100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09C4AF5D">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506D9C3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w:t>
                  </w:r>
                </w:p>
              </w:tc>
              <w:tc>
                <w:tcPr>
                  <w:tcW w:w="529" w:type="pct"/>
                  <w:shd w:val="clear" w:color="auto" w:fill="auto"/>
                  <w:noWrap w:val="0"/>
                  <w:vAlign w:val="center"/>
                </w:tcPr>
                <w:p w14:paraId="25003E7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188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585233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08E7D5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0B5A0E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立式蒸发冷</w:t>
                  </w:r>
                </w:p>
              </w:tc>
              <w:tc>
                <w:tcPr>
                  <w:tcW w:w="1120" w:type="pct"/>
                  <w:shd w:val="clear" w:color="auto" w:fill="auto"/>
                  <w:noWrap w:val="0"/>
                  <w:vAlign w:val="center"/>
                </w:tcPr>
                <w:p w14:paraId="44D9089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200吨</w:t>
                  </w:r>
                </w:p>
              </w:tc>
              <w:tc>
                <w:tcPr>
                  <w:tcW w:w="605" w:type="pct"/>
                  <w:shd w:val="clear" w:color="auto" w:fill="auto"/>
                  <w:noWrap w:val="0"/>
                  <w:vAlign w:val="center"/>
                </w:tcPr>
                <w:p w14:paraId="0B1B298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99" w:type="pct"/>
                  <w:shd w:val="clear" w:color="auto" w:fill="auto"/>
                  <w:noWrap w:val="0"/>
                  <w:vAlign w:val="center"/>
                </w:tcPr>
                <w:p w14:paraId="65AF42B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29" w:type="pct"/>
                  <w:noWrap w:val="0"/>
                  <w:vAlign w:val="center"/>
                </w:tcPr>
                <w:p w14:paraId="6C9A4295">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B09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8F1F23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restart"/>
                  <w:shd w:val="clear" w:color="auto" w:fill="auto"/>
                  <w:noWrap w:val="0"/>
                  <w:vAlign w:val="center"/>
                </w:tcPr>
                <w:p w14:paraId="4FEAB6C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后处理/包装</w:t>
                  </w:r>
                </w:p>
              </w:tc>
              <w:tc>
                <w:tcPr>
                  <w:tcW w:w="910" w:type="pct"/>
                  <w:shd w:val="clear" w:color="auto" w:fill="auto"/>
                  <w:noWrap w:val="0"/>
                  <w:vAlign w:val="center"/>
                </w:tcPr>
                <w:p w14:paraId="2789030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自动包装机</w:t>
                  </w:r>
                </w:p>
              </w:tc>
              <w:tc>
                <w:tcPr>
                  <w:tcW w:w="1120" w:type="pct"/>
                  <w:shd w:val="clear" w:color="auto" w:fill="auto"/>
                  <w:noWrap w:val="0"/>
                  <w:vAlign w:val="center"/>
                </w:tcPr>
                <w:p w14:paraId="127CF98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76A629B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99" w:type="pct"/>
                  <w:shd w:val="clear" w:color="auto" w:fill="auto"/>
                  <w:noWrap w:val="0"/>
                  <w:vAlign w:val="center"/>
                </w:tcPr>
                <w:p w14:paraId="6C3FBD6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w:t>
                  </w:r>
                </w:p>
              </w:tc>
              <w:tc>
                <w:tcPr>
                  <w:tcW w:w="529" w:type="pct"/>
                  <w:noWrap w:val="0"/>
                  <w:vAlign w:val="center"/>
                </w:tcPr>
                <w:p w14:paraId="472F1CC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AA61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D6745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EB2DEA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44A918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提升机</w:t>
                  </w:r>
                </w:p>
              </w:tc>
              <w:tc>
                <w:tcPr>
                  <w:tcW w:w="1120" w:type="pct"/>
                  <w:shd w:val="clear" w:color="auto" w:fill="auto"/>
                  <w:noWrap w:val="0"/>
                  <w:vAlign w:val="center"/>
                </w:tcPr>
                <w:p w14:paraId="618581C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GH16-4</w:t>
                  </w:r>
                </w:p>
              </w:tc>
              <w:tc>
                <w:tcPr>
                  <w:tcW w:w="605" w:type="pct"/>
                  <w:shd w:val="clear" w:color="auto" w:fill="auto"/>
                  <w:noWrap w:val="0"/>
                  <w:vAlign w:val="center"/>
                </w:tcPr>
                <w:p w14:paraId="35D140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478EADD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29" w:type="pct"/>
                  <w:noWrap w:val="0"/>
                  <w:vAlign w:val="center"/>
                </w:tcPr>
                <w:p w14:paraId="0C08128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C595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32C2B6A">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11E79D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802C0A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色选机</w:t>
                  </w:r>
                </w:p>
              </w:tc>
              <w:tc>
                <w:tcPr>
                  <w:tcW w:w="1120" w:type="pct"/>
                  <w:shd w:val="clear" w:color="auto" w:fill="auto"/>
                  <w:noWrap w:val="0"/>
                  <w:vAlign w:val="center"/>
                </w:tcPr>
                <w:p w14:paraId="1825E1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MK128</w:t>
                  </w:r>
                </w:p>
              </w:tc>
              <w:tc>
                <w:tcPr>
                  <w:tcW w:w="605" w:type="pct"/>
                  <w:shd w:val="clear" w:color="auto" w:fill="auto"/>
                  <w:noWrap w:val="0"/>
                  <w:vAlign w:val="center"/>
                </w:tcPr>
                <w:p w14:paraId="1CB98AE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3F4AE4D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6E4B0D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F60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5873EF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EBB762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78086D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平动筛选机</w:t>
                  </w:r>
                </w:p>
              </w:tc>
              <w:tc>
                <w:tcPr>
                  <w:tcW w:w="1120" w:type="pct"/>
                  <w:shd w:val="clear" w:color="auto" w:fill="auto"/>
                  <w:noWrap w:val="0"/>
                  <w:vAlign w:val="center"/>
                </w:tcPr>
                <w:p w14:paraId="6C319B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6A9A93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7</w:t>
                  </w:r>
                </w:p>
              </w:tc>
              <w:tc>
                <w:tcPr>
                  <w:tcW w:w="599" w:type="pct"/>
                  <w:shd w:val="clear" w:color="auto" w:fill="auto"/>
                  <w:noWrap w:val="0"/>
                  <w:vAlign w:val="center"/>
                </w:tcPr>
                <w:p w14:paraId="083D05D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7</w:t>
                  </w:r>
                </w:p>
              </w:tc>
              <w:tc>
                <w:tcPr>
                  <w:tcW w:w="529" w:type="pct"/>
                  <w:noWrap w:val="0"/>
                  <w:vAlign w:val="center"/>
                </w:tcPr>
                <w:p w14:paraId="076BC1D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75D7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331E37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B31D2C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AECD70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变压器</w:t>
                  </w:r>
                </w:p>
              </w:tc>
              <w:tc>
                <w:tcPr>
                  <w:tcW w:w="1120" w:type="pct"/>
                  <w:shd w:val="clear" w:color="auto" w:fill="auto"/>
                  <w:noWrap w:val="0"/>
                  <w:vAlign w:val="center"/>
                </w:tcPr>
                <w:p w14:paraId="05594DC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1600kva</w:t>
                  </w:r>
                </w:p>
              </w:tc>
              <w:tc>
                <w:tcPr>
                  <w:tcW w:w="605" w:type="pct"/>
                  <w:shd w:val="clear" w:color="auto" w:fill="auto"/>
                  <w:noWrap w:val="0"/>
                  <w:vAlign w:val="center"/>
                </w:tcPr>
                <w:p w14:paraId="1E1C772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15BBB5B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0429BC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685EC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F4133A0">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18F1DB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6F0063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毛辊机+抖筛机</w:t>
                  </w:r>
                </w:p>
              </w:tc>
              <w:tc>
                <w:tcPr>
                  <w:tcW w:w="1120" w:type="pct"/>
                  <w:shd w:val="clear" w:color="auto" w:fill="auto"/>
                  <w:noWrap w:val="0"/>
                  <w:vAlign w:val="center"/>
                </w:tcPr>
                <w:p w14:paraId="44E0727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UA50+UD40A</w:t>
                  </w:r>
                </w:p>
              </w:tc>
              <w:tc>
                <w:tcPr>
                  <w:tcW w:w="605" w:type="pct"/>
                  <w:shd w:val="clear" w:color="auto" w:fill="auto"/>
                  <w:noWrap w:val="0"/>
                  <w:vAlign w:val="center"/>
                </w:tcPr>
                <w:p w14:paraId="43F7F71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3006E1E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7B79D8B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67A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437343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A68A8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5D1623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不锈钢斜坡</w:t>
                  </w:r>
                </w:p>
              </w:tc>
              <w:tc>
                <w:tcPr>
                  <w:tcW w:w="1120" w:type="pct"/>
                  <w:shd w:val="clear" w:color="auto" w:fill="auto"/>
                  <w:noWrap w:val="0"/>
                  <w:vAlign w:val="center"/>
                </w:tcPr>
                <w:p w14:paraId="2F1BE60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UX34W60</w:t>
                  </w:r>
                </w:p>
              </w:tc>
              <w:tc>
                <w:tcPr>
                  <w:tcW w:w="605" w:type="pct"/>
                  <w:shd w:val="clear" w:color="auto" w:fill="auto"/>
                  <w:noWrap w:val="0"/>
                  <w:vAlign w:val="center"/>
                </w:tcPr>
                <w:p w14:paraId="5D3FFC1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7CB77F5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29" w:type="pct"/>
                  <w:noWrap w:val="0"/>
                  <w:vAlign w:val="center"/>
                </w:tcPr>
                <w:p w14:paraId="09A7F28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E8C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4ECB93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BC749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6843BA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金属探测仪</w:t>
                  </w:r>
                </w:p>
              </w:tc>
              <w:tc>
                <w:tcPr>
                  <w:tcW w:w="1120" w:type="pct"/>
                  <w:shd w:val="clear" w:color="auto" w:fill="auto"/>
                  <w:noWrap w:val="0"/>
                  <w:vAlign w:val="center"/>
                </w:tcPr>
                <w:p w14:paraId="54ABDD7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8CF75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4D1CADF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5</w:t>
                  </w:r>
                </w:p>
              </w:tc>
              <w:tc>
                <w:tcPr>
                  <w:tcW w:w="529" w:type="pct"/>
                  <w:noWrap w:val="0"/>
                  <w:vAlign w:val="center"/>
                </w:tcPr>
                <w:p w14:paraId="631CD90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401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013CA4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A0D000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26F6F3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分装流水线</w:t>
                  </w:r>
                </w:p>
              </w:tc>
              <w:tc>
                <w:tcPr>
                  <w:tcW w:w="1120" w:type="pct"/>
                  <w:shd w:val="clear" w:color="auto" w:fill="auto"/>
                  <w:noWrap w:val="0"/>
                  <w:vAlign w:val="center"/>
                </w:tcPr>
                <w:p w14:paraId="2769733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A699AD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20</w:t>
                  </w:r>
                </w:p>
              </w:tc>
              <w:tc>
                <w:tcPr>
                  <w:tcW w:w="599" w:type="pct"/>
                  <w:shd w:val="clear" w:color="auto" w:fill="auto"/>
                  <w:noWrap w:val="0"/>
                  <w:vAlign w:val="center"/>
                </w:tcPr>
                <w:p w14:paraId="51F78AF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20</w:t>
                  </w:r>
                </w:p>
              </w:tc>
              <w:tc>
                <w:tcPr>
                  <w:tcW w:w="529" w:type="pct"/>
                  <w:noWrap w:val="0"/>
                  <w:vAlign w:val="center"/>
                </w:tcPr>
                <w:p w14:paraId="41AE6FD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4F7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1B3A5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2D4E75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ADB42A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自动调味线</w:t>
                  </w:r>
                </w:p>
              </w:tc>
              <w:tc>
                <w:tcPr>
                  <w:tcW w:w="1120" w:type="pct"/>
                  <w:shd w:val="clear" w:color="auto" w:fill="auto"/>
                  <w:noWrap w:val="0"/>
                  <w:vAlign w:val="center"/>
                </w:tcPr>
                <w:p w14:paraId="45BD1C4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56F2C3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6DDA5ED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6D0F8A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0C41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70ABD9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AED521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9165C0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冷却水池</w:t>
                  </w:r>
                </w:p>
              </w:tc>
              <w:tc>
                <w:tcPr>
                  <w:tcW w:w="1120" w:type="pct"/>
                  <w:shd w:val="clear" w:color="auto" w:fill="auto"/>
                  <w:noWrap w:val="0"/>
                  <w:vAlign w:val="center"/>
                </w:tcPr>
                <w:p w14:paraId="3C1748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olor w:val="000000" w:themeColor="text1"/>
                      <w:sz w:val="21"/>
                      <w:szCs w:val="21"/>
                      <w:lang w:val="en-US" w:eastAsia="zh-CN"/>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600吨</w:t>
                  </w:r>
                </w:p>
              </w:tc>
              <w:tc>
                <w:tcPr>
                  <w:tcW w:w="605" w:type="pct"/>
                  <w:shd w:val="clear" w:color="auto" w:fill="auto"/>
                  <w:noWrap w:val="0"/>
                  <w:vAlign w:val="center"/>
                </w:tcPr>
                <w:p w14:paraId="3E13B2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4FDF979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72AAF73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92A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90BB53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A18C37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7FB772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运输叉车</w:t>
                  </w:r>
                </w:p>
              </w:tc>
              <w:tc>
                <w:tcPr>
                  <w:tcW w:w="1120" w:type="pct"/>
                  <w:shd w:val="clear" w:color="auto" w:fill="auto"/>
                  <w:noWrap w:val="0"/>
                  <w:vAlign w:val="center"/>
                </w:tcPr>
                <w:p w14:paraId="160E93A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olor w:val="000000" w:themeColor="text1"/>
                      <w:sz w:val="21"/>
                      <w:szCs w:val="21"/>
                      <w:lang w:val="en-US" w:eastAsia="zh-CN"/>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CPD25</w:t>
                  </w:r>
                </w:p>
              </w:tc>
              <w:tc>
                <w:tcPr>
                  <w:tcW w:w="605" w:type="pct"/>
                  <w:shd w:val="clear" w:color="auto" w:fill="auto"/>
                  <w:noWrap w:val="0"/>
                  <w:vAlign w:val="center"/>
                </w:tcPr>
                <w:p w14:paraId="327DB6B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99" w:type="pct"/>
                  <w:shd w:val="clear" w:color="auto" w:fill="auto"/>
                  <w:noWrap w:val="0"/>
                  <w:vAlign w:val="center"/>
                </w:tcPr>
                <w:p w14:paraId="0BD631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77746E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9DE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C525DA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restart"/>
                  <w:shd w:val="clear" w:color="auto" w:fill="auto"/>
                  <w:noWrap w:val="0"/>
                  <w:vAlign w:val="center"/>
                </w:tcPr>
                <w:p w14:paraId="08041E3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预处理</w:t>
                  </w:r>
                </w:p>
              </w:tc>
              <w:tc>
                <w:tcPr>
                  <w:tcW w:w="910" w:type="pct"/>
                  <w:shd w:val="clear" w:color="auto" w:fill="auto"/>
                  <w:noWrap w:val="0"/>
                  <w:vAlign w:val="center"/>
                </w:tcPr>
                <w:p w14:paraId="44E3FE97">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风选机(T1520型)</w:t>
                  </w:r>
                </w:p>
              </w:tc>
              <w:tc>
                <w:tcPr>
                  <w:tcW w:w="1120" w:type="pct"/>
                  <w:shd w:val="clear" w:color="auto" w:fill="auto"/>
                  <w:noWrap w:val="0"/>
                  <w:vAlign w:val="center"/>
                </w:tcPr>
                <w:p w14:paraId="7AA2621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2762D0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ED62DE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4C52C63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FE2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B7EB82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B36373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9F5741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提升机</w:t>
                  </w:r>
                </w:p>
              </w:tc>
              <w:tc>
                <w:tcPr>
                  <w:tcW w:w="1120" w:type="pct"/>
                  <w:shd w:val="clear" w:color="auto" w:fill="auto"/>
                  <w:noWrap w:val="0"/>
                  <w:vAlign w:val="center"/>
                </w:tcPr>
                <w:p w14:paraId="26E789D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41BDE4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9F2B1C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C8D0F3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CD42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30A318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B28FDB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B43062E">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滚筒清洗机</w:t>
                  </w:r>
                </w:p>
              </w:tc>
              <w:tc>
                <w:tcPr>
                  <w:tcW w:w="1120" w:type="pct"/>
                  <w:shd w:val="clear" w:color="auto" w:fill="auto"/>
                  <w:noWrap w:val="0"/>
                  <w:vAlign w:val="center"/>
                </w:tcPr>
                <w:p w14:paraId="4B342D7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4C423D8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00DF4DF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AAEC1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41DD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943D7F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A23E44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ABC341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去石清洗机</w:t>
                  </w:r>
                </w:p>
              </w:tc>
              <w:tc>
                <w:tcPr>
                  <w:tcW w:w="1120" w:type="pct"/>
                  <w:shd w:val="clear" w:color="auto" w:fill="auto"/>
                  <w:noWrap w:val="0"/>
                  <w:vAlign w:val="center"/>
                </w:tcPr>
                <w:p w14:paraId="5BCD502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6F25F37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09A8DF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AD9A13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7E0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CCA821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CAD5F4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9FCE368">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打网滤水机</w:t>
                  </w:r>
                </w:p>
              </w:tc>
              <w:tc>
                <w:tcPr>
                  <w:tcW w:w="1120" w:type="pct"/>
                  <w:shd w:val="clear" w:color="auto" w:fill="auto"/>
                  <w:noWrap w:val="0"/>
                  <w:vAlign w:val="center"/>
                </w:tcPr>
                <w:p w14:paraId="0820C83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592A65F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7F003A4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4F41A7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7E91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8B6D92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758C85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5C273D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原料提升机</w:t>
                  </w:r>
                </w:p>
              </w:tc>
              <w:tc>
                <w:tcPr>
                  <w:tcW w:w="1120" w:type="pct"/>
                  <w:shd w:val="clear" w:color="auto" w:fill="auto"/>
                  <w:noWrap w:val="0"/>
                  <w:vAlign w:val="center"/>
                </w:tcPr>
                <w:p w14:paraId="3AAB390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3144C9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CF6E32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AF2A6C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F4E7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34E2C0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50B48F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B6F2C3A">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劳弗尔色选机</w:t>
                  </w:r>
                </w:p>
              </w:tc>
              <w:tc>
                <w:tcPr>
                  <w:tcW w:w="1120" w:type="pct"/>
                  <w:shd w:val="clear" w:color="auto" w:fill="auto"/>
                  <w:noWrap w:val="0"/>
                  <w:vAlign w:val="center"/>
                </w:tcPr>
                <w:p w14:paraId="56CC072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0B5587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2B75712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9A649C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1DB5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BD882A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64F728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275504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二次挑选传送带</w:t>
                  </w:r>
                </w:p>
              </w:tc>
              <w:tc>
                <w:tcPr>
                  <w:tcW w:w="1120" w:type="pct"/>
                  <w:shd w:val="clear" w:color="auto" w:fill="auto"/>
                  <w:noWrap w:val="0"/>
                  <w:vAlign w:val="center"/>
                </w:tcPr>
                <w:p w14:paraId="25F31FC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40CFCC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23125B5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4B4234E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C1E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15F65C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C27D84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A4911DC">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二次挑选提升机</w:t>
                  </w:r>
                </w:p>
              </w:tc>
              <w:tc>
                <w:tcPr>
                  <w:tcW w:w="1120" w:type="pct"/>
                  <w:shd w:val="clear" w:color="auto" w:fill="auto"/>
                  <w:noWrap w:val="0"/>
                  <w:vAlign w:val="center"/>
                </w:tcPr>
                <w:p w14:paraId="6D67810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545B7A7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E85374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93E67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448A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0E245B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62E741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5A3882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废料传送带</w:t>
                  </w:r>
                </w:p>
              </w:tc>
              <w:tc>
                <w:tcPr>
                  <w:tcW w:w="1120" w:type="pct"/>
                  <w:shd w:val="clear" w:color="auto" w:fill="auto"/>
                  <w:noWrap w:val="0"/>
                  <w:vAlign w:val="center"/>
                </w:tcPr>
                <w:p w14:paraId="746F749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4512A4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2FD4D6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A21EA4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D70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E9202A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2415AF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628804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过渡带</w:t>
                  </w:r>
                </w:p>
              </w:tc>
              <w:tc>
                <w:tcPr>
                  <w:tcW w:w="1120" w:type="pct"/>
                  <w:shd w:val="clear" w:color="auto" w:fill="auto"/>
                  <w:noWrap w:val="0"/>
                  <w:vAlign w:val="center"/>
                </w:tcPr>
                <w:p w14:paraId="65800A1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3AE0EF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1B5FC98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58A9E2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9F2D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B90007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69DFC1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07AD7C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侧冲洗清洗机</w:t>
                  </w:r>
                </w:p>
              </w:tc>
              <w:tc>
                <w:tcPr>
                  <w:tcW w:w="1120" w:type="pct"/>
                  <w:shd w:val="clear" w:color="auto" w:fill="auto"/>
                  <w:noWrap w:val="0"/>
                  <w:vAlign w:val="center"/>
                </w:tcPr>
                <w:p w14:paraId="1B06749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ED3F93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6FE77A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AEAE63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690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82244CE">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DE1B6D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DCB59B4">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双效清洗机二段</w:t>
                  </w:r>
                </w:p>
              </w:tc>
              <w:tc>
                <w:tcPr>
                  <w:tcW w:w="1120" w:type="pct"/>
                  <w:shd w:val="clear" w:color="auto" w:fill="auto"/>
                  <w:noWrap w:val="0"/>
                  <w:vAlign w:val="center"/>
                </w:tcPr>
                <w:p w14:paraId="4BE1F54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66582AE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096AD01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7863D6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40A4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870832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DD382D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09ADBC1C">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隧道淋浴式杀青机</w:t>
                  </w:r>
                </w:p>
              </w:tc>
              <w:tc>
                <w:tcPr>
                  <w:tcW w:w="1120" w:type="pct"/>
                  <w:shd w:val="clear" w:color="auto" w:fill="auto"/>
                  <w:noWrap w:val="0"/>
                  <w:vAlign w:val="center"/>
                </w:tcPr>
                <w:p w14:paraId="5B2BD41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35736B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381AD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6709474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1BD3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74CCDD9">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C4C1AD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742E192">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预冷机</w:t>
                  </w:r>
                </w:p>
              </w:tc>
              <w:tc>
                <w:tcPr>
                  <w:tcW w:w="1120" w:type="pct"/>
                  <w:shd w:val="clear" w:color="auto" w:fill="auto"/>
                  <w:noWrap w:val="0"/>
                  <w:vAlign w:val="center"/>
                </w:tcPr>
                <w:p w14:paraId="2B37EF3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1898674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1A836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892B3D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18A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A89A8D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25DDCD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BA1E24F">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冰冷机一段</w:t>
                  </w:r>
                </w:p>
              </w:tc>
              <w:tc>
                <w:tcPr>
                  <w:tcW w:w="1120" w:type="pct"/>
                  <w:shd w:val="clear" w:color="auto" w:fill="auto"/>
                  <w:noWrap w:val="0"/>
                  <w:vAlign w:val="center"/>
                </w:tcPr>
                <w:p w14:paraId="3017272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DD45C5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0BF0007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E449C4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EEA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C4E976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552D72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DA2F26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冰冷机二段</w:t>
                  </w:r>
                </w:p>
              </w:tc>
              <w:tc>
                <w:tcPr>
                  <w:tcW w:w="1120" w:type="pct"/>
                  <w:shd w:val="clear" w:color="auto" w:fill="auto"/>
                  <w:noWrap w:val="0"/>
                  <w:vAlign w:val="center"/>
                </w:tcPr>
                <w:p w14:paraId="5A99822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D4D9FD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2D9A178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84C38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0927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017E900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0D4C84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A47F6F6">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提升机</w:t>
                  </w:r>
                </w:p>
              </w:tc>
              <w:tc>
                <w:tcPr>
                  <w:tcW w:w="1120" w:type="pct"/>
                  <w:shd w:val="clear" w:color="auto" w:fill="auto"/>
                  <w:noWrap w:val="0"/>
                  <w:vAlign w:val="center"/>
                </w:tcPr>
                <w:p w14:paraId="45769A5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26B84B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200519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B42569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B34F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D20A32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E564A1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D0F7B29">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打网滤水机</w:t>
                  </w:r>
                </w:p>
              </w:tc>
              <w:tc>
                <w:tcPr>
                  <w:tcW w:w="1120" w:type="pct"/>
                  <w:shd w:val="clear" w:color="auto" w:fill="auto"/>
                  <w:noWrap w:val="0"/>
                  <w:vAlign w:val="center"/>
                </w:tcPr>
                <w:p w14:paraId="7360792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26DC386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1B517B1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AC7C24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027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9700C0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ADEAFB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BD3327A">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流态化单冻机</w:t>
                  </w:r>
                </w:p>
              </w:tc>
              <w:tc>
                <w:tcPr>
                  <w:tcW w:w="1120" w:type="pct"/>
                  <w:shd w:val="clear" w:color="auto" w:fill="auto"/>
                  <w:noWrap w:val="0"/>
                  <w:vAlign w:val="center"/>
                </w:tcPr>
                <w:p w14:paraId="25275F0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55DABE1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9AF493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408199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09F7F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547FFB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EC9289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81A1529">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制冰水池</w:t>
                  </w:r>
                </w:p>
              </w:tc>
              <w:tc>
                <w:tcPr>
                  <w:tcW w:w="1120" w:type="pct"/>
                  <w:shd w:val="clear" w:color="auto" w:fill="auto"/>
                  <w:noWrap w:val="0"/>
                  <w:vAlign w:val="center"/>
                </w:tcPr>
                <w:p w14:paraId="1B4149A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4E4959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3D22BA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5A0E02D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197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169DD8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344650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38EE36EC">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振动筛</w:t>
                  </w:r>
                </w:p>
              </w:tc>
              <w:tc>
                <w:tcPr>
                  <w:tcW w:w="1120" w:type="pct"/>
                  <w:shd w:val="clear" w:color="auto" w:fill="auto"/>
                  <w:noWrap w:val="0"/>
                  <w:vAlign w:val="center"/>
                </w:tcPr>
                <w:p w14:paraId="6DF2417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7F732B7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7BF497B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28C9710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1C99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D9624D6">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3276DD0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15521DAE">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打网渡冰衣机</w:t>
                  </w:r>
                </w:p>
              </w:tc>
              <w:tc>
                <w:tcPr>
                  <w:tcW w:w="1120" w:type="pct"/>
                  <w:shd w:val="clear" w:color="auto" w:fill="auto"/>
                  <w:noWrap w:val="0"/>
                  <w:vAlign w:val="center"/>
                </w:tcPr>
                <w:p w14:paraId="771EBF0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BCDDAC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526A168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7D96198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0B717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4E6CCE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2EED28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B588B74">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化冻机</w:t>
                  </w:r>
                </w:p>
              </w:tc>
              <w:tc>
                <w:tcPr>
                  <w:tcW w:w="1120" w:type="pct"/>
                  <w:shd w:val="clear" w:color="auto" w:fill="auto"/>
                  <w:noWrap w:val="0"/>
                  <w:vAlign w:val="center"/>
                </w:tcPr>
                <w:p w14:paraId="0DC9CA3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54C268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DDF1F4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BB02B6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53E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535B24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5FF978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216EDF23">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提升机</w:t>
                  </w:r>
                </w:p>
              </w:tc>
              <w:tc>
                <w:tcPr>
                  <w:tcW w:w="1120" w:type="pct"/>
                  <w:shd w:val="clear" w:color="auto" w:fill="auto"/>
                  <w:noWrap w:val="0"/>
                  <w:vAlign w:val="center"/>
                </w:tcPr>
                <w:p w14:paraId="4C69A4B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定型</w:t>
                  </w:r>
                </w:p>
              </w:tc>
              <w:tc>
                <w:tcPr>
                  <w:tcW w:w="605" w:type="pct"/>
                  <w:shd w:val="clear" w:color="auto" w:fill="auto"/>
                  <w:noWrap w:val="0"/>
                  <w:vAlign w:val="center"/>
                </w:tcPr>
                <w:p w14:paraId="3F1FFF5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11A0947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385CC2E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5D10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F75B8C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5AE36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5FD1E65">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蔬菜前后处理机</w:t>
                  </w:r>
                </w:p>
              </w:tc>
              <w:tc>
                <w:tcPr>
                  <w:tcW w:w="1120" w:type="pct"/>
                  <w:shd w:val="clear" w:color="auto" w:fill="auto"/>
                  <w:noWrap w:val="0"/>
                  <w:vAlign w:val="center"/>
                </w:tcPr>
                <w:p w14:paraId="4F0C5D9F">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SSZ-187</w:t>
                  </w:r>
                </w:p>
              </w:tc>
              <w:tc>
                <w:tcPr>
                  <w:tcW w:w="605" w:type="pct"/>
                  <w:shd w:val="clear" w:color="auto" w:fill="auto"/>
                  <w:noWrap w:val="0"/>
                  <w:vAlign w:val="center"/>
                </w:tcPr>
                <w:p w14:paraId="0FF0A703">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0D8F0CEA">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29" w:type="pct"/>
                  <w:shd w:val="clear" w:color="auto" w:fill="auto"/>
                  <w:noWrap w:val="0"/>
                  <w:vAlign w:val="center"/>
                </w:tcPr>
                <w:p w14:paraId="3699E187">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4DB4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C5656D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086EE0D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9EF10D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多功能切菜机</w:t>
                  </w:r>
                </w:p>
              </w:tc>
              <w:tc>
                <w:tcPr>
                  <w:tcW w:w="1120" w:type="pct"/>
                  <w:shd w:val="clear" w:color="auto" w:fill="auto"/>
                  <w:noWrap w:val="0"/>
                  <w:vAlign w:val="center"/>
                </w:tcPr>
                <w:p w14:paraId="114CCE4F">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HAS -10</w:t>
                  </w:r>
                </w:p>
              </w:tc>
              <w:tc>
                <w:tcPr>
                  <w:tcW w:w="605" w:type="pct"/>
                  <w:shd w:val="clear" w:color="auto" w:fill="auto"/>
                  <w:noWrap w:val="0"/>
                  <w:vAlign w:val="center"/>
                </w:tcPr>
                <w:p w14:paraId="219831AB">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5</w:t>
                  </w:r>
                </w:p>
              </w:tc>
              <w:tc>
                <w:tcPr>
                  <w:tcW w:w="599" w:type="pct"/>
                  <w:shd w:val="clear" w:color="auto" w:fill="auto"/>
                  <w:noWrap w:val="0"/>
                  <w:vAlign w:val="center"/>
                </w:tcPr>
                <w:p w14:paraId="17D8D975">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5</w:t>
                  </w:r>
                </w:p>
              </w:tc>
              <w:tc>
                <w:tcPr>
                  <w:tcW w:w="529" w:type="pct"/>
                  <w:shd w:val="clear" w:color="auto" w:fill="auto"/>
                  <w:noWrap w:val="0"/>
                  <w:vAlign w:val="center"/>
                </w:tcPr>
                <w:p w14:paraId="4A8FF709">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2C897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0E411AF">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restart"/>
                  <w:shd w:val="clear" w:color="auto" w:fill="auto"/>
                  <w:noWrap w:val="0"/>
                  <w:vAlign w:val="center"/>
                </w:tcPr>
                <w:p w14:paraId="6F8299E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预冻结</w:t>
                  </w:r>
                </w:p>
              </w:tc>
              <w:tc>
                <w:tcPr>
                  <w:tcW w:w="910" w:type="pct"/>
                  <w:shd w:val="clear" w:color="auto" w:fill="auto"/>
                  <w:noWrap w:val="0"/>
                  <w:vAlign w:val="center"/>
                </w:tcPr>
                <w:p w14:paraId="3C482123">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制冷压缩机组</w:t>
                  </w:r>
                </w:p>
              </w:tc>
              <w:tc>
                <w:tcPr>
                  <w:tcW w:w="1120" w:type="pct"/>
                  <w:shd w:val="clear" w:color="auto" w:fill="auto"/>
                  <w:noWrap w:val="0"/>
                  <w:vAlign w:val="center"/>
                </w:tcPr>
                <w:p w14:paraId="3415731D">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LT-S135/63</w:t>
                  </w:r>
                </w:p>
              </w:tc>
              <w:tc>
                <w:tcPr>
                  <w:tcW w:w="605" w:type="pct"/>
                  <w:shd w:val="clear" w:color="auto" w:fill="auto"/>
                  <w:noWrap w:val="0"/>
                  <w:vAlign w:val="center"/>
                </w:tcPr>
                <w:p w14:paraId="58BB48D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63970B3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087EFB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28E2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560DE9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25326D4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1AA2F5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冷凝器</w:t>
                  </w:r>
                </w:p>
              </w:tc>
              <w:tc>
                <w:tcPr>
                  <w:tcW w:w="1120" w:type="pct"/>
                  <w:shd w:val="clear" w:color="auto" w:fill="auto"/>
                  <w:noWrap w:val="0"/>
                  <w:vAlign w:val="center"/>
                </w:tcPr>
                <w:p w14:paraId="62490EAA">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SWL-2600KW</w:t>
                  </w:r>
                </w:p>
              </w:tc>
              <w:tc>
                <w:tcPr>
                  <w:tcW w:w="605" w:type="pct"/>
                  <w:shd w:val="clear" w:color="auto" w:fill="auto"/>
                  <w:noWrap w:val="0"/>
                  <w:vAlign w:val="center"/>
                </w:tcPr>
                <w:p w14:paraId="336A551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88D8E5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19C7457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6548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07409FA">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F20A35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45B98A00">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虹吸式储液罐</w:t>
                  </w:r>
                </w:p>
              </w:tc>
              <w:tc>
                <w:tcPr>
                  <w:tcW w:w="1120" w:type="pct"/>
                  <w:shd w:val="clear" w:color="auto" w:fill="auto"/>
                  <w:noWrap w:val="0"/>
                  <w:vAlign w:val="center"/>
                </w:tcPr>
                <w:p w14:paraId="061FD7C1">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1A1AA8A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4108CC0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AD901E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3509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45118C68">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76A7BF8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A50421B">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桶泵机组</w:t>
                  </w:r>
                </w:p>
              </w:tc>
              <w:tc>
                <w:tcPr>
                  <w:tcW w:w="1120" w:type="pct"/>
                  <w:shd w:val="clear" w:color="auto" w:fill="auto"/>
                  <w:noWrap w:val="0"/>
                  <w:vAlign w:val="center"/>
                </w:tcPr>
                <w:p w14:paraId="692239B7">
                  <w:pPr>
                    <w:pStyle w:val="48"/>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定型</w:t>
                  </w:r>
                </w:p>
              </w:tc>
              <w:tc>
                <w:tcPr>
                  <w:tcW w:w="605" w:type="pct"/>
                  <w:shd w:val="clear" w:color="auto" w:fill="auto"/>
                  <w:noWrap w:val="0"/>
                  <w:vAlign w:val="center"/>
                </w:tcPr>
                <w:p w14:paraId="5EBF54E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w:t>
                  </w:r>
                </w:p>
              </w:tc>
              <w:tc>
                <w:tcPr>
                  <w:tcW w:w="599" w:type="pct"/>
                  <w:shd w:val="clear" w:color="auto" w:fill="auto"/>
                  <w:noWrap w:val="0"/>
                  <w:vAlign w:val="center"/>
                </w:tcPr>
                <w:p w14:paraId="308A0B6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eastAsia="华文中宋"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c>
                <w:tcPr>
                  <w:tcW w:w="529" w:type="pct"/>
                  <w:noWrap w:val="0"/>
                  <w:vAlign w:val="center"/>
                </w:tcPr>
                <w:p w14:paraId="021F751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+1</w:t>
                  </w:r>
                </w:p>
              </w:tc>
            </w:tr>
            <w:tr w14:paraId="7ABE1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4FE10F7">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50DB9A7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66F43A9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预冻库</w:t>
                  </w:r>
                </w:p>
              </w:tc>
              <w:tc>
                <w:tcPr>
                  <w:tcW w:w="1120" w:type="pct"/>
                  <w:shd w:val="clear" w:color="auto" w:fill="auto"/>
                  <w:noWrap w:val="0"/>
                  <w:vAlign w:val="center"/>
                </w:tcPr>
                <w:p w14:paraId="365FC71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15000*4800</w:t>
                  </w:r>
                </w:p>
              </w:tc>
              <w:tc>
                <w:tcPr>
                  <w:tcW w:w="605" w:type="pct"/>
                  <w:shd w:val="clear" w:color="auto" w:fill="auto"/>
                  <w:noWrap w:val="0"/>
                  <w:vAlign w:val="center"/>
                </w:tcPr>
                <w:p w14:paraId="75873DB0">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99" w:type="pct"/>
                  <w:shd w:val="clear" w:color="auto" w:fill="auto"/>
                  <w:noWrap w:val="0"/>
                  <w:vAlign w:val="center"/>
                </w:tcPr>
                <w:p w14:paraId="5F2280D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5</w:t>
                  </w:r>
                </w:p>
              </w:tc>
              <w:tc>
                <w:tcPr>
                  <w:tcW w:w="529" w:type="pct"/>
                  <w:shd w:val="clear" w:color="auto" w:fill="auto"/>
                  <w:noWrap w:val="0"/>
                  <w:vAlign w:val="center"/>
                </w:tcPr>
                <w:p w14:paraId="5F9B219E">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354EA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7FA5E2C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1543BFA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778E20B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冷风机</w:t>
                  </w:r>
                </w:p>
              </w:tc>
              <w:tc>
                <w:tcPr>
                  <w:tcW w:w="1120" w:type="pct"/>
                  <w:shd w:val="clear" w:color="auto" w:fill="auto"/>
                  <w:noWrap w:val="0"/>
                  <w:vAlign w:val="center"/>
                </w:tcPr>
                <w:p w14:paraId="37AC790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40E8E19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3BA9EC2A">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shd w:val="clear" w:color="auto" w:fill="auto"/>
                  <w:noWrap w:val="0"/>
                  <w:vAlign w:val="center"/>
                </w:tcPr>
                <w:p w14:paraId="7E3E424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w:t>
                  </w:r>
                </w:p>
              </w:tc>
            </w:tr>
            <w:tr w14:paraId="5D07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160F45D">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6C43DCF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shd w:val="clear" w:color="auto" w:fill="auto"/>
                  <w:noWrap w:val="0"/>
                  <w:vAlign w:val="center"/>
                </w:tcPr>
                <w:p w14:paraId="579602D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压缩机</w:t>
                  </w:r>
                </w:p>
              </w:tc>
              <w:tc>
                <w:tcPr>
                  <w:tcW w:w="1120" w:type="pct"/>
                  <w:shd w:val="clear" w:color="auto" w:fill="auto"/>
                  <w:noWrap w:val="0"/>
                  <w:vAlign w:val="center"/>
                </w:tcPr>
                <w:p w14:paraId="21EC6EC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26FAC117">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99" w:type="pct"/>
                  <w:shd w:val="clear" w:color="auto" w:fill="auto"/>
                  <w:noWrap w:val="0"/>
                  <w:vAlign w:val="center"/>
                </w:tcPr>
                <w:p w14:paraId="26276661">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sz w:val="21"/>
                      <w:szCs w:val="21"/>
                      <w:lang w:val="en-US" w:eastAsia="zh-CN"/>
                      <w14:textFill>
                        <w14:solidFill>
                          <w14:schemeClr w14:val="tx1"/>
                        </w14:solidFill>
                      </w14:textFill>
                    </w:rPr>
                    <w:t>4</w:t>
                  </w:r>
                </w:p>
              </w:tc>
              <w:tc>
                <w:tcPr>
                  <w:tcW w:w="529" w:type="pct"/>
                  <w:shd w:val="clear" w:color="auto" w:fill="auto"/>
                  <w:noWrap w:val="0"/>
                  <w:vAlign w:val="center"/>
                </w:tcPr>
                <w:p w14:paraId="162E098B">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w:t>
                  </w:r>
                </w:p>
              </w:tc>
            </w:tr>
            <w:tr w14:paraId="726E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E9A4981">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shd w:val="clear" w:color="auto" w:fill="auto"/>
                  <w:noWrap w:val="0"/>
                  <w:vAlign w:val="center"/>
                </w:tcPr>
                <w:p w14:paraId="1C97E83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p>
              </w:tc>
              <w:tc>
                <w:tcPr>
                  <w:tcW w:w="910" w:type="pct"/>
                  <w:shd w:val="clear" w:color="auto" w:fill="auto"/>
                  <w:noWrap w:val="0"/>
                  <w:vAlign w:val="center"/>
                </w:tcPr>
                <w:p w14:paraId="4CB9BD3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运料系统</w:t>
                  </w:r>
                </w:p>
              </w:tc>
              <w:tc>
                <w:tcPr>
                  <w:tcW w:w="1120" w:type="pct"/>
                  <w:shd w:val="clear" w:color="auto" w:fill="auto"/>
                  <w:noWrap w:val="0"/>
                  <w:vAlign w:val="center"/>
                </w:tcPr>
                <w:p w14:paraId="6778422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631E15B2">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99" w:type="pct"/>
                  <w:shd w:val="clear" w:color="auto" w:fill="auto"/>
                  <w:noWrap w:val="0"/>
                  <w:vAlign w:val="center"/>
                </w:tcPr>
                <w:p w14:paraId="286AA3E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29" w:type="pct"/>
                  <w:shd w:val="clear" w:color="auto" w:fill="auto"/>
                  <w:noWrap w:val="0"/>
                  <w:vAlign w:val="center"/>
                </w:tcPr>
                <w:p w14:paraId="2DE6029C">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56C6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264C5092">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shd w:val="clear" w:color="auto" w:fill="auto"/>
                  <w:noWrap w:val="0"/>
                  <w:vAlign w:val="center"/>
                </w:tcPr>
                <w:p w14:paraId="5D64E25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p>
              </w:tc>
              <w:tc>
                <w:tcPr>
                  <w:tcW w:w="910" w:type="pct"/>
                  <w:shd w:val="clear" w:color="auto" w:fill="auto"/>
                  <w:noWrap w:val="0"/>
                  <w:vAlign w:val="center"/>
                </w:tcPr>
                <w:p w14:paraId="578797C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联接、切换器</w:t>
                  </w:r>
                </w:p>
              </w:tc>
              <w:tc>
                <w:tcPr>
                  <w:tcW w:w="1120" w:type="pct"/>
                  <w:shd w:val="clear" w:color="auto" w:fill="auto"/>
                  <w:noWrap w:val="0"/>
                  <w:vAlign w:val="center"/>
                </w:tcPr>
                <w:p w14:paraId="6BD5243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62C0C6D3">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99" w:type="pct"/>
                  <w:shd w:val="clear" w:color="auto" w:fill="auto"/>
                  <w:noWrap w:val="0"/>
                  <w:vAlign w:val="center"/>
                </w:tcPr>
                <w:p w14:paraId="7454C66D">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华文中宋" w:cs="Times New Roman"/>
                      <w:color w:val="000000" w:themeColor="text1"/>
                      <w:kern w:val="2"/>
                      <w:sz w:val="21"/>
                      <w:szCs w:val="21"/>
                      <w:lang w:val="en-US" w:eastAsia="zh-CN" w:bidi="ar-SA"/>
                      <w14:textFill>
                        <w14:solidFill>
                          <w14:schemeClr w14:val="tx1"/>
                        </w14:solidFill>
                      </w14:textFill>
                    </w:rPr>
                  </w:pPr>
                  <w:r>
                    <w:rPr>
                      <w:rFonts w:hint="eastAsia" w:eastAsia="华文中宋" w:cs="Times New Roman"/>
                      <w:color w:val="000000" w:themeColor="text1"/>
                      <w:kern w:val="2"/>
                      <w:sz w:val="21"/>
                      <w:szCs w:val="21"/>
                      <w:lang w:val="en-US" w:eastAsia="zh-CN" w:bidi="ar-SA"/>
                      <w14:textFill>
                        <w14:solidFill>
                          <w14:schemeClr w14:val="tx1"/>
                        </w14:solidFill>
                      </w14:textFill>
                    </w:rPr>
                    <w:t>20</w:t>
                  </w:r>
                </w:p>
              </w:tc>
              <w:tc>
                <w:tcPr>
                  <w:tcW w:w="529" w:type="pct"/>
                  <w:shd w:val="clear" w:color="auto" w:fill="auto"/>
                  <w:noWrap w:val="0"/>
                  <w:vAlign w:val="center"/>
                </w:tcPr>
                <w:p w14:paraId="0AD68A35">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w:t>
                  </w:r>
                </w:p>
              </w:tc>
            </w:tr>
            <w:tr w14:paraId="1C003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1B883F4">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shd w:val="clear" w:color="auto" w:fill="auto"/>
                  <w:noWrap w:val="0"/>
                  <w:vAlign w:val="center"/>
                </w:tcPr>
                <w:p w14:paraId="4807435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软水制备</w:t>
                  </w:r>
                </w:p>
              </w:tc>
              <w:tc>
                <w:tcPr>
                  <w:tcW w:w="910" w:type="pct"/>
                  <w:shd w:val="clear" w:color="auto" w:fill="auto"/>
                  <w:noWrap w:val="0"/>
                  <w:vAlign w:val="center"/>
                </w:tcPr>
                <w:p w14:paraId="0CF4E2D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软水制备机</w:t>
                  </w:r>
                </w:p>
              </w:tc>
              <w:tc>
                <w:tcPr>
                  <w:tcW w:w="1120" w:type="pct"/>
                  <w:shd w:val="clear" w:color="auto" w:fill="auto"/>
                  <w:noWrap w:val="0"/>
                  <w:vAlign w:val="center"/>
                </w:tcPr>
                <w:p w14:paraId="7A935F7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eastAsia="华文中宋"/>
                      <w:color w:val="000000" w:themeColor="text1"/>
                      <w:sz w:val="21"/>
                      <w:szCs w:val="21"/>
                      <w:lang w:val="en-US" w:eastAsia="zh-CN"/>
                      <w14:textFill>
                        <w14:solidFill>
                          <w14:schemeClr w14:val="tx1"/>
                        </w14:solidFill>
                      </w14:textFill>
                    </w:rPr>
                  </w:pPr>
                  <w:r>
                    <w:rPr>
                      <w:rFonts w:hint="eastAsia" w:eastAsia="华文中宋"/>
                      <w:color w:val="000000" w:themeColor="text1"/>
                      <w:sz w:val="21"/>
                      <w:szCs w:val="21"/>
                      <w:lang w:val="en-US" w:eastAsia="zh-CN"/>
                      <w14:textFill>
                        <w14:solidFill>
                          <w14:schemeClr w14:val="tx1"/>
                        </w14:solidFill>
                      </w14:textFill>
                    </w:rPr>
                    <w:t>/</w:t>
                  </w:r>
                </w:p>
              </w:tc>
              <w:tc>
                <w:tcPr>
                  <w:tcW w:w="605" w:type="pct"/>
                  <w:shd w:val="clear" w:color="auto" w:fill="auto"/>
                  <w:noWrap w:val="0"/>
                  <w:vAlign w:val="center"/>
                </w:tcPr>
                <w:p w14:paraId="49676708">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599" w:type="pct"/>
                  <w:noWrap w:val="0"/>
                  <w:vAlign w:val="center"/>
                </w:tcPr>
                <w:p w14:paraId="116A00D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529" w:type="pct"/>
                  <w:shd w:val="clear" w:color="auto" w:fill="auto"/>
                  <w:noWrap w:val="0"/>
                  <w:vAlign w:val="center"/>
                </w:tcPr>
                <w:p w14:paraId="620E9A0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r w14:paraId="768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restart"/>
                  <w:noWrap w:val="0"/>
                  <w:vAlign w:val="center"/>
                </w:tcPr>
                <w:p w14:paraId="6D950D6B">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热力生产单元</w:t>
                  </w:r>
                </w:p>
              </w:tc>
              <w:tc>
                <w:tcPr>
                  <w:tcW w:w="703" w:type="pct"/>
                  <w:vMerge w:val="restart"/>
                  <w:shd w:val="clear" w:color="auto" w:fill="auto"/>
                  <w:noWrap w:val="0"/>
                  <w:vAlign w:val="center"/>
                </w:tcPr>
                <w:p w14:paraId="2F455BA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燃烧系统</w:t>
                  </w:r>
                </w:p>
              </w:tc>
              <w:tc>
                <w:tcPr>
                  <w:tcW w:w="910" w:type="pct"/>
                  <w:vMerge w:val="restart"/>
                  <w:shd w:val="clear" w:color="auto" w:fill="auto"/>
                  <w:noWrap w:val="0"/>
                  <w:vAlign w:val="center"/>
                </w:tcPr>
                <w:p w14:paraId="3DFBF4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燃气蒸汽锅炉</w:t>
                  </w:r>
                </w:p>
              </w:tc>
              <w:tc>
                <w:tcPr>
                  <w:tcW w:w="1120" w:type="pct"/>
                  <w:shd w:val="clear" w:color="auto" w:fill="auto"/>
                  <w:noWrap w:val="0"/>
                  <w:vAlign w:val="center"/>
                </w:tcPr>
                <w:p w14:paraId="79D89F9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eastAsia="华文中宋"/>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锅炉额定出力</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t/h</w:t>
                  </w:r>
                </w:p>
              </w:tc>
              <w:tc>
                <w:tcPr>
                  <w:tcW w:w="605" w:type="pct"/>
                  <w:vMerge w:val="restart"/>
                  <w:shd w:val="clear" w:color="auto" w:fill="auto"/>
                  <w:noWrap w:val="0"/>
                  <w:vAlign w:val="center"/>
                </w:tcPr>
                <w:p w14:paraId="0FE7B89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599" w:type="pct"/>
                  <w:vMerge w:val="restart"/>
                  <w:shd w:val="clear" w:color="auto" w:fill="auto"/>
                  <w:noWrap w:val="0"/>
                  <w:vAlign w:val="center"/>
                </w:tcPr>
                <w:p w14:paraId="3CABA7F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0</w:t>
                  </w:r>
                </w:p>
              </w:tc>
              <w:tc>
                <w:tcPr>
                  <w:tcW w:w="529" w:type="pct"/>
                  <w:vMerge w:val="restart"/>
                  <w:noWrap w:val="0"/>
                  <w:vAlign w:val="center"/>
                </w:tcPr>
                <w:p w14:paraId="2899865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r w14:paraId="23507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620A5D9F">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703" w:type="pct"/>
                  <w:vMerge w:val="continue"/>
                  <w:shd w:val="clear" w:color="auto" w:fill="auto"/>
                  <w:noWrap w:val="0"/>
                  <w:vAlign w:val="center"/>
                </w:tcPr>
                <w:p w14:paraId="41EC852C">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910" w:type="pct"/>
                  <w:vMerge w:val="continue"/>
                  <w:shd w:val="clear" w:color="auto" w:fill="auto"/>
                  <w:noWrap w:val="0"/>
                  <w:vAlign w:val="center"/>
                </w:tcPr>
                <w:p w14:paraId="59E3036B">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1120" w:type="pct"/>
                  <w:shd w:val="clear" w:color="auto" w:fill="auto"/>
                  <w:noWrap w:val="0"/>
                  <w:vAlign w:val="center"/>
                </w:tcPr>
                <w:p w14:paraId="22623E8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型号：</w:t>
                  </w:r>
                  <w:r>
                    <w:rPr>
                      <w:rFonts w:hint="eastAsia" w:eastAsia="华文中宋"/>
                      <w:color w:val="000000" w:themeColor="text1"/>
                      <w:sz w:val="21"/>
                      <w:szCs w:val="21"/>
                      <w:lang w:val="en-US" w:eastAsia="zh-CN"/>
                      <w14:textFill>
                        <w14:solidFill>
                          <w14:schemeClr w14:val="tx1"/>
                        </w14:solidFill>
                      </w14:textFill>
                    </w:rPr>
                    <w:t>LSS2-1.0-YQ</w:t>
                  </w:r>
                </w:p>
              </w:tc>
              <w:tc>
                <w:tcPr>
                  <w:tcW w:w="605" w:type="pct"/>
                  <w:vMerge w:val="continue"/>
                  <w:shd w:val="clear" w:color="auto" w:fill="auto"/>
                  <w:noWrap w:val="0"/>
                  <w:vAlign w:val="center"/>
                </w:tcPr>
                <w:p w14:paraId="249ABA8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99" w:type="pct"/>
                  <w:vMerge w:val="continue"/>
                  <w:shd w:val="clear" w:color="auto" w:fill="auto"/>
                  <w:noWrap w:val="0"/>
                  <w:vAlign w:val="center"/>
                </w:tcPr>
                <w:p w14:paraId="210BB11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29" w:type="pct"/>
                  <w:vMerge w:val="continue"/>
                  <w:noWrap w:val="0"/>
                  <w:vAlign w:val="center"/>
                </w:tcPr>
                <w:p w14:paraId="5EBBC45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14:paraId="145D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101AABC3">
                  <w:pPr>
                    <w:keepNext w:val="0"/>
                    <w:keepLines w:val="0"/>
                    <w:pageBreakBefore w:val="0"/>
                    <w:kinsoku/>
                    <w:wordWrap/>
                    <w:overflowPunct/>
                    <w:topLinePunct w:val="0"/>
                    <w:bidi w:val="0"/>
                    <w:adjustRightInd w:val="0"/>
                    <w:snapToGrid w:val="0"/>
                    <w:spacing w:line="240" w:lineRule="auto"/>
                    <w:ind w:left="0" w:right="0" w:firstLine="0" w:firstLineChars="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shd w:val="clear" w:color="auto" w:fill="auto"/>
                  <w:noWrap w:val="0"/>
                  <w:vAlign w:val="center"/>
                </w:tcPr>
                <w:p w14:paraId="496F76B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910" w:type="pct"/>
                  <w:vMerge w:val="continue"/>
                  <w:shd w:val="clear" w:color="auto" w:fill="auto"/>
                  <w:noWrap w:val="0"/>
                  <w:vAlign w:val="center"/>
                </w:tcPr>
                <w:p w14:paraId="2A1A631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120" w:type="pct"/>
                  <w:shd w:val="clear" w:color="auto" w:fill="auto"/>
                  <w:noWrap w:val="0"/>
                  <w:vAlign w:val="center"/>
                </w:tcPr>
                <w:p w14:paraId="04C51A1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eastAsia="华文中宋"/>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锅炉额定出力</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t/h</w:t>
                  </w:r>
                </w:p>
              </w:tc>
              <w:tc>
                <w:tcPr>
                  <w:tcW w:w="605" w:type="pct"/>
                  <w:vMerge w:val="restart"/>
                  <w:shd w:val="clear" w:color="auto" w:fill="auto"/>
                  <w:noWrap w:val="0"/>
                  <w:vAlign w:val="center"/>
                </w:tcPr>
                <w:p w14:paraId="5818270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0</w:t>
                  </w:r>
                </w:p>
              </w:tc>
              <w:tc>
                <w:tcPr>
                  <w:tcW w:w="599" w:type="pct"/>
                  <w:vMerge w:val="restart"/>
                  <w:shd w:val="clear" w:color="auto" w:fill="auto"/>
                  <w:noWrap w:val="0"/>
                  <w:vAlign w:val="center"/>
                </w:tcPr>
                <w:p w14:paraId="3378CB89">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华文中宋" w:cs="Times New Roman"/>
                      <w:color w:val="000000" w:themeColor="text1"/>
                      <w:sz w:val="21"/>
                      <w:szCs w:val="21"/>
                      <w:lang w:val="en-US" w:eastAsia="zh-CN"/>
                      <w14:textFill>
                        <w14:solidFill>
                          <w14:schemeClr w14:val="tx1"/>
                        </w14:solidFill>
                      </w14:textFill>
                    </w:rPr>
                  </w:pPr>
                  <w:r>
                    <w:rPr>
                      <w:rFonts w:hint="eastAsia" w:ascii="Times New Roman" w:hAnsi="Times New Roman" w:eastAsia="华文中宋" w:cs="Times New Roman"/>
                      <w:color w:val="000000" w:themeColor="text1"/>
                      <w:sz w:val="21"/>
                      <w:szCs w:val="21"/>
                      <w:lang w:val="en-US" w:eastAsia="zh-CN"/>
                      <w14:textFill>
                        <w14:solidFill>
                          <w14:schemeClr w14:val="tx1"/>
                        </w14:solidFill>
                      </w14:textFill>
                    </w:rPr>
                    <w:t>1</w:t>
                  </w:r>
                </w:p>
              </w:tc>
              <w:tc>
                <w:tcPr>
                  <w:tcW w:w="529" w:type="pct"/>
                  <w:vMerge w:val="restart"/>
                  <w:noWrap w:val="0"/>
                  <w:vAlign w:val="center"/>
                </w:tcPr>
                <w:p w14:paraId="29E90598">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r w14:paraId="043A3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343903AC">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703" w:type="pct"/>
                  <w:vMerge w:val="continue"/>
                  <w:shd w:val="clear" w:color="auto" w:fill="auto"/>
                  <w:noWrap w:val="0"/>
                  <w:vAlign w:val="center"/>
                </w:tcPr>
                <w:p w14:paraId="7CF881A4">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910" w:type="pct"/>
                  <w:vMerge w:val="continue"/>
                  <w:shd w:val="clear" w:color="auto" w:fill="auto"/>
                  <w:noWrap w:val="0"/>
                  <w:vAlign w:val="center"/>
                </w:tcPr>
                <w:p w14:paraId="64A532AF">
                  <w:pPr>
                    <w:keepNext w:val="0"/>
                    <w:keepLines w:val="0"/>
                    <w:pageBreakBefore w:val="0"/>
                    <w:widowControl/>
                    <w:kinsoku/>
                    <w:wordWrap/>
                    <w:overflowPunct/>
                    <w:topLinePunct w:val="0"/>
                    <w:bidi w:val="0"/>
                    <w:adjustRightInd w:val="0"/>
                    <w:snapToGrid w:val="0"/>
                    <w:spacing w:line="240" w:lineRule="auto"/>
                    <w:ind w:left="0" w:firstLine="0" w:firstLineChars="0"/>
                    <w:jc w:val="center"/>
                    <w:rPr>
                      <w:color w:val="000000" w:themeColor="text1"/>
                      <w:sz w:val="21"/>
                      <w:szCs w:val="21"/>
                      <w14:textFill>
                        <w14:solidFill>
                          <w14:schemeClr w14:val="tx1"/>
                        </w14:solidFill>
                      </w14:textFill>
                    </w:rPr>
                  </w:pPr>
                </w:p>
              </w:tc>
              <w:tc>
                <w:tcPr>
                  <w:tcW w:w="1120" w:type="pct"/>
                  <w:shd w:val="clear" w:color="auto" w:fill="auto"/>
                  <w:noWrap w:val="0"/>
                  <w:vAlign w:val="center"/>
                </w:tcPr>
                <w:p w14:paraId="0B48615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型号：</w:t>
                  </w:r>
                  <w:r>
                    <w:rPr>
                      <w:rFonts w:hint="eastAsia" w:eastAsia="华文中宋"/>
                      <w:color w:val="000000" w:themeColor="text1"/>
                      <w:sz w:val="21"/>
                      <w:szCs w:val="21"/>
                      <w:lang w:val="en-US" w:eastAsia="zh-CN"/>
                      <w14:textFill>
                        <w14:solidFill>
                          <w14:schemeClr w14:val="tx1"/>
                        </w14:solidFill>
                      </w14:textFill>
                    </w:rPr>
                    <w:t>WNS9-1.25-QT</w:t>
                  </w:r>
                </w:p>
              </w:tc>
              <w:tc>
                <w:tcPr>
                  <w:tcW w:w="605" w:type="pct"/>
                  <w:vMerge w:val="continue"/>
                  <w:shd w:val="clear" w:color="auto" w:fill="auto"/>
                  <w:noWrap w:val="0"/>
                  <w:vAlign w:val="center"/>
                </w:tcPr>
                <w:p w14:paraId="17C6A1A9">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99" w:type="pct"/>
                  <w:vMerge w:val="continue"/>
                  <w:shd w:val="clear" w:color="auto" w:fill="auto"/>
                  <w:noWrap w:val="0"/>
                  <w:vAlign w:val="center"/>
                </w:tcPr>
                <w:p w14:paraId="38E4861A">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29" w:type="pct"/>
                  <w:vMerge w:val="continue"/>
                  <w:noWrap w:val="0"/>
                  <w:vAlign w:val="center"/>
                </w:tcPr>
                <w:p w14:paraId="1B5F3ED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14:paraId="27D22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restart"/>
                  <w:tcBorders>
                    <w:top w:val="single" w:color="auto" w:sz="4" w:space="0"/>
                  </w:tcBorders>
                  <w:noWrap w:val="0"/>
                  <w:vAlign w:val="center"/>
                </w:tcPr>
                <w:p w14:paraId="29BA8F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环保设备</w:t>
                  </w:r>
                </w:p>
              </w:tc>
              <w:tc>
                <w:tcPr>
                  <w:tcW w:w="703" w:type="pct"/>
                  <w:vMerge w:val="restart"/>
                  <w:tcBorders>
                    <w:top w:val="single" w:color="auto" w:sz="4" w:space="0"/>
                  </w:tcBorders>
                  <w:noWrap w:val="0"/>
                  <w:vAlign w:val="center"/>
                </w:tcPr>
                <w:p w14:paraId="5CE411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废气治理</w:t>
                  </w:r>
                </w:p>
              </w:tc>
              <w:tc>
                <w:tcPr>
                  <w:tcW w:w="910" w:type="pct"/>
                  <w:noWrap w:val="0"/>
                  <w:vAlign w:val="center"/>
                </w:tcPr>
                <w:p w14:paraId="3D7FDD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低氮燃烧器（TA001）</w:t>
                  </w:r>
                </w:p>
              </w:tc>
              <w:tc>
                <w:tcPr>
                  <w:tcW w:w="1120" w:type="pct"/>
                  <w:noWrap w:val="0"/>
                  <w:vAlign w:val="center"/>
                </w:tcPr>
                <w:p w14:paraId="211142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BNTET</w:t>
                  </w:r>
                  <w:r>
                    <w:rPr>
                      <w:rFonts w:hint="eastAsia" w:cs="Times New Roman"/>
                      <w:color w:val="000000" w:themeColor="text1"/>
                      <w:sz w:val="21"/>
                      <w:szCs w:val="21"/>
                      <w:lang w:val="en-US" w:eastAsia="zh-CN"/>
                      <w14:textFill>
                        <w14:solidFill>
                          <w14:schemeClr w14:val="tx1"/>
                        </w14:solidFill>
                      </w14:textFill>
                    </w:rPr>
                    <w:t>1.0</w:t>
                  </w:r>
                </w:p>
              </w:tc>
              <w:tc>
                <w:tcPr>
                  <w:tcW w:w="605" w:type="pct"/>
                  <w:noWrap w:val="0"/>
                  <w:vAlign w:val="center"/>
                </w:tcPr>
                <w:p w14:paraId="149390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599" w:type="pct"/>
                  <w:noWrap w:val="0"/>
                  <w:vAlign w:val="center"/>
                </w:tcPr>
                <w:p w14:paraId="53D0EC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529" w:type="pct"/>
                  <w:noWrap w:val="0"/>
                  <w:vAlign w:val="center"/>
                </w:tcPr>
                <w:p w14:paraId="21091D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r w14:paraId="7848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31" w:type="pct"/>
                  <w:vMerge w:val="continue"/>
                  <w:noWrap w:val="0"/>
                  <w:vAlign w:val="center"/>
                </w:tcPr>
                <w:p w14:paraId="538DFC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703" w:type="pct"/>
                  <w:vMerge w:val="continue"/>
                  <w:noWrap w:val="0"/>
                  <w:vAlign w:val="center"/>
                </w:tcPr>
                <w:p w14:paraId="127DF7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10" w:type="pct"/>
                  <w:noWrap w:val="0"/>
                  <w:vAlign w:val="center"/>
                </w:tcPr>
                <w:p w14:paraId="51F53E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低氮燃烧器（TA002）</w:t>
                  </w:r>
                </w:p>
              </w:tc>
              <w:tc>
                <w:tcPr>
                  <w:tcW w:w="1120" w:type="pct"/>
                  <w:noWrap w:val="0"/>
                  <w:vAlign w:val="center"/>
                </w:tcPr>
                <w:p w14:paraId="2419E1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WNS</w:t>
                  </w:r>
                  <w:r>
                    <w:rPr>
                      <w:rFonts w:hint="eastAsia"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-1.25-Y</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Q</w:t>
                  </w:r>
                  <w:r>
                    <w:rPr>
                      <w:rFonts w:hint="eastAsia" w:cs="Times New Roman"/>
                      <w:color w:val="000000" w:themeColor="text1"/>
                      <w:sz w:val="21"/>
                      <w:szCs w:val="21"/>
                      <w:lang w:val="en-US" w:eastAsia="zh-CN"/>
                      <w14:textFill>
                        <w14:solidFill>
                          <w14:schemeClr w14:val="tx1"/>
                        </w14:solidFill>
                      </w14:textFill>
                    </w:rPr>
                    <w:t>）</w:t>
                  </w:r>
                </w:p>
              </w:tc>
              <w:tc>
                <w:tcPr>
                  <w:tcW w:w="605" w:type="pct"/>
                  <w:noWrap w:val="0"/>
                  <w:vAlign w:val="center"/>
                </w:tcPr>
                <w:p w14:paraId="15D4B4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599" w:type="pct"/>
                  <w:noWrap w:val="0"/>
                  <w:vAlign w:val="center"/>
                </w:tcPr>
                <w:p w14:paraId="6EAC92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529" w:type="pct"/>
                  <w:noWrap w:val="0"/>
                  <w:vAlign w:val="center"/>
                </w:tcPr>
                <w:p w14:paraId="4F1B67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w:t>
                  </w:r>
                </w:p>
              </w:tc>
            </w:tr>
          </w:tbl>
          <w:p w14:paraId="4B08CD76">
            <w:pPr>
              <w:pStyle w:val="5"/>
              <w:keepNext/>
              <w:keepLines/>
              <w:pageBreakBefore w:val="0"/>
              <w:widowControl w:val="0"/>
              <w:kinsoku/>
              <w:wordWrap/>
              <w:overflowPunct/>
              <w:topLinePunct w:val="0"/>
              <w:autoSpaceDE/>
              <w:autoSpaceDN/>
              <w:bidi w:val="0"/>
              <w:adjustRightInd w:val="0"/>
              <w:snapToGrid w:val="0"/>
              <w:spacing w:before="173" w:beforeLines="50"/>
              <w:ind w:firstLine="482"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生产设备与生产规模匹配性分析：</w:t>
            </w:r>
          </w:p>
          <w:p w14:paraId="3AB4AF58">
            <w:pPr>
              <w:pStyle w:val="5"/>
              <w:keepNext/>
              <w:keepLines/>
              <w:pageBreakBefore w:val="0"/>
              <w:widowControl w:val="0"/>
              <w:kinsoku/>
              <w:wordWrap/>
              <w:overflowPunct/>
              <w:topLinePunct w:val="0"/>
              <w:autoSpaceDE/>
              <w:autoSpaceDN/>
              <w:bidi w:val="0"/>
              <w:adjustRightInd w:val="0"/>
              <w:snapToGrid w:val="0"/>
              <w:spacing w:beforeLines="0"/>
              <w:ind w:firstLine="480" w:firstLineChars="200"/>
              <w:textAlignment w:val="auto"/>
              <w:rPr>
                <w:rFonts w:hint="default" w:ascii="Times New Roman" w:hAnsi="Times New Roman"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项目</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设置5T/H</w:t>
            </w:r>
            <w:r>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果蔬杀青速冻线</w:t>
            </w:r>
            <w:r>
              <w:rPr>
                <w:rFonts w:hint="eastAsia"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1条</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，生产能力为</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5t/h</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项目年工作330天，每天工作8h，则</w:t>
            </w:r>
            <w:r>
              <w:rPr>
                <w:rFonts w:hint="default" w:ascii="Times New Roman" w:hAnsi="Times New Roman" w:cs="Times New Roman"/>
                <w:b w:val="0"/>
                <w:bCs w:val="0"/>
                <w:snapToGrid/>
                <w:color w:val="000000" w:themeColor="text1"/>
                <w:spacing w:val="0"/>
                <w:kern w:val="0"/>
                <w:position w:val="0"/>
                <w:sz w:val="24"/>
                <w:szCs w:val="24"/>
                <w:lang w:val="en-US" w:eastAsia="zh-CN" w:bidi="ar-SA"/>
                <w14:textFill>
                  <w14:solidFill>
                    <w14:schemeClr w14:val="tx1"/>
                  </w14:solidFill>
                </w14:textFill>
              </w:rPr>
              <w:t>果蔬杀青速冻线</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生产能力为</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13200t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/a，</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项目新鲜果蔬年用量为12000t，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与</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全厂</w:t>
            </w:r>
            <w:r>
              <w:rPr>
                <w:rFonts w:hint="eastAsia" w:ascii="宋体" w:hAnsi="宋体" w:eastAsia="宋体" w:cs="宋体"/>
                <w:b w:val="0"/>
                <w:bCs/>
                <w:color w:val="000000" w:themeColor="text1"/>
                <w:sz w:val="24"/>
                <w:szCs w:val="24"/>
                <w:lang w:val="en-US" w:eastAsia="zh-CN"/>
                <w14:textFill>
                  <w14:solidFill>
                    <w14:schemeClr w14:val="tx1"/>
                  </w14:solidFill>
                </w14:textFill>
              </w:rPr>
              <w:t>“年产</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10000</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t</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果蔬干</w:t>
            </w:r>
            <w:r>
              <w:rPr>
                <w:rFonts w:hint="eastAsia" w:ascii="宋体" w:hAnsi="宋体" w:eastAsia="宋体" w:cs="宋体"/>
                <w:b w:val="0"/>
                <w:bCs/>
                <w:color w:val="000000" w:themeColor="text1"/>
                <w:sz w:val="24"/>
                <w:szCs w:val="24"/>
                <w:lang w:val="en-US" w:eastAsia="zh-CN"/>
                <w14:textFill>
                  <w14:solidFill>
                    <w14:schemeClr w14:val="tx1"/>
                  </w14:solidFill>
                </w14:textFill>
              </w:rPr>
              <w:t>”生产能</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力相匹配。</w:t>
            </w:r>
          </w:p>
          <w:p w14:paraId="7A290BD0">
            <w:pPr>
              <w:pStyle w:val="9"/>
              <w:keepNext/>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表</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2.6</w:t>
            </w:r>
            <w:r>
              <w:rPr>
                <w:rFonts w:hint="default" w:ascii="Times New Roman" w:hAnsi="Times New Roman" w:eastAsia="宋体" w:cs="Times New Roman"/>
                <w:b/>
                <w:bCs/>
                <w:color w:val="000000" w:themeColor="text1"/>
                <w:kern w:val="0"/>
                <w:sz w:val="24"/>
                <w:szCs w:val="24"/>
                <w14:textFill>
                  <w14:solidFill>
                    <w14:schemeClr w14:val="tx1"/>
                  </w14:solidFill>
                </w14:textFill>
              </w:rPr>
              <w:t xml:space="preserve">  锅炉配套设施明细</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11"/>
              <w:gridCol w:w="1626"/>
              <w:gridCol w:w="2415"/>
              <w:gridCol w:w="945"/>
              <w:gridCol w:w="900"/>
              <w:gridCol w:w="1277"/>
            </w:tblGrid>
            <w:tr w14:paraId="609F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3D718EB7">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982" w:type="pct"/>
                  <w:noWrap w:val="0"/>
                  <w:vAlign w:val="center"/>
                </w:tcPr>
                <w:p w14:paraId="706F2D22">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设备名称</w:t>
                  </w:r>
                </w:p>
              </w:tc>
              <w:tc>
                <w:tcPr>
                  <w:tcW w:w="1459" w:type="pct"/>
                  <w:tcBorders>
                    <w:right w:val="single" w:color="auto" w:sz="4" w:space="0"/>
                  </w:tcBorders>
                  <w:noWrap w:val="0"/>
                  <w:vAlign w:val="center"/>
                </w:tcPr>
                <w:p w14:paraId="6DD7CCDC">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规格型号</w:t>
                  </w:r>
                </w:p>
              </w:tc>
              <w:tc>
                <w:tcPr>
                  <w:tcW w:w="571" w:type="pct"/>
                  <w:tcBorders>
                    <w:left w:val="single" w:color="auto" w:sz="4" w:space="0"/>
                  </w:tcBorders>
                  <w:noWrap w:val="0"/>
                  <w:vAlign w:val="center"/>
                </w:tcPr>
                <w:p w14:paraId="7BBDD59F">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数量</w:t>
                  </w:r>
                </w:p>
              </w:tc>
              <w:tc>
                <w:tcPr>
                  <w:tcW w:w="543" w:type="pct"/>
                  <w:tcBorders>
                    <w:right w:val="single" w:color="auto" w:sz="4" w:space="0"/>
                  </w:tcBorders>
                  <w:noWrap w:val="0"/>
                  <w:vAlign w:val="center"/>
                </w:tcPr>
                <w:p w14:paraId="55D88F1B">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单位</w:t>
                  </w:r>
                </w:p>
              </w:tc>
              <w:tc>
                <w:tcPr>
                  <w:tcW w:w="771" w:type="pct"/>
                  <w:tcBorders>
                    <w:right w:val="single" w:color="auto" w:sz="4" w:space="0"/>
                  </w:tcBorders>
                  <w:noWrap w:val="0"/>
                  <w:vAlign w:val="center"/>
                </w:tcPr>
                <w:p w14:paraId="7ABF7D32">
                  <w:pPr>
                    <w:pStyle w:val="47"/>
                    <w:spacing w:before="48" w:beforeLines="2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备注</w:t>
                  </w:r>
                </w:p>
              </w:tc>
            </w:tr>
            <w:tr w14:paraId="12D9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000" w:type="pct"/>
                  <w:gridSpan w:val="6"/>
                  <w:tcBorders>
                    <w:right w:val="single" w:color="auto" w:sz="4" w:space="0"/>
                  </w:tcBorders>
                  <w:noWrap w:val="0"/>
                  <w:vAlign w:val="center"/>
                </w:tcPr>
                <w:p w14:paraId="44F48CEB">
                  <w:pPr>
                    <w:pStyle w:val="47"/>
                    <w:spacing w:before="48" w:beforeLines="20"/>
                    <w:rPr>
                      <w:rFonts w:hint="eastAsia"/>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燃气蒸汽锅炉</w:t>
                  </w:r>
                </w:p>
              </w:tc>
            </w:tr>
            <w:tr w14:paraId="6C08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6560297C">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982" w:type="pct"/>
                  <w:noWrap w:val="0"/>
                  <w:vAlign w:val="center"/>
                </w:tcPr>
                <w:p w14:paraId="54548E36">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锅炉主机</w:t>
                  </w:r>
                </w:p>
              </w:tc>
              <w:tc>
                <w:tcPr>
                  <w:tcW w:w="1459" w:type="pct"/>
                  <w:tcBorders>
                    <w:right w:val="single" w:color="auto" w:sz="4" w:space="0"/>
                  </w:tcBorders>
                  <w:noWrap w:val="0"/>
                  <w:vAlign w:val="center"/>
                </w:tcPr>
                <w:p w14:paraId="35D92528">
                  <w:pPr>
                    <w:pStyle w:val="47"/>
                    <w:spacing w:before="48" w:beforeLines="20"/>
                    <w:rPr>
                      <w:color w:val="000000" w:themeColor="text1"/>
                      <w:szCs w:val="21"/>
                      <w14:textFill>
                        <w14:solidFill>
                          <w14:schemeClr w14:val="tx1"/>
                        </w14:solidFill>
                      </w14:textFill>
                    </w:rPr>
                  </w:pPr>
                  <w:r>
                    <w:rPr>
                      <w:rFonts w:hint="eastAsia" w:eastAsia="华文中宋"/>
                      <w:color w:val="000000" w:themeColor="text1"/>
                      <w:szCs w:val="24"/>
                      <w:lang w:val="en-US" w:eastAsia="zh-CN"/>
                      <w14:textFill>
                        <w14:solidFill>
                          <w14:schemeClr w14:val="tx1"/>
                        </w14:solidFill>
                      </w14:textFill>
                    </w:rPr>
                    <w:t>WNS9-1.25-QT</w:t>
                  </w:r>
                </w:p>
              </w:tc>
              <w:tc>
                <w:tcPr>
                  <w:tcW w:w="571" w:type="pct"/>
                  <w:tcBorders>
                    <w:left w:val="single" w:color="auto" w:sz="4" w:space="0"/>
                  </w:tcBorders>
                  <w:noWrap w:val="0"/>
                  <w:vAlign w:val="center"/>
                </w:tcPr>
                <w:p w14:paraId="64CBCA31">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B6A0561">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248EE71F">
                  <w:pPr>
                    <w:pStyle w:val="47"/>
                    <w:spacing w:before="48" w:beforeLines="2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4F42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266FAEC5">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982" w:type="pct"/>
                  <w:noWrap w:val="0"/>
                  <w:vAlign w:val="center"/>
                </w:tcPr>
                <w:p w14:paraId="216DB936">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燃烧器</w:t>
                  </w:r>
                </w:p>
              </w:tc>
              <w:tc>
                <w:tcPr>
                  <w:tcW w:w="1459" w:type="pct"/>
                  <w:tcBorders>
                    <w:right w:val="single" w:color="auto" w:sz="4" w:space="0"/>
                  </w:tcBorders>
                  <w:noWrap w:val="0"/>
                  <w:vAlign w:val="center"/>
                </w:tcPr>
                <w:p w14:paraId="3EFA1F21">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571" w:type="pct"/>
                  <w:tcBorders>
                    <w:left w:val="single" w:color="auto" w:sz="4" w:space="0"/>
                  </w:tcBorders>
                  <w:noWrap w:val="0"/>
                  <w:vAlign w:val="center"/>
                </w:tcPr>
                <w:p w14:paraId="5D5A542C">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F596700">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03E0F911">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2720F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74879513">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982" w:type="pct"/>
                  <w:noWrap w:val="0"/>
                  <w:vAlign w:val="center"/>
                </w:tcPr>
                <w:p w14:paraId="4D813944">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电控柜</w:t>
                  </w:r>
                </w:p>
              </w:tc>
              <w:tc>
                <w:tcPr>
                  <w:tcW w:w="1459" w:type="pct"/>
                  <w:tcBorders>
                    <w:right w:val="single" w:color="auto" w:sz="4" w:space="0"/>
                  </w:tcBorders>
                  <w:noWrap w:val="0"/>
                  <w:vAlign w:val="center"/>
                </w:tcPr>
                <w:p w14:paraId="6D5242F2">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YY</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Q</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W-700-Y</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Q</w:t>
                  </w:r>
                  <w:r>
                    <w:rPr>
                      <w:rFonts w:hint="eastAsia"/>
                      <w:color w:val="000000" w:themeColor="text1"/>
                      <w:szCs w:val="21"/>
                      <w:lang w:eastAsia="zh-CN"/>
                      <w14:textFill>
                        <w14:solidFill>
                          <w14:schemeClr w14:val="tx1"/>
                        </w14:solidFill>
                      </w14:textFill>
                    </w:rPr>
                    <w:t>）</w:t>
                  </w:r>
                </w:p>
              </w:tc>
              <w:tc>
                <w:tcPr>
                  <w:tcW w:w="571" w:type="pct"/>
                  <w:tcBorders>
                    <w:left w:val="single" w:color="auto" w:sz="4" w:space="0"/>
                  </w:tcBorders>
                  <w:noWrap w:val="0"/>
                  <w:vAlign w:val="center"/>
                </w:tcPr>
                <w:p w14:paraId="33BDF686">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A8698D9">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7D1FE7D0">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1168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58280422">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982" w:type="pct"/>
                  <w:noWrap w:val="0"/>
                  <w:vAlign w:val="center"/>
                </w:tcPr>
                <w:p w14:paraId="50109AFA">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分汽缸</w:t>
                  </w:r>
                </w:p>
              </w:tc>
              <w:tc>
                <w:tcPr>
                  <w:tcW w:w="1459" w:type="pct"/>
                  <w:tcBorders>
                    <w:right w:val="single" w:color="auto" w:sz="4" w:space="0"/>
                  </w:tcBorders>
                  <w:noWrap w:val="0"/>
                  <w:vAlign w:val="center"/>
                </w:tcPr>
                <w:p w14:paraId="456DD723">
                  <w:pPr>
                    <w:pStyle w:val="47"/>
                    <w:spacing w:before="48" w:beforeLines="2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Φ</w:t>
                  </w:r>
                  <w:r>
                    <w:rPr>
                      <w:rFonts w:hint="eastAsia"/>
                      <w:color w:val="000000" w:themeColor="text1"/>
                      <w:szCs w:val="21"/>
                      <w:lang w:val="en-US" w:eastAsia="zh-CN"/>
                      <w14:textFill>
                        <w14:solidFill>
                          <w14:schemeClr w14:val="tx1"/>
                        </w14:solidFill>
                      </w14:textFill>
                    </w:rPr>
                    <w:t>359</w:t>
                  </w:r>
                </w:p>
              </w:tc>
              <w:tc>
                <w:tcPr>
                  <w:tcW w:w="571" w:type="pct"/>
                  <w:tcBorders>
                    <w:left w:val="single" w:color="auto" w:sz="4" w:space="0"/>
                  </w:tcBorders>
                  <w:noWrap w:val="0"/>
                  <w:vAlign w:val="center"/>
                </w:tcPr>
                <w:p w14:paraId="511B14B0">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A1C9F80">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025E86B1">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625C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5EA979D7">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982" w:type="pct"/>
                  <w:noWrap w:val="0"/>
                  <w:vAlign w:val="center"/>
                </w:tcPr>
                <w:p w14:paraId="7A63E1E5">
                  <w:pPr>
                    <w:pStyle w:val="47"/>
                    <w:spacing w:before="48" w:beforeLines="2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软水制备设备</w:t>
                  </w:r>
                </w:p>
              </w:tc>
              <w:tc>
                <w:tcPr>
                  <w:tcW w:w="1459" w:type="pct"/>
                  <w:tcBorders>
                    <w:right w:val="single" w:color="auto" w:sz="4" w:space="0"/>
                  </w:tcBorders>
                  <w:noWrap w:val="0"/>
                  <w:vAlign w:val="center"/>
                </w:tcPr>
                <w:p w14:paraId="0833ED72">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571" w:type="pct"/>
                  <w:tcBorders>
                    <w:left w:val="single" w:color="auto" w:sz="4" w:space="0"/>
                  </w:tcBorders>
                  <w:noWrap w:val="0"/>
                  <w:vAlign w:val="center"/>
                </w:tcPr>
                <w:p w14:paraId="7900FD26">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1221C400">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771" w:type="pct"/>
                  <w:tcBorders>
                    <w:right w:val="single" w:color="auto" w:sz="4" w:space="0"/>
                  </w:tcBorders>
                  <w:noWrap w:val="0"/>
                  <w:vAlign w:val="center"/>
                </w:tcPr>
                <w:p w14:paraId="3482AF56">
                  <w:pPr>
                    <w:spacing w:before="48" w:beforeLines="20"/>
                    <w:jc w:val="center"/>
                    <w:rPr>
                      <w:rFonts w:hint="default"/>
                      <w:color w:val="000000" w:themeColor="text1"/>
                      <w:szCs w:val="21"/>
                      <w:lang w:val="en-US"/>
                      <w14:textFill>
                        <w14:solidFill>
                          <w14:schemeClr w14:val="tx1"/>
                        </w14:solidFill>
                      </w14:textFill>
                    </w:rPr>
                  </w:pPr>
                  <w:r>
                    <w:rPr>
                      <w:rFonts w:hint="eastAsia"/>
                      <w:color w:val="000000" w:themeColor="text1"/>
                      <w:szCs w:val="21"/>
                      <w:lang w:val="en-US" w:eastAsia="zh-CN"/>
                      <w14:textFill>
                        <w14:solidFill>
                          <w14:schemeClr w14:val="tx1"/>
                        </w14:solidFill>
                      </w14:textFill>
                    </w:rPr>
                    <w:t>一套利旧，一套新增</w:t>
                  </w:r>
                </w:p>
              </w:tc>
            </w:tr>
            <w:tr w14:paraId="79D96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2ACDA6D5">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982" w:type="pct"/>
                  <w:noWrap w:val="0"/>
                  <w:vAlign w:val="center"/>
                </w:tcPr>
                <w:p w14:paraId="6835F1CD">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给水泵</w:t>
                  </w:r>
                </w:p>
              </w:tc>
              <w:tc>
                <w:tcPr>
                  <w:tcW w:w="1459" w:type="pct"/>
                  <w:tcBorders>
                    <w:right w:val="single" w:color="auto" w:sz="4" w:space="0"/>
                  </w:tcBorders>
                  <w:noWrap w:val="0"/>
                  <w:vAlign w:val="center"/>
                </w:tcPr>
                <w:p w14:paraId="651265CF">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DG85-67×9</w:t>
                  </w:r>
                </w:p>
              </w:tc>
              <w:tc>
                <w:tcPr>
                  <w:tcW w:w="571" w:type="pct"/>
                  <w:tcBorders>
                    <w:left w:val="single" w:color="auto" w:sz="4" w:space="0"/>
                  </w:tcBorders>
                  <w:noWrap w:val="0"/>
                  <w:vAlign w:val="center"/>
                </w:tcPr>
                <w:p w14:paraId="489D7247">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1F2E7EDF">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771" w:type="pct"/>
                  <w:tcBorders>
                    <w:right w:val="single" w:color="auto" w:sz="4" w:space="0"/>
                  </w:tcBorders>
                  <w:noWrap w:val="0"/>
                  <w:vAlign w:val="center"/>
                </w:tcPr>
                <w:p w14:paraId="2A7132BB">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1F66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172B8CF9">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982" w:type="pct"/>
                  <w:noWrap w:val="0"/>
                  <w:vAlign w:val="center"/>
                </w:tcPr>
                <w:p w14:paraId="0EA642BB">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平台爬梯</w:t>
                  </w:r>
                </w:p>
              </w:tc>
              <w:tc>
                <w:tcPr>
                  <w:tcW w:w="1459" w:type="pct"/>
                  <w:tcBorders>
                    <w:right w:val="single" w:color="auto" w:sz="4" w:space="0"/>
                  </w:tcBorders>
                  <w:noWrap w:val="0"/>
                  <w:vAlign w:val="center"/>
                </w:tcPr>
                <w:p w14:paraId="262818FF">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吨标配</w:t>
                  </w:r>
                </w:p>
              </w:tc>
              <w:tc>
                <w:tcPr>
                  <w:tcW w:w="571" w:type="pct"/>
                  <w:tcBorders>
                    <w:left w:val="single" w:color="auto" w:sz="4" w:space="0"/>
                  </w:tcBorders>
                  <w:noWrap w:val="0"/>
                  <w:vAlign w:val="center"/>
                </w:tcPr>
                <w:p w14:paraId="5EAAC9E7">
                  <w:pPr>
                    <w:adjustRightInd w:val="0"/>
                    <w:snapToGrid w:val="0"/>
                    <w:spacing w:before="48" w:beforeLines="20"/>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08B211AD">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771" w:type="pct"/>
                  <w:tcBorders>
                    <w:right w:val="single" w:color="auto" w:sz="4" w:space="0"/>
                  </w:tcBorders>
                  <w:noWrap w:val="0"/>
                  <w:vAlign w:val="center"/>
                </w:tcPr>
                <w:p w14:paraId="27EDF857">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r w14:paraId="28155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671" w:type="pct"/>
                  <w:noWrap w:val="0"/>
                  <w:vAlign w:val="center"/>
                </w:tcPr>
                <w:p w14:paraId="58636A47">
                  <w:pPr>
                    <w:pStyle w:val="47"/>
                    <w:spacing w:before="48" w:beforeLines="2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982" w:type="pct"/>
                  <w:noWrap w:val="0"/>
                  <w:vAlign w:val="center"/>
                </w:tcPr>
                <w:p w14:paraId="6B216BAD">
                  <w:pPr>
                    <w:pStyle w:val="47"/>
                    <w:spacing w:before="48" w:beforeLines="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烟囱</w:t>
                  </w:r>
                </w:p>
              </w:tc>
              <w:tc>
                <w:tcPr>
                  <w:tcW w:w="1459" w:type="pct"/>
                  <w:tcBorders>
                    <w:right w:val="single" w:color="auto" w:sz="4" w:space="0"/>
                  </w:tcBorders>
                  <w:noWrap w:val="0"/>
                  <w:vAlign w:val="center"/>
                </w:tcPr>
                <w:p w14:paraId="74E89775">
                  <w:pPr>
                    <w:pStyle w:val="47"/>
                    <w:spacing w:before="48" w:beforeLines="20"/>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Φ</w:t>
                  </w:r>
                  <w:r>
                    <w:rPr>
                      <w:rFonts w:hint="eastAsia"/>
                      <w:color w:val="000000" w:themeColor="text1"/>
                      <w:szCs w:val="21"/>
                      <w:lang w:val="en-US" w:eastAsia="zh-CN"/>
                      <w14:textFill>
                        <w14:solidFill>
                          <w14:schemeClr w14:val="tx1"/>
                        </w14:solidFill>
                      </w14:textFill>
                    </w:rPr>
                    <w:t>492</w:t>
                  </w:r>
                </w:p>
              </w:tc>
              <w:tc>
                <w:tcPr>
                  <w:tcW w:w="571" w:type="pct"/>
                  <w:tcBorders>
                    <w:left w:val="single" w:color="auto" w:sz="4" w:space="0"/>
                  </w:tcBorders>
                  <w:noWrap w:val="0"/>
                  <w:vAlign w:val="center"/>
                </w:tcPr>
                <w:p w14:paraId="19782F3E">
                  <w:pPr>
                    <w:pStyle w:val="47"/>
                    <w:spacing w:before="48" w:beforeLines="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43" w:type="pct"/>
                  <w:tcBorders>
                    <w:right w:val="single" w:color="auto" w:sz="4" w:space="0"/>
                  </w:tcBorders>
                  <w:noWrap w:val="0"/>
                  <w:vAlign w:val="center"/>
                </w:tcPr>
                <w:p w14:paraId="6693A31E">
                  <w:pPr>
                    <w:pStyle w:val="47"/>
                    <w:spacing w:before="48" w:beforeLine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套</w:t>
                  </w:r>
                </w:p>
              </w:tc>
              <w:tc>
                <w:tcPr>
                  <w:tcW w:w="771" w:type="pct"/>
                  <w:tcBorders>
                    <w:right w:val="single" w:color="auto" w:sz="4" w:space="0"/>
                  </w:tcBorders>
                  <w:noWrap w:val="0"/>
                  <w:vAlign w:val="center"/>
                </w:tcPr>
                <w:p w14:paraId="7A56D8AE">
                  <w:pPr>
                    <w:spacing w:before="48" w:beforeLines="20"/>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新增</w:t>
                  </w:r>
                </w:p>
              </w:tc>
            </w:tr>
          </w:tbl>
          <w:p w14:paraId="60674869">
            <w:pPr>
              <w:pStyle w:val="9"/>
              <w:keepNext/>
              <w:keepLines w:val="0"/>
              <w:pageBreakBefore w:val="0"/>
              <w:widowControl w:val="0"/>
              <w:kinsoku/>
              <w:wordWrap/>
              <w:overflowPunct/>
              <w:topLinePunct w:val="0"/>
              <w:autoSpaceDE/>
              <w:autoSpaceDN/>
              <w:bidi w:val="0"/>
              <w:adjustRightInd w:val="0"/>
              <w:snapToGrid w:val="0"/>
              <w:spacing w:before="157" w:beforeLines="50" w:after="0" w:line="360" w:lineRule="auto"/>
              <w:ind w:firstLine="0"/>
              <w:jc w:val="center"/>
              <w:textAlignment w:val="auto"/>
              <w:rPr>
                <w:rFonts w:hint="default" w:ascii="Times New Roman" w:hAnsi="Times New Roman" w:eastAsia="宋体" w:cs="Times New Roman"/>
                <w:b/>
                <w:bCs/>
                <w:color w:val="000000" w:themeColor="text1"/>
                <w:kern w:val="0"/>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14:textFill>
                  <w14:solidFill>
                    <w14:schemeClr w14:val="tx1"/>
                  </w14:solidFill>
                </w14:textFill>
              </w:rPr>
              <w:t>表</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2.7</w:t>
            </w:r>
            <w:r>
              <w:rPr>
                <w:rFonts w:hint="default" w:ascii="Times New Roman" w:hAnsi="Times New Roman" w:eastAsia="宋体" w:cs="Times New Roman"/>
                <w:b/>
                <w:bCs/>
                <w:color w:val="000000" w:themeColor="text1"/>
                <w:kern w:val="0"/>
                <w:sz w:val="24"/>
                <w:szCs w:val="24"/>
                <w14:textFill>
                  <w14:solidFill>
                    <w14:schemeClr w14:val="tx1"/>
                  </w14:solidFill>
                </w14:textFill>
              </w:rPr>
              <w:t xml:space="preserve">  本项目锅炉主要技术参数一览表</w:t>
            </w:r>
          </w:p>
          <w:tbl>
            <w:tblPr>
              <w:tblStyle w:val="24"/>
              <w:tblW w:w="49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68"/>
              <w:gridCol w:w="2844"/>
              <w:gridCol w:w="2106"/>
              <w:gridCol w:w="2094"/>
            </w:tblGrid>
            <w:tr w14:paraId="3685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34F411F9">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1731" w:type="pct"/>
                  <w:noWrap w:val="0"/>
                  <w:vAlign w:val="center"/>
                </w:tcPr>
                <w:p w14:paraId="674A448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w:t>
                  </w:r>
                </w:p>
              </w:tc>
              <w:tc>
                <w:tcPr>
                  <w:tcW w:w="1282" w:type="pct"/>
                  <w:tcBorders>
                    <w:right w:val="single" w:color="auto" w:sz="4" w:space="0"/>
                  </w:tcBorders>
                  <w:noWrap w:val="0"/>
                  <w:vAlign w:val="center"/>
                </w:tcPr>
                <w:p w14:paraId="64C3639A">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单位</w:t>
                  </w:r>
                </w:p>
              </w:tc>
              <w:tc>
                <w:tcPr>
                  <w:tcW w:w="1274" w:type="pct"/>
                  <w:noWrap w:val="0"/>
                  <w:vAlign w:val="center"/>
                </w:tcPr>
                <w:p w14:paraId="4DF850B2">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数值</w:t>
                  </w:r>
                </w:p>
              </w:tc>
            </w:tr>
            <w:tr w14:paraId="62DE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12C7FB3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1731" w:type="pct"/>
                  <w:noWrap w:val="0"/>
                  <w:vAlign w:val="center"/>
                </w:tcPr>
                <w:p w14:paraId="463D05B1">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锅炉出口介质</w:t>
                  </w:r>
                </w:p>
              </w:tc>
              <w:tc>
                <w:tcPr>
                  <w:tcW w:w="1282" w:type="pct"/>
                  <w:tcBorders>
                    <w:right w:val="single" w:color="auto" w:sz="4" w:space="0"/>
                  </w:tcBorders>
                  <w:noWrap w:val="0"/>
                  <w:vAlign w:val="center"/>
                </w:tcPr>
                <w:p w14:paraId="5DB79B04">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274" w:type="pct"/>
                  <w:noWrap w:val="0"/>
                  <w:vAlign w:val="center"/>
                </w:tcPr>
                <w:p w14:paraId="38C0887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饱和蒸汽</w:t>
                  </w:r>
                </w:p>
              </w:tc>
            </w:tr>
            <w:tr w14:paraId="36B6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187E144D">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1731" w:type="pct"/>
                  <w:noWrap w:val="0"/>
                  <w:vAlign w:val="center"/>
                </w:tcPr>
                <w:p w14:paraId="4C682F1D">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额定出力</w:t>
                  </w:r>
                </w:p>
              </w:tc>
              <w:tc>
                <w:tcPr>
                  <w:tcW w:w="1282" w:type="pct"/>
                  <w:tcBorders>
                    <w:right w:val="single" w:color="auto" w:sz="4" w:space="0"/>
                  </w:tcBorders>
                  <w:noWrap w:val="0"/>
                  <w:vAlign w:val="center"/>
                </w:tcPr>
                <w:p w14:paraId="49784C26">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kg/h</w:t>
                  </w:r>
                </w:p>
              </w:tc>
              <w:tc>
                <w:tcPr>
                  <w:tcW w:w="1274" w:type="pct"/>
                  <w:noWrap w:val="0"/>
                  <w:vAlign w:val="center"/>
                </w:tcPr>
                <w:p w14:paraId="6D30EC7D">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9000</w:t>
                  </w:r>
                </w:p>
              </w:tc>
            </w:tr>
            <w:tr w14:paraId="36BA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7CE70188">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p>
              </w:tc>
              <w:tc>
                <w:tcPr>
                  <w:tcW w:w="1731" w:type="pct"/>
                  <w:noWrap w:val="0"/>
                  <w:vAlign w:val="center"/>
                </w:tcPr>
                <w:p w14:paraId="641271D4">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设计热效率</w:t>
                  </w:r>
                </w:p>
              </w:tc>
              <w:tc>
                <w:tcPr>
                  <w:tcW w:w="1282" w:type="pct"/>
                  <w:tcBorders>
                    <w:right w:val="single" w:color="auto" w:sz="4" w:space="0"/>
                  </w:tcBorders>
                  <w:noWrap w:val="0"/>
                  <w:vAlign w:val="center"/>
                </w:tcPr>
                <w:p w14:paraId="11B54082">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1274" w:type="pct"/>
                  <w:noWrap w:val="0"/>
                  <w:vAlign w:val="center"/>
                </w:tcPr>
                <w:p w14:paraId="79EB92E9">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96.93</w:t>
                  </w:r>
                </w:p>
              </w:tc>
            </w:tr>
            <w:tr w14:paraId="60E04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1ECDECE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w:t>
                  </w:r>
                </w:p>
              </w:tc>
              <w:tc>
                <w:tcPr>
                  <w:tcW w:w="1731" w:type="pct"/>
                  <w:noWrap w:val="0"/>
                  <w:vAlign w:val="center"/>
                </w:tcPr>
                <w:p w14:paraId="23A03FE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额定压力</w:t>
                  </w:r>
                </w:p>
              </w:tc>
              <w:tc>
                <w:tcPr>
                  <w:tcW w:w="1282" w:type="pct"/>
                  <w:tcBorders>
                    <w:right w:val="single" w:color="auto" w:sz="4" w:space="0"/>
                  </w:tcBorders>
                  <w:noWrap w:val="0"/>
                  <w:vAlign w:val="center"/>
                </w:tcPr>
                <w:p w14:paraId="0935AB2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MPa</w:t>
                  </w:r>
                </w:p>
              </w:tc>
              <w:tc>
                <w:tcPr>
                  <w:tcW w:w="1274" w:type="pct"/>
                  <w:noWrap w:val="0"/>
                  <w:vAlign w:val="center"/>
                </w:tcPr>
                <w:p w14:paraId="65D7377F">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1.25</w:t>
                  </w:r>
                </w:p>
              </w:tc>
            </w:tr>
            <w:tr w14:paraId="19FD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711" w:type="pct"/>
                  <w:noWrap w:val="0"/>
                  <w:vAlign w:val="center"/>
                </w:tcPr>
                <w:p w14:paraId="06C71BE8">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w:t>
                  </w:r>
                </w:p>
              </w:tc>
              <w:tc>
                <w:tcPr>
                  <w:tcW w:w="1731" w:type="pct"/>
                  <w:noWrap w:val="0"/>
                  <w:vAlign w:val="center"/>
                </w:tcPr>
                <w:p w14:paraId="7DAB8EAE">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textAlignment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实际排烟温度</w:t>
                  </w:r>
                </w:p>
              </w:tc>
              <w:tc>
                <w:tcPr>
                  <w:tcW w:w="1282" w:type="pct"/>
                  <w:tcBorders>
                    <w:right w:val="single" w:color="auto" w:sz="4" w:space="0"/>
                  </w:tcBorders>
                  <w:noWrap w:val="0"/>
                  <w:vAlign w:val="center"/>
                </w:tcPr>
                <w:p w14:paraId="7F600B80">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1274" w:type="pct"/>
                  <w:noWrap w:val="0"/>
                  <w:vAlign w:val="center"/>
                </w:tcPr>
                <w:p w14:paraId="09D3E8A6">
                  <w:pPr>
                    <w:keepNext w:val="0"/>
                    <w:keepLines w:val="0"/>
                    <w:pageBreakBefore w:val="0"/>
                    <w:widowControl/>
                    <w:kinsoku/>
                    <w:wordWrap/>
                    <w:overflowPunct/>
                    <w:topLinePunct w:val="0"/>
                    <w:autoSpaceDE/>
                    <w:autoSpaceDN/>
                    <w:bidi w:val="0"/>
                    <w:adjustRightInd w:val="0"/>
                    <w:snapToGrid w:val="0"/>
                    <w:spacing w:before="63" w:beforeLines="20"/>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82.75</w:t>
                  </w:r>
                </w:p>
              </w:tc>
            </w:tr>
          </w:tbl>
          <w:p w14:paraId="079ACBBF">
            <w:pPr>
              <w:pStyle w:val="5"/>
              <w:keepNext/>
              <w:keepLines/>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项目原辅材料及资源、能源消耗</w:t>
            </w:r>
          </w:p>
          <w:p w14:paraId="2C5240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项目主要原辅材料及</w:t>
            </w:r>
            <w:r>
              <w:rPr>
                <w:rFonts w:hint="eastAsia"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资源、能源</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消耗见表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snapToGrid/>
                <w:color w:val="000000" w:themeColor="text1"/>
                <w:spacing w:val="0"/>
                <w:kern w:val="0"/>
                <w:position w:val="0"/>
                <w:sz w:val="24"/>
                <w:szCs w:val="24"/>
                <w:lang w:val="en-US" w:eastAsia="zh-CN"/>
                <w14:textFill>
                  <w14:solidFill>
                    <w14:schemeClr w14:val="tx1"/>
                  </w14:solidFill>
                </w14:textFill>
              </w:rPr>
              <w:t>.8</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p>
          <w:p w14:paraId="7E73B3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.8</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项目原辅材料及资源、能源消耗</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927"/>
              <w:gridCol w:w="1144"/>
              <w:gridCol w:w="1435"/>
              <w:gridCol w:w="1265"/>
              <w:gridCol w:w="1061"/>
              <w:gridCol w:w="972"/>
            </w:tblGrid>
            <w:tr w14:paraId="7BD5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398BBFD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t>名称</w:t>
                  </w:r>
                </w:p>
              </w:tc>
              <w:tc>
                <w:tcPr>
                  <w:tcW w:w="927" w:type="dxa"/>
                  <w:noWrap w:val="0"/>
                  <w:vAlign w:val="center"/>
                </w:tcPr>
                <w:p w14:paraId="442CC41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t>单位</w:t>
                  </w:r>
                </w:p>
              </w:tc>
              <w:tc>
                <w:tcPr>
                  <w:tcW w:w="1144" w:type="dxa"/>
                  <w:noWrap w:val="0"/>
                  <w:vAlign w:val="center"/>
                </w:tcPr>
                <w:p w14:paraId="4DAF645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lang w:val="en-US" w:eastAsia="zh-CN"/>
                      <w14:textFill>
                        <w14:solidFill>
                          <w14:schemeClr w14:val="tx1"/>
                        </w14:solidFill>
                      </w14:textFill>
                    </w:rPr>
                    <w:t>规格</w:t>
                  </w:r>
                </w:p>
              </w:tc>
              <w:tc>
                <w:tcPr>
                  <w:tcW w:w="1435" w:type="dxa"/>
                  <w:noWrap w:val="0"/>
                  <w:vAlign w:val="center"/>
                </w:tcPr>
                <w:p w14:paraId="4D77C12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用量</w:t>
                  </w:r>
                </w:p>
                <w:p w14:paraId="532947CC">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改</w:t>
                  </w:r>
                  <w:r>
                    <w:rPr>
                      <w:rFonts w:hint="eastAsia"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建</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前</w:t>
                  </w: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w:t>
                  </w:r>
                </w:p>
              </w:tc>
              <w:tc>
                <w:tcPr>
                  <w:tcW w:w="1265" w:type="dxa"/>
                  <w:noWrap w:val="0"/>
                  <w:vAlign w:val="center"/>
                </w:tcPr>
                <w:p w14:paraId="0868F54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Cs/>
                      <w:snapToGrid/>
                      <w:color w:val="000000" w:themeColor="text1"/>
                      <w:spacing w:val="0"/>
                      <w:kern w:val="0"/>
                      <w:position w:val="0"/>
                      <w:sz w:val="21"/>
                      <w:szCs w:val="21"/>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用量</w:t>
                  </w:r>
                </w:p>
                <w:p w14:paraId="3702287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14:textFill>
                        <w14:solidFill>
                          <w14:schemeClr w14:val="tx1"/>
                        </w14:solidFill>
                      </w14:textFill>
                    </w:rPr>
                  </w:pPr>
                  <w:r>
                    <w:rPr>
                      <w:rFonts w:hint="eastAsia"/>
                      <w:snapToGrid/>
                      <w:color w:val="000000" w:themeColor="text1"/>
                      <w:spacing w:val="0"/>
                      <w:kern w:val="0"/>
                      <w:position w:val="0"/>
                      <w:sz w:val="21"/>
                      <w:szCs w:val="21"/>
                      <w:lang w:eastAsia="zh-CN"/>
                      <w14:textFill>
                        <w14:solidFill>
                          <w14:schemeClr w14:val="tx1"/>
                        </w14:solidFill>
                      </w14:textFill>
                    </w:rPr>
                    <w:t>（</w:t>
                  </w:r>
                  <w:r>
                    <w:rPr>
                      <w:rFonts w:hint="eastAsia"/>
                      <w:snapToGrid/>
                      <w:color w:val="000000" w:themeColor="text1"/>
                      <w:spacing w:val="0"/>
                      <w:kern w:val="0"/>
                      <w:position w:val="0"/>
                      <w:sz w:val="21"/>
                      <w:szCs w:val="21"/>
                      <w:lang w:val="en-US" w:eastAsia="zh-CN"/>
                      <w14:textFill>
                        <w14:solidFill>
                          <w14:schemeClr w14:val="tx1"/>
                        </w14:solidFill>
                      </w14:textFill>
                    </w:rPr>
                    <w:t>改</w:t>
                  </w:r>
                  <w:r>
                    <w:rPr>
                      <w:rFonts w:hint="eastAsia"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建</w:t>
                  </w:r>
                  <w:r>
                    <w:rPr>
                      <w:rFonts w:hint="default"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后</w:t>
                  </w: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w:t>
                  </w:r>
                </w:p>
              </w:tc>
              <w:tc>
                <w:tcPr>
                  <w:tcW w:w="1061" w:type="dxa"/>
                  <w:noWrap w:val="0"/>
                  <w:vAlign w:val="center"/>
                </w:tcPr>
                <w:p w14:paraId="3AA32261">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pPr>
                  <w:r>
                    <w:rPr>
                      <w:rFonts w:hint="eastAsia" w:ascii="Times New Roman" w:hAnsi="Times New Roman" w:eastAsia="宋体" w:cs="Times New Roman"/>
                      <w:bCs/>
                      <w:snapToGrid/>
                      <w:color w:val="000000" w:themeColor="text1"/>
                      <w:spacing w:val="0"/>
                      <w:kern w:val="0"/>
                      <w:position w:val="0"/>
                      <w:sz w:val="21"/>
                      <w:szCs w:val="21"/>
                      <w:lang w:eastAsia="zh-CN"/>
                      <w14:textFill>
                        <w14:solidFill>
                          <w14:schemeClr w14:val="tx1"/>
                        </w14:solidFill>
                      </w14:textFill>
                    </w:rPr>
                    <w:t>用量</w:t>
                  </w:r>
                </w:p>
                <w:p w14:paraId="7999726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变化</w:t>
                  </w:r>
                </w:p>
              </w:tc>
              <w:tc>
                <w:tcPr>
                  <w:tcW w:w="972" w:type="dxa"/>
                  <w:noWrap w:val="0"/>
                  <w:vAlign w:val="center"/>
                </w:tcPr>
                <w:p w14:paraId="5625107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eastAsia="zh-CN"/>
                      <w14:textFill>
                        <w14:solidFill>
                          <w14:schemeClr w14:val="tx1"/>
                        </w14:solidFill>
                      </w14:textFill>
                    </w:rPr>
                    <w:t>备注</w:t>
                  </w:r>
                </w:p>
              </w:tc>
            </w:tr>
            <w:tr w14:paraId="767D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7" w:type="dxa"/>
                  <w:gridSpan w:val="7"/>
                  <w:noWrap w:val="0"/>
                  <w:vAlign w:val="center"/>
                </w:tcPr>
                <w:p w14:paraId="6AB12A5B">
                  <w:pPr>
                    <w:adjustRightInd w:val="0"/>
                    <w:snapToGrid w:val="0"/>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color w:val="000000" w:themeColor="text1"/>
                      <w14:textFill>
                        <w14:solidFill>
                          <w14:schemeClr w14:val="tx1"/>
                        </w14:solidFill>
                      </w14:textFill>
                    </w:rPr>
                    <w:t>主要原辅材料</w:t>
                  </w:r>
                  <w:r>
                    <w:rPr>
                      <w:rFonts w:hint="eastAsia"/>
                      <w:color w:val="000000" w:themeColor="text1"/>
                      <w:lang w:eastAsia="zh-CN"/>
                      <w14:textFill>
                        <w14:solidFill>
                          <w14:schemeClr w14:val="tx1"/>
                        </w14:solidFill>
                      </w14:textFill>
                    </w:rPr>
                    <w:t>消耗</w:t>
                  </w:r>
                </w:p>
              </w:tc>
            </w:tr>
            <w:tr w14:paraId="6E78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7B4ADC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苹果、黄桃、香菇、酥梨、草莓、蘑菇、胡萝卜、紫薯、芹菜、杏等新鲜果蔬</w:t>
                  </w:r>
                </w:p>
              </w:tc>
              <w:tc>
                <w:tcPr>
                  <w:tcW w:w="927" w:type="dxa"/>
                  <w:noWrap w:val="0"/>
                  <w:vAlign w:val="center"/>
                </w:tcPr>
                <w:p w14:paraId="3229C2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cs="Times New Roman"/>
                      <w:b w:val="0"/>
                      <w:bCs w:val="0"/>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52D4DC25">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43E66F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12000</w:t>
                  </w:r>
                </w:p>
              </w:tc>
              <w:tc>
                <w:tcPr>
                  <w:tcW w:w="1265" w:type="dxa"/>
                  <w:shd w:val="clear" w:color="auto" w:fill="auto"/>
                  <w:noWrap w:val="0"/>
                  <w:vAlign w:val="center"/>
                </w:tcPr>
                <w:p w14:paraId="700FE5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12000</w:t>
                  </w:r>
                </w:p>
              </w:tc>
              <w:tc>
                <w:tcPr>
                  <w:tcW w:w="1061" w:type="dxa"/>
                  <w:shd w:val="clear" w:color="auto" w:fill="auto"/>
                  <w:noWrap w:val="0"/>
                  <w:vAlign w:val="center"/>
                </w:tcPr>
                <w:p w14:paraId="57D21329">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25425B9C">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0A0F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3DE793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白糖</w:t>
                  </w:r>
                </w:p>
              </w:tc>
              <w:tc>
                <w:tcPr>
                  <w:tcW w:w="927" w:type="dxa"/>
                  <w:noWrap w:val="0"/>
                  <w:vAlign w:val="center"/>
                </w:tcPr>
                <w:p w14:paraId="0513584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65BA642">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20kg/袋装</w:t>
                  </w:r>
                </w:p>
              </w:tc>
              <w:tc>
                <w:tcPr>
                  <w:tcW w:w="1435" w:type="dxa"/>
                  <w:shd w:val="clear" w:color="auto" w:fill="auto"/>
                  <w:noWrap w:val="0"/>
                  <w:vAlign w:val="center"/>
                </w:tcPr>
                <w:p w14:paraId="07E070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2.0</w:t>
                  </w:r>
                </w:p>
              </w:tc>
              <w:tc>
                <w:tcPr>
                  <w:tcW w:w="1265" w:type="dxa"/>
                  <w:shd w:val="clear" w:color="auto" w:fill="auto"/>
                  <w:noWrap w:val="0"/>
                  <w:vAlign w:val="center"/>
                </w:tcPr>
                <w:p w14:paraId="386A61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2.0</w:t>
                  </w:r>
                </w:p>
              </w:tc>
              <w:tc>
                <w:tcPr>
                  <w:tcW w:w="1061" w:type="dxa"/>
                  <w:shd w:val="clear" w:color="auto" w:fill="auto"/>
                  <w:noWrap w:val="0"/>
                  <w:vAlign w:val="center"/>
                </w:tcPr>
                <w:p w14:paraId="267FCE42">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60619DC5">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5766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3D5D34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香辛料</w:t>
                  </w:r>
                </w:p>
              </w:tc>
              <w:tc>
                <w:tcPr>
                  <w:tcW w:w="927" w:type="dxa"/>
                  <w:noWrap w:val="0"/>
                  <w:vAlign w:val="center"/>
                </w:tcPr>
                <w:p w14:paraId="1BAE01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cs="Times New Roman"/>
                      <w:b w:val="0"/>
                      <w:bCs w:val="0"/>
                      <w:snapToGrid/>
                      <w:color w:val="000000" w:themeColor="text1"/>
                      <w:spacing w:val="0"/>
                      <w:kern w:val="0"/>
                      <w:position w:val="0"/>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4F3B0BC">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20kg/袋装</w:t>
                  </w:r>
                </w:p>
              </w:tc>
              <w:tc>
                <w:tcPr>
                  <w:tcW w:w="1435" w:type="dxa"/>
                  <w:shd w:val="clear" w:color="auto" w:fill="auto"/>
                  <w:noWrap w:val="0"/>
                  <w:vAlign w:val="center"/>
                </w:tcPr>
                <w:p w14:paraId="7BC2193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265" w:type="dxa"/>
                  <w:shd w:val="clear" w:color="auto" w:fill="auto"/>
                  <w:noWrap w:val="0"/>
                  <w:vAlign w:val="center"/>
                </w:tcPr>
                <w:p w14:paraId="313FB0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061" w:type="dxa"/>
                  <w:shd w:val="clear" w:color="auto" w:fill="auto"/>
                  <w:noWrap w:val="0"/>
                  <w:vAlign w:val="center"/>
                </w:tcPr>
                <w:p w14:paraId="3EBA5658">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5D9CD888">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2531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4DE6470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味精</w:t>
                  </w:r>
                </w:p>
              </w:tc>
              <w:tc>
                <w:tcPr>
                  <w:tcW w:w="927" w:type="dxa"/>
                  <w:noWrap w:val="0"/>
                  <w:vAlign w:val="center"/>
                </w:tcPr>
                <w:p w14:paraId="35A5AD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35FCED5">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4380B91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265" w:type="dxa"/>
                  <w:shd w:val="clear" w:color="auto" w:fill="auto"/>
                  <w:noWrap w:val="0"/>
                  <w:vAlign w:val="center"/>
                </w:tcPr>
                <w:p w14:paraId="5E88B2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1.5</w:t>
                  </w:r>
                </w:p>
              </w:tc>
              <w:tc>
                <w:tcPr>
                  <w:tcW w:w="1061" w:type="dxa"/>
                  <w:shd w:val="clear" w:color="auto" w:fill="auto"/>
                  <w:noWrap w:val="0"/>
                  <w:vAlign w:val="center"/>
                </w:tcPr>
                <w:p w14:paraId="478FD045">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07DF3332">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17D7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7C8CBE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PE袋、复合铝箔袋</w:t>
                  </w:r>
                </w:p>
              </w:tc>
              <w:tc>
                <w:tcPr>
                  <w:tcW w:w="927" w:type="dxa"/>
                  <w:noWrap w:val="0"/>
                  <w:vAlign w:val="center"/>
                </w:tcPr>
                <w:p w14:paraId="4C0EB1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3895B273">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61D532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1.8</w:t>
                  </w:r>
                </w:p>
              </w:tc>
              <w:tc>
                <w:tcPr>
                  <w:tcW w:w="1265" w:type="dxa"/>
                  <w:shd w:val="clear" w:color="auto" w:fill="auto"/>
                  <w:noWrap w:val="0"/>
                  <w:vAlign w:val="center"/>
                </w:tcPr>
                <w:p w14:paraId="726D55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1.8</w:t>
                  </w:r>
                </w:p>
              </w:tc>
              <w:tc>
                <w:tcPr>
                  <w:tcW w:w="1061" w:type="dxa"/>
                  <w:shd w:val="clear" w:color="auto" w:fill="auto"/>
                  <w:noWrap w:val="0"/>
                  <w:vAlign w:val="center"/>
                </w:tcPr>
                <w:p w14:paraId="0046EA80">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2429CFCC">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68AB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04B38B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干燥剂</w:t>
                  </w:r>
                </w:p>
              </w:tc>
              <w:tc>
                <w:tcPr>
                  <w:tcW w:w="927" w:type="dxa"/>
                  <w:noWrap w:val="0"/>
                  <w:vAlign w:val="center"/>
                </w:tcPr>
                <w:p w14:paraId="2E4768A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797BFC60">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25kg/袋装</w:t>
                  </w:r>
                </w:p>
              </w:tc>
              <w:tc>
                <w:tcPr>
                  <w:tcW w:w="1435" w:type="dxa"/>
                  <w:shd w:val="clear" w:color="auto" w:fill="auto"/>
                  <w:noWrap w:val="0"/>
                  <w:vAlign w:val="center"/>
                </w:tcPr>
                <w:p w14:paraId="49DF78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0.5</w:t>
                  </w:r>
                </w:p>
              </w:tc>
              <w:tc>
                <w:tcPr>
                  <w:tcW w:w="1265" w:type="dxa"/>
                  <w:shd w:val="clear" w:color="auto" w:fill="auto"/>
                  <w:noWrap w:val="0"/>
                  <w:vAlign w:val="center"/>
                </w:tcPr>
                <w:p w14:paraId="434C31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0.5</w:t>
                  </w:r>
                </w:p>
              </w:tc>
              <w:tc>
                <w:tcPr>
                  <w:tcW w:w="1061" w:type="dxa"/>
                  <w:shd w:val="clear" w:color="auto" w:fill="auto"/>
                  <w:noWrap w:val="0"/>
                  <w:vAlign w:val="center"/>
                </w:tcPr>
                <w:p w14:paraId="4A95B89E">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c>
                <w:tcPr>
                  <w:tcW w:w="972" w:type="dxa"/>
                  <w:noWrap w:val="0"/>
                  <w:vAlign w:val="center"/>
                </w:tcPr>
                <w:p w14:paraId="4561A6DD">
                  <w:pPr>
                    <w:adjustRightInd w:val="0"/>
                    <w:snapToGrid w:val="0"/>
                    <w:spacing w:line="240" w:lineRule="auto"/>
                    <w:jc w:val="center"/>
                    <w:rPr>
                      <w:rFonts w:hint="eastAsia" w:ascii="宋体" w:hAnsi="宋体" w:eastAsia="宋体" w:cs="宋体"/>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4DFE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shd w:val="clear" w:color="auto" w:fill="auto"/>
                  <w:noWrap w:val="0"/>
                  <w:vAlign w:val="center"/>
                </w:tcPr>
                <w:p w14:paraId="63C141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制冷剂</w:t>
                  </w:r>
                  <w:r>
                    <w:rPr>
                      <w:rFonts w:hint="eastAsia"/>
                      <w:color w:val="000000" w:themeColor="text1"/>
                      <w:sz w:val="21"/>
                      <w:szCs w:val="21"/>
                      <w:lang w:val="en-US" w:eastAsia="zh-CN"/>
                      <w14:textFill>
                        <w14:solidFill>
                          <w14:schemeClr w14:val="tx1"/>
                        </w14:solidFill>
                      </w14:textFill>
                    </w:rPr>
                    <w:t>R717</w:t>
                  </w:r>
                </w:p>
              </w:tc>
              <w:tc>
                <w:tcPr>
                  <w:tcW w:w="927" w:type="dxa"/>
                  <w:noWrap w:val="0"/>
                  <w:vAlign w:val="center"/>
                </w:tcPr>
                <w:p w14:paraId="1C3EB54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144" w:type="dxa"/>
                  <w:noWrap w:val="0"/>
                  <w:vAlign w:val="center"/>
                </w:tcPr>
                <w:p w14:paraId="6F0FBCC3">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w:t>
                  </w:r>
                </w:p>
              </w:tc>
              <w:tc>
                <w:tcPr>
                  <w:tcW w:w="1435" w:type="dxa"/>
                  <w:shd w:val="clear" w:color="auto" w:fill="auto"/>
                  <w:noWrap w:val="0"/>
                  <w:vAlign w:val="center"/>
                </w:tcPr>
                <w:p w14:paraId="4DBEC43A">
                  <w:pPr>
                    <w:spacing w:before="72" w:beforeLines="3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w:t>
                  </w:r>
                </w:p>
              </w:tc>
              <w:tc>
                <w:tcPr>
                  <w:tcW w:w="1265" w:type="dxa"/>
                  <w:shd w:val="clear" w:color="auto" w:fill="auto"/>
                  <w:noWrap w:val="0"/>
                  <w:vAlign w:val="center"/>
                </w:tcPr>
                <w:p w14:paraId="51B60748">
                  <w:pPr>
                    <w:spacing w:before="72" w:beforeLines="3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1061" w:type="dxa"/>
                  <w:shd w:val="clear" w:color="auto" w:fill="auto"/>
                  <w:noWrap w:val="0"/>
                  <w:vAlign w:val="center"/>
                </w:tcPr>
                <w:p w14:paraId="735B17CE">
                  <w:pPr>
                    <w:spacing w:before="72" w:beforeLines="3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972" w:type="dxa"/>
                  <w:noWrap w:val="0"/>
                  <w:vAlign w:val="center"/>
                </w:tcPr>
                <w:p w14:paraId="74115EF0">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4AA4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7" w:type="dxa"/>
                  <w:gridSpan w:val="7"/>
                  <w:shd w:val="clear" w:color="auto" w:fill="auto"/>
                  <w:noWrap w:val="0"/>
                  <w:vAlign w:val="center"/>
                </w:tcPr>
                <w:p w14:paraId="25457F14">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资源、能源消耗</w:t>
                  </w:r>
                </w:p>
              </w:tc>
            </w:tr>
            <w:tr w14:paraId="5CC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03462EB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水</w:t>
                  </w:r>
                </w:p>
              </w:tc>
              <w:tc>
                <w:tcPr>
                  <w:tcW w:w="927" w:type="dxa"/>
                  <w:noWrap w:val="0"/>
                  <w:vAlign w:val="center"/>
                </w:tcPr>
                <w:p w14:paraId="33FAEF5C">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t/a</w:t>
                  </w:r>
                </w:p>
              </w:tc>
              <w:tc>
                <w:tcPr>
                  <w:tcW w:w="1144" w:type="dxa"/>
                  <w:noWrap w:val="0"/>
                  <w:vAlign w:val="center"/>
                </w:tcPr>
                <w:p w14:paraId="74EFBC8E">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435" w:type="dxa"/>
                  <w:noWrap w:val="0"/>
                  <w:vAlign w:val="center"/>
                </w:tcPr>
                <w:p w14:paraId="30B793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30412.8</w:t>
                  </w:r>
                </w:p>
              </w:tc>
              <w:tc>
                <w:tcPr>
                  <w:tcW w:w="1265" w:type="dxa"/>
                  <w:noWrap w:val="0"/>
                  <w:vAlign w:val="center"/>
                </w:tcPr>
                <w:p w14:paraId="2D0BCE7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32855.44</w:t>
                  </w:r>
                </w:p>
              </w:tc>
              <w:tc>
                <w:tcPr>
                  <w:tcW w:w="1061" w:type="dxa"/>
                  <w:noWrap w:val="0"/>
                  <w:vAlign w:val="center"/>
                </w:tcPr>
                <w:p w14:paraId="5B91093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+2442.64</w:t>
                  </w:r>
                </w:p>
              </w:tc>
              <w:tc>
                <w:tcPr>
                  <w:tcW w:w="972" w:type="dxa"/>
                  <w:noWrap w:val="0"/>
                  <w:vAlign w:val="center"/>
                </w:tcPr>
                <w:p w14:paraId="7475B73B">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1"/>
                      <w:szCs w:val="21"/>
                      <w:vertAlign w:val="baseline"/>
                      <w:lang w:eastAsia="zh-CN"/>
                      <w14:textFill>
                        <w14:solidFill>
                          <w14:schemeClr w14:val="tx1"/>
                        </w14:solidFill>
                      </w14:textFill>
                    </w:rPr>
                    <w:t>市政供水</w:t>
                  </w:r>
                  <w:r>
                    <w:rPr>
                      <w:rFonts w:hint="default" w:ascii="Times New Roman" w:hAnsi="Times New Roman" w:eastAsia="宋体" w:cs="Times New Roman"/>
                      <w:snapToGrid/>
                      <w:color w:val="000000" w:themeColor="text1"/>
                      <w:spacing w:val="0"/>
                      <w:kern w:val="0"/>
                      <w:position w:val="0"/>
                      <w:sz w:val="21"/>
                      <w:szCs w:val="21"/>
                      <w:vertAlign w:val="baseline"/>
                      <w:lang w:eastAsia="zh-CN"/>
                      <w14:textFill>
                        <w14:solidFill>
                          <w14:schemeClr w14:val="tx1"/>
                        </w14:solidFill>
                      </w14:textFill>
                    </w:rPr>
                    <w:t>管网</w:t>
                  </w:r>
                </w:p>
              </w:tc>
            </w:tr>
            <w:tr w14:paraId="739D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5368FFA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电</w:t>
                  </w:r>
                </w:p>
              </w:tc>
              <w:tc>
                <w:tcPr>
                  <w:tcW w:w="927" w:type="dxa"/>
                  <w:noWrap w:val="0"/>
                  <w:vAlign w:val="center"/>
                </w:tcPr>
                <w:p w14:paraId="20D96333">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万</w:t>
                  </w: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kW</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h/a</w:t>
                  </w:r>
                </w:p>
              </w:tc>
              <w:tc>
                <w:tcPr>
                  <w:tcW w:w="1144" w:type="dxa"/>
                  <w:noWrap w:val="0"/>
                  <w:vAlign w:val="center"/>
                </w:tcPr>
                <w:p w14:paraId="1EBD65C9">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435" w:type="dxa"/>
                  <w:noWrap w:val="0"/>
                  <w:vAlign w:val="center"/>
                </w:tcPr>
                <w:p w14:paraId="163532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188.67</w:t>
                  </w:r>
                </w:p>
              </w:tc>
              <w:tc>
                <w:tcPr>
                  <w:tcW w:w="1265" w:type="dxa"/>
                  <w:noWrap w:val="0"/>
                  <w:vAlign w:val="center"/>
                </w:tcPr>
                <w:p w14:paraId="7352AB07">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446.27</w:t>
                  </w:r>
                </w:p>
              </w:tc>
              <w:tc>
                <w:tcPr>
                  <w:tcW w:w="1061" w:type="dxa"/>
                  <w:noWrap w:val="0"/>
                  <w:vAlign w:val="center"/>
                </w:tcPr>
                <w:p w14:paraId="0245109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+257.6</w:t>
                  </w:r>
                </w:p>
              </w:tc>
              <w:tc>
                <w:tcPr>
                  <w:tcW w:w="972" w:type="dxa"/>
                  <w:noWrap w:val="0"/>
                  <w:vAlign w:val="center"/>
                </w:tcPr>
                <w:p w14:paraId="3C1A79A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市政</w:t>
                  </w:r>
                  <w:r>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供电管网</w:t>
                  </w:r>
                </w:p>
              </w:tc>
            </w:tr>
            <w:tr w14:paraId="0CA0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noWrap w:val="0"/>
                  <w:vAlign w:val="center"/>
                </w:tcPr>
                <w:p w14:paraId="31802DD5">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eastAsia" w:cs="Times New Roman"/>
                      <w:snapToGrid/>
                      <w:color w:val="000000" w:themeColor="text1"/>
                      <w:spacing w:val="0"/>
                      <w:kern w:val="0"/>
                      <w:position w:val="0"/>
                      <w:sz w:val="21"/>
                      <w:szCs w:val="21"/>
                      <w:lang w:eastAsia="zh-CN"/>
                      <w14:textFill>
                        <w14:solidFill>
                          <w14:schemeClr w14:val="tx1"/>
                        </w14:solidFill>
                      </w14:textFill>
                    </w:rPr>
                    <w:t>天然气</w:t>
                  </w:r>
                </w:p>
              </w:tc>
              <w:tc>
                <w:tcPr>
                  <w:tcW w:w="927" w:type="dxa"/>
                  <w:noWrap w:val="0"/>
                  <w:vAlign w:val="center"/>
                </w:tcPr>
                <w:p w14:paraId="6F91A69F">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eastAsia" w:cs="Times New Roman"/>
                      <w:snapToGrid/>
                      <w:color w:val="000000" w:themeColor="text1"/>
                      <w:spacing w:val="0"/>
                      <w:kern w:val="0"/>
                      <w:position w:val="0"/>
                      <w:sz w:val="21"/>
                      <w:szCs w:val="21"/>
                      <w:lang w:eastAsia="zh-CN"/>
                      <w14:textFill>
                        <w14:solidFill>
                          <w14:schemeClr w14:val="tx1"/>
                        </w14:solidFill>
                      </w14:textFill>
                    </w:rPr>
                    <w:t>万</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m</w:t>
                  </w:r>
                  <w:r>
                    <w:rPr>
                      <w:rFonts w:hint="default" w:ascii="Times New Roman" w:hAnsi="Times New Roman" w:eastAsia="宋体" w:cs="Times New Roman"/>
                      <w:snapToGrid/>
                      <w:color w:val="000000" w:themeColor="text1"/>
                      <w:spacing w:val="0"/>
                      <w:kern w:val="0"/>
                      <w:position w:val="0"/>
                      <w:sz w:val="21"/>
                      <w:szCs w:val="21"/>
                      <w:vertAlign w:val="superscript"/>
                      <w:lang w:eastAsia="zh-CN"/>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/a</w:t>
                  </w:r>
                </w:p>
              </w:tc>
              <w:tc>
                <w:tcPr>
                  <w:tcW w:w="1144" w:type="dxa"/>
                  <w:noWrap w:val="0"/>
                  <w:vAlign w:val="center"/>
                </w:tcPr>
                <w:p w14:paraId="4642E05F">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435" w:type="dxa"/>
                  <w:noWrap w:val="0"/>
                  <w:vAlign w:val="center"/>
                </w:tcPr>
                <w:p w14:paraId="00CE5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4.2</w:t>
                  </w:r>
                </w:p>
              </w:tc>
              <w:tc>
                <w:tcPr>
                  <w:tcW w:w="1265" w:type="dxa"/>
                  <w:noWrap w:val="0"/>
                  <w:vAlign w:val="center"/>
                </w:tcPr>
                <w:p w14:paraId="5275CBEB">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166.32</w:t>
                  </w:r>
                </w:p>
              </w:tc>
              <w:tc>
                <w:tcPr>
                  <w:tcW w:w="1061" w:type="dxa"/>
                  <w:noWrap w:val="0"/>
                  <w:vAlign w:val="center"/>
                </w:tcPr>
                <w:p w14:paraId="06BDEF20">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+161.12</w:t>
                  </w:r>
                </w:p>
              </w:tc>
              <w:tc>
                <w:tcPr>
                  <w:tcW w:w="972" w:type="dxa"/>
                  <w:noWrap w:val="0"/>
                  <w:vAlign w:val="center"/>
                </w:tcPr>
                <w:p w14:paraId="4D69BF5F">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eastAsia" w:cs="Times New Roman"/>
                      <w:snapToGrid/>
                      <w:color w:val="000000" w:themeColor="text1"/>
                      <w:spacing w:val="0"/>
                      <w:kern w:val="0"/>
                      <w:position w:val="0"/>
                      <w:sz w:val="21"/>
                      <w:szCs w:val="21"/>
                      <w:lang w:eastAsia="zh-CN"/>
                      <w14:textFill>
                        <w14:solidFill>
                          <w14:schemeClr w14:val="tx1"/>
                        </w14:solidFill>
                      </w14:textFill>
                    </w:rPr>
                    <w:t>天然气管网</w:t>
                  </w:r>
                </w:p>
              </w:tc>
            </w:tr>
          </w:tbl>
          <w:p w14:paraId="04AF8E7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eastAsia" w:ascii="Times New Roman" w:hAnsi="Times New Roman"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天然气用量核算：</w:t>
            </w:r>
          </w:p>
          <w:p w14:paraId="533638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eastAsia="zh-CN"/>
                <w14:textFill>
                  <w14:solidFill>
                    <w14:schemeClr w14:val="tx1"/>
                  </w14:solidFill>
                </w14:textFill>
              </w:rPr>
              <w:t>根据企业提供资料信息，企业满负荷生产状态下，蒸汽用量为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9t/h，锅炉年运行2640h，即年需蒸汽量为23760t/a。</w:t>
            </w:r>
          </w:p>
          <w:p w14:paraId="667E22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一吨水变成蒸汽所需吸收热量为60万大卡，本项目所用天然气热值为</w:t>
            </w:r>
            <w:r>
              <w:rPr>
                <w:rFonts w:hint="default"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7.3564</w:t>
            </w:r>
            <w:r>
              <w:rPr>
                <w:rFonts w:hint="default" w:ascii="Times New Roman" w:hAnsi="Times New Roman" w:cs="Times New Roman"/>
                <w:color w:val="000000" w:themeColor="text1"/>
                <w:sz w:val="24"/>
                <w:szCs w:val="24"/>
                <w14:textFill>
                  <w14:solidFill>
                    <w14:schemeClr w14:val="tx1"/>
                  </w14:solidFill>
                </w14:textFill>
              </w:rPr>
              <w:t>MJ/m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vertAlign w:val="baseline"/>
                <w:lang w:eastAsia="zh-CN"/>
                <w14:textFill>
                  <w14:solidFill>
                    <w14:schemeClr w14:val="tx1"/>
                  </w14:solidFill>
                </w14:textFill>
              </w:rPr>
              <w:t>，即</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8937大卡/m</w:t>
            </w:r>
            <w:r>
              <w:rPr>
                <w:rFonts w:hint="eastAsia"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，所使用燃气蒸汽锅炉热效率为96.98%，经计算可得每把</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一吨水变成蒸汽所需天然气量约为70m</w:t>
            </w:r>
            <w:r>
              <w:rPr>
                <w:rFonts w:hint="eastAsia"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28968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项目年所需蒸汽量为23760t/a，所对应需要天然气用量为166.32万m</w:t>
            </w:r>
            <w:r>
              <w:rPr>
                <w:rFonts w:hint="eastAsia" w:ascii="Times New Roman" w:hAnsi="Times New Roman" w:cs="Times New Roman"/>
                <w:b w:val="0"/>
                <w:bCs w:val="0"/>
                <w:color w:val="000000" w:themeColor="text1"/>
                <w:sz w:val="24"/>
                <w:szCs w:val="24"/>
                <w:vertAlign w:val="superscript"/>
                <w:lang w:val="en-US" w:eastAsia="zh-CN"/>
                <w14:textFill>
                  <w14:solidFill>
                    <w14:schemeClr w14:val="tx1"/>
                  </w14:solidFill>
                </w14:textFill>
              </w:rPr>
              <w:t>3</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p>
          <w:p w14:paraId="3AC81A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eastAsia="zh-CN"/>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2.9  天然气参数一览表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379"/>
              <w:gridCol w:w="1379"/>
              <w:gridCol w:w="1379"/>
              <w:gridCol w:w="1380"/>
              <w:gridCol w:w="1382"/>
            </w:tblGrid>
            <w:tr w14:paraId="66F3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5CD5829E">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组分</w:t>
                  </w:r>
                </w:p>
              </w:tc>
              <w:tc>
                <w:tcPr>
                  <w:tcW w:w="1474" w:type="dxa"/>
                  <w:noWrap w:val="0"/>
                  <w:vAlign w:val="center"/>
                </w:tcPr>
                <w:p w14:paraId="2AE36109">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CH</w:t>
                  </w:r>
                  <w:r>
                    <w:rPr>
                      <w:rFonts w:hint="default" w:ascii="Times New Roman" w:hAnsi="Times New Roman" w:cs="Times New Roman"/>
                      <w:color w:val="000000" w:themeColor="text1"/>
                      <w:vertAlign w:val="subscript"/>
                      <w14:textFill>
                        <w14:solidFill>
                          <w14:schemeClr w14:val="tx1"/>
                        </w14:solidFill>
                      </w14:textFill>
                    </w:rPr>
                    <w:t>4</w:t>
                  </w:r>
                </w:p>
              </w:tc>
              <w:tc>
                <w:tcPr>
                  <w:tcW w:w="1474" w:type="dxa"/>
                  <w:noWrap w:val="0"/>
                  <w:vAlign w:val="center"/>
                </w:tcPr>
                <w:p w14:paraId="15D7A0E9">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6</w:t>
                  </w:r>
                </w:p>
              </w:tc>
              <w:tc>
                <w:tcPr>
                  <w:tcW w:w="1474" w:type="dxa"/>
                  <w:noWrap w:val="0"/>
                  <w:vAlign w:val="center"/>
                </w:tcPr>
                <w:p w14:paraId="2CF9BFA1">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H</w:t>
                  </w:r>
                  <w:r>
                    <w:rPr>
                      <w:rFonts w:hint="default" w:ascii="Times New Roman" w:hAnsi="Times New Roman" w:cs="Times New Roman"/>
                      <w:color w:val="000000" w:themeColor="text1"/>
                      <w:vertAlign w:val="subscript"/>
                      <w14:textFill>
                        <w14:solidFill>
                          <w14:schemeClr w14:val="tx1"/>
                        </w14:solidFill>
                      </w14:textFill>
                    </w:rPr>
                    <w:t>8</w:t>
                  </w:r>
                </w:p>
              </w:tc>
              <w:tc>
                <w:tcPr>
                  <w:tcW w:w="1474" w:type="dxa"/>
                  <w:noWrap w:val="0"/>
                  <w:vAlign w:val="center"/>
                </w:tcPr>
                <w:p w14:paraId="3E69320E">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i-</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10</w:t>
                  </w:r>
                </w:p>
              </w:tc>
              <w:tc>
                <w:tcPr>
                  <w:tcW w:w="1476" w:type="dxa"/>
                  <w:noWrap w:val="0"/>
                  <w:vAlign w:val="center"/>
                </w:tcPr>
                <w:p w14:paraId="1292A553">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n-</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10</w:t>
                  </w:r>
                </w:p>
              </w:tc>
            </w:tr>
            <w:tr w14:paraId="02E4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4D0EDB05">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含量</w:t>
                  </w:r>
                </w:p>
              </w:tc>
              <w:tc>
                <w:tcPr>
                  <w:tcW w:w="1474" w:type="dxa"/>
                  <w:noWrap w:val="0"/>
                  <w:vAlign w:val="center"/>
                </w:tcPr>
                <w:p w14:paraId="4E45C426">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95.2060</w:t>
                  </w:r>
                </w:p>
              </w:tc>
              <w:tc>
                <w:tcPr>
                  <w:tcW w:w="1474" w:type="dxa"/>
                  <w:noWrap w:val="0"/>
                  <w:vAlign w:val="center"/>
                </w:tcPr>
                <w:p w14:paraId="11A4892F">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2.6255</w:t>
                  </w:r>
                </w:p>
              </w:tc>
              <w:tc>
                <w:tcPr>
                  <w:tcW w:w="1474" w:type="dxa"/>
                  <w:noWrap w:val="0"/>
                  <w:vAlign w:val="center"/>
                </w:tcPr>
                <w:p w14:paraId="54C483A3">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0.1613</w:t>
                  </w:r>
                </w:p>
              </w:tc>
              <w:tc>
                <w:tcPr>
                  <w:tcW w:w="1474" w:type="dxa"/>
                  <w:noWrap w:val="0"/>
                  <w:vAlign w:val="center"/>
                </w:tcPr>
                <w:p w14:paraId="33F99E2C">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0.0231</w:t>
                  </w:r>
                </w:p>
              </w:tc>
              <w:tc>
                <w:tcPr>
                  <w:tcW w:w="1476" w:type="dxa"/>
                  <w:noWrap w:val="0"/>
                  <w:vAlign w:val="center"/>
                </w:tcPr>
                <w:p w14:paraId="3B27FB6C">
                  <w:pPr>
                    <w:pStyle w:val="47"/>
                    <w:spacing w:line="240" w:lineRule="auto"/>
                    <w:ind w:firstLine="0" w:firstLineChars="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0.0281</w:t>
                  </w:r>
                </w:p>
              </w:tc>
            </w:tr>
            <w:tr w14:paraId="7710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512B93E2">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组分</w:t>
                  </w:r>
                </w:p>
              </w:tc>
              <w:tc>
                <w:tcPr>
                  <w:tcW w:w="1474" w:type="dxa"/>
                  <w:noWrap w:val="0"/>
                  <w:vAlign w:val="center"/>
                </w:tcPr>
                <w:p w14:paraId="5D461504">
                  <w:pPr>
                    <w:pStyle w:val="47"/>
                    <w:spacing w:line="240" w:lineRule="auto"/>
                    <w:ind w:firstLine="0" w:firstLineChars="0"/>
                    <w:rPr>
                      <w:rFonts w:hint="default" w:ascii="Times New Roman"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i-</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12</w:t>
                  </w:r>
                </w:p>
              </w:tc>
              <w:tc>
                <w:tcPr>
                  <w:tcW w:w="1474" w:type="dxa"/>
                  <w:noWrap w:val="0"/>
                  <w:vAlign w:val="center"/>
                </w:tcPr>
                <w:p w14:paraId="7AD58C7B">
                  <w:pPr>
                    <w:pStyle w:val="47"/>
                    <w:spacing w:line="240" w:lineRule="auto"/>
                    <w:ind w:firstLine="0" w:firstLineChars="0"/>
                    <w:rPr>
                      <w:rFonts w:hint="eastAsia" w:ascii="Times New Roman" w:hAnsi="Times New Roman"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n-</w:t>
                  </w:r>
                  <w:r>
                    <w:rPr>
                      <w:rFonts w:hint="default"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H</w:t>
                  </w:r>
                  <w:r>
                    <w:rPr>
                      <w:rFonts w:hint="eastAsia" w:ascii="Times New Roman" w:hAnsi="Times New Roman" w:cs="Times New Roman"/>
                      <w:color w:val="000000" w:themeColor="text1"/>
                      <w:vertAlign w:val="subscript"/>
                      <w:lang w:val="en-US" w:eastAsia="zh-CN"/>
                      <w14:textFill>
                        <w14:solidFill>
                          <w14:schemeClr w14:val="tx1"/>
                        </w14:solidFill>
                      </w14:textFill>
                    </w:rPr>
                    <w:t>12</w:t>
                  </w:r>
                </w:p>
              </w:tc>
              <w:tc>
                <w:tcPr>
                  <w:tcW w:w="1474" w:type="dxa"/>
                  <w:noWrap w:val="0"/>
                  <w:vAlign w:val="center"/>
                </w:tcPr>
                <w:p w14:paraId="1360F563">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C</w:t>
                  </w:r>
                  <w:r>
                    <w:rPr>
                      <w:rFonts w:hint="eastAsia" w:ascii="Times New Roman" w:hAnsi="Times New Roman" w:cs="Times New Roman"/>
                      <w:color w:val="000000" w:themeColor="text1"/>
                      <w:vertAlign w:val="subscript"/>
                      <w:lang w:val="en-US" w:eastAsia="zh-CN"/>
                      <w14:textFill>
                        <w14:solidFill>
                          <w14:schemeClr w14:val="tx1"/>
                        </w14:solidFill>
                      </w14:textFill>
                    </w:rPr>
                    <w:t>6</w:t>
                  </w:r>
                  <w:r>
                    <w:rPr>
                      <w:rFonts w:hint="eastAsia" w:ascii="Times New Roman" w:hAnsi="Times New Roman" w:cs="Times New Roman"/>
                      <w:color w:val="000000" w:themeColor="text1"/>
                      <w:vertAlign w:val="superscript"/>
                      <w:lang w:val="en-US" w:eastAsia="zh-CN"/>
                      <w14:textFill>
                        <w14:solidFill>
                          <w14:schemeClr w14:val="tx1"/>
                        </w14:solidFill>
                      </w14:textFill>
                    </w:rPr>
                    <w:t>+</w:t>
                  </w:r>
                </w:p>
              </w:tc>
              <w:tc>
                <w:tcPr>
                  <w:tcW w:w="1474" w:type="dxa"/>
                  <w:noWrap w:val="0"/>
                  <w:vAlign w:val="center"/>
                </w:tcPr>
                <w:p w14:paraId="011B796E">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CO</w:t>
                  </w:r>
                  <w:r>
                    <w:rPr>
                      <w:rFonts w:hint="default" w:ascii="Times New Roman" w:hAnsi="Times New Roman" w:cs="Times New Roman"/>
                      <w:color w:val="000000" w:themeColor="text1"/>
                      <w:vertAlign w:val="subscript"/>
                      <w14:textFill>
                        <w14:solidFill>
                          <w14:schemeClr w14:val="tx1"/>
                        </w14:solidFill>
                      </w14:textFill>
                    </w:rPr>
                    <w:t>2</w:t>
                  </w:r>
                </w:p>
              </w:tc>
              <w:tc>
                <w:tcPr>
                  <w:tcW w:w="1476" w:type="dxa"/>
                  <w:noWrap w:val="0"/>
                  <w:vAlign w:val="center"/>
                </w:tcPr>
                <w:p w14:paraId="25358DD8">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N</w:t>
                  </w:r>
                  <w:r>
                    <w:rPr>
                      <w:rFonts w:hint="default" w:ascii="Times New Roman" w:hAnsi="Times New Roman" w:cs="Times New Roman"/>
                      <w:color w:val="000000" w:themeColor="text1"/>
                      <w:vertAlign w:val="subscript"/>
                      <w14:textFill>
                        <w14:solidFill>
                          <w14:schemeClr w14:val="tx1"/>
                        </w14:solidFill>
                      </w14:textFill>
                    </w:rPr>
                    <w:t>2</w:t>
                  </w:r>
                </w:p>
              </w:tc>
            </w:tr>
            <w:tr w14:paraId="0F49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1CA54E52">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含量</w:t>
                  </w:r>
                </w:p>
              </w:tc>
              <w:tc>
                <w:tcPr>
                  <w:tcW w:w="1474" w:type="dxa"/>
                  <w:noWrap w:val="0"/>
                  <w:vAlign w:val="center"/>
                </w:tcPr>
                <w:p w14:paraId="397DD221">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0.0106</w:t>
                  </w:r>
                </w:p>
              </w:tc>
              <w:tc>
                <w:tcPr>
                  <w:tcW w:w="1474" w:type="dxa"/>
                  <w:noWrap w:val="0"/>
                  <w:vAlign w:val="center"/>
                </w:tcPr>
                <w:p w14:paraId="21AD6D74">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0.0080</w:t>
                  </w:r>
                </w:p>
              </w:tc>
              <w:tc>
                <w:tcPr>
                  <w:tcW w:w="1474" w:type="dxa"/>
                  <w:noWrap w:val="0"/>
                  <w:vAlign w:val="center"/>
                </w:tcPr>
                <w:p w14:paraId="6CB60D91">
                  <w:pPr>
                    <w:pStyle w:val="47"/>
                    <w:spacing w:line="240" w:lineRule="auto"/>
                    <w:ind w:firstLine="0" w:firstLineChars="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0.0407</w:t>
                  </w:r>
                </w:p>
              </w:tc>
              <w:tc>
                <w:tcPr>
                  <w:tcW w:w="1474" w:type="dxa"/>
                  <w:noWrap w:val="0"/>
                  <w:vAlign w:val="center"/>
                </w:tcPr>
                <w:p w14:paraId="44385228">
                  <w:pPr>
                    <w:pStyle w:val="47"/>
                    <w:spacing w:line="240" w:lineRule="auto"/>
                    <w:ind w:firstLine="0" w:firstLineChars="0"/>
                    <w:rPr>
                      <w:rFonts w:hint="default" w:ascii="Times New Roman"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1"/>
                      <w:szCs w:val="24"/>
                      <w:lang w:val="en-US" w:eastAsia="zh-CN" w:bidi="ar-SA"/>
                      <w14:textFill>
                        <w14:solidFill>
                          <w14:schemeClr w14:val="tx1"/>
                        </w14:solidFill>
                      </w14:textFill>
                    </w:rPr>
                    <w:t>0.8002</w:t>
                  </w:r>
                </w:p>
              </w:tc>
              <w:tc>
                <w:tcPr>
                  <w:tcW w:w="1476" w:type="dxa"/>
                  <w:noWrap w:val="0"/>
                  <w:vAlign w:val="center"/>
                </w:tcPr>
                <w:p w14:paraId="3066DA5E">
                  <w:pPr>
                    <w:pStyle w:val="47"/>
                    <w:spacing w:line="240" w:lineRule="auto"/>
                    <w:ind w:firstLine="0" w:firstLineChars="0"/>
                    <w:rPr>
                      <w:rFonts w:hint="default" w:ascii="Times New Roman" w:hAnsi="Times New Roman" w:cs="Times New Roman"/>
                      <w:color w:val="000000" w:themeColor="text1"/>
                      <w:kern w:val="0"/>
                      <w:sz w:val="21"/>
                      <w:szCs w:val="24"/>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1.0965</w:t>
                  </w:r>
                </w:p>
              </w:tc>
            </w:tr>
            <w:tr w14:paraId="1EA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4CBEAEB1">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绝对密度</w:t>
                  </w:r>
                </w:p>
              </w:tc>
              <w:tc>
                <w:tcPr>
                  <w:tcW w:w="7372" w:type="dxa"/>
                  <w:gridSpan w:val="5"/>
                  <w:noWrap w:val="0"/>
                  <w:vAlign w:val="center"/>
                </w:tcPr>
                <w:p w14:paraId="54690E6E">
                  <w:pPr>
                    <w:pStyle w:val="47"/>
                    <w:spacing w:line="240" w:lineRule="auto"/>
                    <w:ind w:firstLine="42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w:t>
                  </w:r>
                  <w:r>
                    <w:rPr>
                      <w:rFonts w:hint="eastAsia" w:ascii="Times New Roman" w:hAnsi="Times New Roman" w:cs="Times New Roman"/>
                      <w:color w:val="000000" w:themeColor="text1"/>
                      <w:lang w:val="en-US" w:eastAsia="zh-CN"/>
                      <w14:textFill>
                        <w14:solidFill>
                          <w14:schemeClr w14:val="tx1"/>
                        </w14:solidFill>
                      </w14:textFill>
                    </w:rPr>
                    <w:t>028</w:t>
                  </w:r>
                </w:p>
              </w:tc>
            </w:tr>
            <w:tr w14:paraId="2224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73" w:type="dxa"/>
                  <w:noWrap w:val="0"/>
                  <w:vAlign w:val="center"/>
                </w:tcPr>
                <w:p w14:paraId="0E932F0F">
                  <w:pPr>
                    <w:pStyle w:val="47"/>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高位热值</w:t>
                  </w:r>
                </w:p>
              </w:tc>
              <w:tc>
                <w:tcPr>
                  <w:tcW w:w="7372" w:type="dxa"/>
                  <w:gridSpan w:val="5"/>
                  <w:noWrap w:val="0"/>
                  <w:vAlign w:val="center"/>
                </w:tcPr>
                <w:p w14:paraId="5B4386BD">
                  <w:pPr>
                    <w:pStyle w:val="47"/>
                    <w:spacing w:line="240" w:lineRule="auto"/>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7.3564</w:t>
                  </w:r>
                  <w:r>
                    <w:rPr>
                      <w:rFonts w:hint="default" w:ascii="Times New Roman" w:hAnsi="Times New Roman" w:cs="Times New Roman"/>
                      <w:color w:val="000000" w:themeColor="text1"/>
                      <w14:textFill>
                        <w14:solidFill>
                          <w14:schemeClr w14:val="tx1"/>
                        </w14:solidFill>
                      </w14:textFill>
                    </w:rPr>
                    <w:t>（MJ/m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w:t>
                  </w:r>
                </w:p>
              </w:tc>
            </w:tr>
          </w:tbl>
          <w:p w14:paraId="6DD67D63">
            <w:pPr>
              <w:keepNext w:val="0"/>
              <w:keepLines w:val="0"/>
              <w:pageBreakBefore w:val="0"/>
              <w:widowControl w:val="0"/>
              <w:kinsoku/>
              <w:wordWrap/>
              <w:overflowPunct/>
              <w:topLinePunct w:val="0"/>
              <w:autoSpaceDE/>
              <w:autoSpaceDN/>
              <w:bidi w:val="0"/>
              <w:adjustRightInd w:val="0"/>
              <w:snapToGrid w:val="0"/>
              <w:spacing w:before="157" w:beforeLines="50" w:line="360" w:lineRule="auto"/>
              <w:ind w:right="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5、水平衡分析</w:t>
            </w:r>
          </w:p>
          <w:p w14:paraId="1CDD84D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本项目营运期</w:t>
            </w:r>
            <w:r>
              <w:rPr>
                <w:rFonts w:hint="eastAsia" w:cs="Times New Roman"/>
                <w:color w:val="000000" w:themeColor="text1"/>
                <w:sz w:val="24"/>
                <w:szCs w:val="24"/>
                <w:highlight w:val="none"/>
                <w:lang w:eastAsia="zh-CN"/>
                <w14:textFill>
                  <w14:solidFill>
                    <w14:schemeClr w14:val="tx1"/>
                  </w14:solidFill>
                </w14:textFill>
              </w:rPr>
              <w:t>用水</w:t>
            </w:r>
            <w:r>
              <w:rPr>
                <w:rFonts w:hint="default" w:ascii="Times New Roman" w:hAnsi="Times New Roman" w:eastAsia="宋体" w:cs="Times New Roman"/>
                <w:color w:val="000000" w:themeColor="text1"/>
                <w:sz w:val="24"/>
                <w:szCs w:val="24"/>
                <w:highlight w:val="none"/>
                <w14:textFill>
                  <w14:solidFill>
                    <w14:schemeClr w14:val="tx1"/>
                  </w14:solidFill>
                </w14:textFill>
              </w:rPr>
              <w:t>主要为</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生活</w:t>
            </w:r>
            <w:r>
              <w:rPr>
                <w:rFonts w:hint="eastAsia" w:cs="Times New Roman"/>
                <w:color w:val="000000" w:themeColor="text1"/>
                <w:sz w:val="24"/>
                <w:szCs w:val="24"/>
                <w:highlight w:val="none"/>
                <w:lang w:eastAsia="zh-CN"/>
                <w14:textFill>
                  <w14:solidFill>
                    <w14:schemeClr w14:val="tx1"/>
                  </w14:solidFill>
                </w14:textFill>
              </w:rPr>
              <w:t>用</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水、</w:t>
            </w:r>
            <w:r>
              <w:rPr>
                <w:rFonts w:hint="eastAsia" w:cs="Times New Roman"/>
                <w:color w:val="000000" w:themeColor="text1"/>
                <w:sz w:val="24"/>
                <w:szCs w:val="24"/>
                <w:highlight w:val="none"/>
                <w:lang w:eastAsia="zh-CN"/>
                <w14:textFill>
                  <w14:solidFill>
                    <w14:schemeClr w14:val="tx1"/>
                  </w14:solidFill>
                </w14:textFill>
              </w:rPr>
              <w:t>锅炉用水，废水主要为</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生活污水</w:t>
            </w:r>
            <w:r>
              <w:rPr>
                <w:rFonts w:hint="eastAsia" w:cs="Times New Roman"/>
                <w:b w:val="0"/>
                <w:bCs w:val="0"/>
                <w:color w:val="000000" w:themeColor="text1"/>
                <w:sz w:val="24"/>
                <w:szCs w:val="24"/>
                <w:highlight w:val="none"/>
                <w:lang w:val="en-US" w:eastAsia="zh-CN"/>
                <w14:textFill>
                  <w14:solidFill>
                    <w14:schemeClr w14:val="tx1"/>
                  </w14:solidFill>
                </w14:textFill>
              </w:rPr>
              <w:t>、锅炉废水</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4AB02522">
            <w:pPr>
              <w:pStyle w:val="36"/>
              <w:keepNext w:val="0"/>
              <w:keepLines w:val="0"/>
              <w:pageBreakBefore w:val="0"/>
              <w:widowControl w:val="0"/>
              <w:tabs>
                <w:tab w:val="left" w:pos="2100"/>
              </w:tabs>
              <w:kinsoku/>
              <w:wordWrap/>
              <w:overflowPunct/>
              <w:topLinePunct w:val="0"/>
              <w:autoSpaceDE/>
              <w:autoSpaceDN/>
              <w:bidi w:val="0"/>
              <w:adjustRightInd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 xml:space="preserve">① </w:t>
            </w:r>
            <w:r>
              <w:rPr>
                <w:rFonts w:hint="eastAsia" w:ascii="宋体" w:hAnsi="宋体" w:eastAsia="宋体" w:cs="宋体"/>
                <w:color w:val="000000" w:themeColor="text1"/>
                <w:sz w:val="24"/>
                <w:szCs w:val="24"/>
                <w:highlight w:val="none"/>
                <w:lang w:eastAsia="zh-CN"/>
                <w14:textFill>
                  <w14:solidFill>
                    <w14:schemeClr w14:val="tx1"/>
                  </w14:solidFill>
                </w14:textFill>
              </w:rPr>
              <w:t>生活用水</w:t>
            </w:r>
          </w:p>
          <w:p w14:paraId="5D078995">
            <w:pPr>
              <w:pStyle w:val="36"/>
              <w:keepNext w:val="0"/>
              <w:keepLines w:val="0"/>
              <w:pageBreakBefore w:val="0"/>
              <w:widowControl w:val="0"/>
              <w:tabs>
                <w:tab w:val="left" w:pos="2100"/>
              </w:tabs>
              <w:kinsoku/>
              <w:wordWrap/>
              <w:overflowPunct/>
              <w:topLinePunct w:val="0"/>
              <w:autoSpaceDE/>
              <w:autoSpaceDN/>
              <w:bidi w:val="0"/>
              <w:adjustRightInd w:val="0"/>
              <w:snapToGrid/>
              <w:spacing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次改建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项目职工定员</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新增12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人，厂区不提供食宿。根据《宿州市城市行业用水定额》（DB 3413/T 0001-2020），职工生活用水按</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0L/人·d，年工作300天，则项目用水量为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0.84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t/a。废水产生量按照用水量的80%计算，则产生的生活污水量为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0.672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t/d，</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201.6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t/a。废水主要污染物因子为COD、NH</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-N、SS、BOD</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生活污水经化粪池处理后排入污水处理站。</w:t>
            </w:r>
          </w:p>
          <w:p w14:paraId="07851C3D">
            <w:pPr>
              <w:pStyle w:val="48"/>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②</w:t>
            </w:r>
            <w:r>
              <w:rPr>
                <w:rFonts w:hint="eastAsia" w:cs="Times New Roman"/>
                <w:color w:val="000000" w:themeColor="text1"/>
                <w:sz w:val="24"/>
                <w:szCs w:val="24"/>
                <w:highlight w:val="none"/>
                <w:lang w:eastAsia="zh-CN"/>
                <w14:textFill>
                  <w14:solidFill>
                    <w14:schemeClr w14:val="tx1"/>
                  </w14:solidFill>
                </w14:textFill>
              </w:rPr>
              <w:t>锅炉用水</w:t>
            </w:r>
          </w:p>
          <w:p w14:paraId="4ED45F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shd w:val="clear" w:color="auto" w:fill="auto"/>
                <w:lang w:eastAsia="zh-CN"/>
                <w14:textFill>
                  <w14:solidFill>
                    <w14:schemeClr w14:val="tx1"/>
                  </w14:solidFill>
                </w14:textFill>
              </w:rPr>
              <w:t>项目使用</w:t>
            </w:r>
            <w:r>
              <w:rPr>
                <w:rFonts w:hint="eastAsia" w:ascii="Times New Roman" w:hAnsi="Times New Roman" w:cs="Times New Roman"/>
                <w:color w:val="000000" w:themeColor="text1"/>
                <w:sz w:val="24"/>
                <w:szCs w:val="24"/>
                <w:shd w:val="clear" w:color="auto" w:fill="auto"/>
                <w:lang w:val="en-US" w:eastAsia="zh-CN"/>
                <w14:textFill>
                  <w14:solidFill>
                    <w14:schemeClr w14:val="tx1"/>
                  </w14:solidFill>
                </w14:textFill>
              </w:rPr>
              <w:t>1台9t/h燃气锅炉，年工作2400h，</w:t>
            </w:r>
            <w:r>
              <w:rPr>
                <w:rFonts w:hint="default" w:ascii="Times New Roman" w:hAnsi="Times New Roman" w:eastAsia="宋体" w:cs="Times New Roman"/>
                <w:color w:val="000000" w:themeColor="text1"/>
                <w:sz w:val="24"/>
                <w:szCs w:val="24"/>
                <w14:textFill>
                  <w14:solidFill>
                    <w14:schemeClr w14:val="tx1"/>
                  </w14:solidFill>
                </w14:textFill>
              </w:rPr>
              <w:t>全厂锅炉蒸汽循环量约</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23760</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w:t>
            </w:r>
            <w:r>
              <w:rPr>
                <w:rFonts w:hint="default" w:ascii="Times New Roman" w:hAnsi="Times New Roman" w:cs="Times New Roman"/>
                <w:color w:val="000000" w:themeColor="text1"/>
                <w:sz w:val="24"/>
                <w:szCs w:val="24"/>
                <w:lang w:val="en-US" w:eastAsia="zh-CN"/>
                <w14:textFill>
                  <w14:solidFill>
                    <w14:schemeClr w14:val="tx1"/>
                  </w14:solidFill>
                </w14:textFill>
              </w:rPr>
              <w:t>《排放源统计调查产排污核算方法和系数手册（公告2021年第24号）》工业源产排污核算方法和系数手册中4430 工业锅炉（热力供应）行业系数手册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中燃天然气蒸汽锅炉工业废水量的产污系数为13.56吨/万立方米-原料（锅炉排污水+</w:t>
            </w:r>
            <w:r>
              <w:rPr>
                <w:rFonts w:hint="default" w:ascii="Times New Roman" w:hAnsi="Times New Roman" w:cs="Times New Roman"/>
                <w:color w:val="000000" w:themeColor="text1"/>
                <w:sz w:val="24"/>
                <w:szCs w:val="24"/>
                <w:highlight w:val="none"/>
                <w14:textFill>
                  <w14:solidFill>
                    <w14:schemeClr w14:val="tx1"/>
                  </w14:solidFill>
                </w14:textFill>
              </w:rPr>
              <w:t>软水制备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浓水）。</w:t>
            </w:r>
            <w:r>
              <w:rPr>
                <w:rFonts w:hint="eastAsia" w:cs="Times New Roman"/>
                <w:color w:val="000000" w:themeColor="text1"/>
                <w:sz w:val="24"/>
                <w:szCs w:val="24"/>
                <w:lang w:val="en-US" w:eastAsia="zh-CN"/>
                <w14:textFill>
                  <w14:solidFill>
                    <w14:schemeClr w14:val="tx1"/>
                  </w14:solidFill>
                </w14:textFill>
              </w:rPr>
              <w:t>本项目年使用天然气166.32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万立方米</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经计算，项目锅炉废水产生量为</w:t>
            </w:r>
            <w:r>
              <w:rPr>
                <w:rFonts w:hint="eastAsia" w:ascii="Times New Roman" w:hAnsi="Times New Roman" w:cs="Times New Roman"/>
                <w:color w:val="000000" w:themeColor="text1"/>
                <w:sz w:val="24"/>
                <w:szCs w:val="24"/>
                <w:lang w:val="en-US" w:eastAsia="zh-CN"/>
                <w14:textFill>
                  <w14:solidFill>
                    <w14:schemeClr w14:val="tx1"/>
                  </w14:solidFill>
                </w14:textFill>
              </w:rPr>
              <w:t>2255.3</w:t>
            </w:r>
            <w:r>
              <w:rPr>
                <w:rFonts w:hint="default" w:ascii="Times New Roman" w:hAnsi="Times New Roman" w:cs="Times New Roman"/>
                <w:color w:val="000000" w:themeColor="text1"/>
                <w:sz w:val="24"/>
                <w:szCs w:val="24"/>
                <w:lang w:val="en-US" w:eastAsia="zh-CN"/>
                <w14:textFill>
                  <w14:solidFill>
                    <w14:schemeClr w14:val="tx1"/>
                  </w14:solidFill>
                </w14:textFill>
              </w:rPr>
              <w:t>t/a。</w:t>
            </w:r>
          </w:p>
          <w:p w14:paraId="1D432C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pacing w:val="-4"/>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4"/>
                <w:sz w:val="24"/>
                <w:szCs w:val="24"/>
                <w:highlight w:val="none"/>
                <w:lang w:val="en-US" w:eastAsia="zh-CN"/>
                <w14:textFill>
                  <w14:solidFill>
                    <w14:schemeClr w14:val="tx1"/>
                  </w14:solidFill>
                </w14:textFill>
              </w:rPr>
              <w:object>
                <v:shape id="_x0000_i1025" o:spt="75" type="#_x0000_t75" style="height:172.8pt;width:414.1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72F2DE63">
            <w:pPr>
              <w:pStyle w:val="48"/>
              <w:keepNext w:val="0"/>
              <w:keepLines w:val="0"/>
              <w:pageBreakBefore w:val="0"/>
              <w:kinsoku/>
              <w:wordWrap/>
              <w:overflowPunct/>
              <w:topLinePunct w:val="0"/>
              <w:autoSpaceDE/>
              <w:autoSpaceDN/>
              <w:bidi w:val="0"/>
              <w:spacing w:line="360" w:lineRule="auto"/>
              <w:ind w:right="0"/>
              <w:jc w:val="center"/>
              <w:textAlignment w:val="auto"/>
              <w:rPr>
                <w:rFonts w:hint="default"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图2.</w:t>
            </w:r>
            <w:r>
              <w:rPr>
                <w:rFonts w:hint="eastAsia" w:cs="Times New Roman"/>
                <w:b/>
                <w:bCs/>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cs="Times New Roman"/>
                <w:b/>
                <w:bCs/>
                <w:color w:val="000000" w:themeColor="text1"/>
                <w:kern w:val="2"/>
                <w:sz w:val="24"/>
                <w:szCs w:val="24"/>
                <w:highlight w:val="none"/>
                <w:lang w:val="en-US" w:eastAsia="zh-CN" w:bidi="ar-SA"/>
                <w14:textFill>
                  <w14:solidFill>
                    <w14:schemeClr w14:val="tx1"/>
                  </w14:solidFill>
                </w14:textFill>
              </w:rPr>
              <w:t>本</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 xml:space="preserve">项目水平衡图  </w:t>
            </w: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t/a</w:t>
            </w:r>
          </w:p>
          <w:p w14:paraId="40E67C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cs="Times New Roman"/>
                <w:b/>
                <w:bCs/>
                <w:color w:val="000000" w:themeColor="text1"/>
                <w:spacing w:val="-5"/>
                <w:sz w:val="24"/>
                <w:szCs w:val="24"/>
                <w:highlight w:val="none"/>
                <w:lang w:val="en-US" w:eastAsia="zh-CN"/>
                <w14:textFill>
                  <w14:solidFill>
                    <w14:schemeClr w14:val="tx1"/>
                  </w14:solidFill>
                </w14:textFill>
              </w:rPr>
              <w:t>6、</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劳动定员及工作制度</w:t>
            </w:r>
          </w:p>
          <w:p w14:paraId="0BB6E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b w:val="0"/>
                <w:i w:val="0"/>
                <w:snapToGrid/>
                <w:color w:val="000000" w:themeColor="text1"/>
                <w:spacing w:val="0"/>
                <w:kern w:val="0"/>
                <w:position w:val="0"/>
                <w:sz w:val="24"/>
                <w:szCs w:val="24"/>
                <w:lang w:eastAsia="zh-CN"/>
                <w14:textFill>
                  <w14:solidFill>
                    <w14:schemeClr w14:val="tx1"/>
                  </w14:solidFill>
                </w14:textFill>
              </w:rPr>
              <w:t>改建</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前劳动定员</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300</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人</w:t>
            </w:r>
            <w:r>
              <w:rPr>
                <w:rFonts w:hint="eastAsia"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单</w:t>
            </w:r>
            <w:r>
              <w:rPr>
                <w:rFonts w:hint="eastAsia" w:ascii="Times New Roman" w:hAnsi="Times New Roman" w:cs="Times New Roman"/>
                <w:color w:val="000000" w:themeColor="text1"/>
                <w:sz w:val="24"/>
                <w:lang w:val="en-US" w:eastAsia="zh-CN"/>
                <w14:textFill>
                  <w14:solidFill>
                    <w14:schemeClr w14:val="tx1"/>
                  </w14:solidFill>
                </w14:textFill>
              </w:rPr>
              <w:t>班制，</w:t>
            </w:r>
            <w:r>
              <w:rPr>
                <w:rFonts w:hint="eastAsia" w:cs="Times New Roman"/>
                <w:color w:val="000000" w:themeColor="text1"/>
                <w:sz w:val="24"/>
                <w:lang w:eastAsia="zh-CN"/>
                <w14:textFill>
                  <w14:solidFill>
                    <w14:schemeClr w14:val="tx1"/>
                  </w14:solidFill>
                </w14:textFill>
              </w:rPr>
              <w:t>每班</w:t>
            </w:r>
            <w:r>
              <w:rPr>
                <w:rFonts w:hint="eastAsia" w:cs="Times New Roman"/>
                <w:color w:val="000000" w:themeColor="text1"/>
                <w:sz w:val="24"/>
                <w:lang w:val="en-US" w:eastAsia="zh-CN"/>
                <w14:textFill>
                  <w14:solidFill>
                    <w14:schemeClr w14:val="tx1"/>
                  </w14:solidFill>
                </w14:textFill>
              </w:rPr>
              <w:t>8小时，</w:t>
            </w:r>
            <w:r>
              <w:rPr>
                <w:rFonts w:hint="default" w:ascii="Times New Roman" w:hAnsi="Times New Roman" w:cs="Times New Roman"/>
                <w:color w:val="000000" w:themeColor="text1"/>
                <w:sz w:val="24"/>
                <w:lang w:eastAsia="zh-CN"/>
                <w14:textFill>
                  <w14:solidFill>
                    <w14:schemeClr w14:val="tx1"/>
                  </w14:solidFill>
                </w14:textFill>
              </w:rPr>
              <w:t>年工作时间为</w:t>
            </w:r>
            <w:r>
              <w:rPr>
                <w:rFonts w:hint="eastAsia" w:cs="Times New Roman"/>
                <w:color w:val="000000" w:themeColor="text1"/>
                <w:sz w:val="24"/>
                <w:lang w:val="en-US" w:eastAsia="zh-CN"/>
                <w14:textFill>
                  <w14:solidFill>
                    <w14:schemeClr w14:val="tx1"/>
                  </w14:solidFill>
                </w14:textFill>
              </w:rPr>
              <w:t>330</w:t>
            </w:r>
            <w:r>
              <w:rPr>
                <w:rFonts w:hint="default" w:ascii="Times New Roman" w:hAnsi="Times New Roman" w:cs="Times New Roman"/>
                <w:color w:val="000000" w:themeColor="text1"/>
                <w:sz w:val="24"/>
                <w:lang w:eastAsia="zh-CN"/>
                <w14:textFill>
                  <w14:solidFill>
                    <w14:schemeClr w14:val="tx1"/>
                  </w14:solidFill>
                </w14:textFill>
              </w:rPr>
              <w:t>天</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改建</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后</w:t>
            </w:r>
            <w:r>
              <w:rPr>
                <w:rFonts w:hint="default" w:ascii="Times New Roman" w:hAnsi="Times New Roman" w:eastAsia="宋体" w:cs="Times New Roman"/>
                <w:color w:val="000000" w:themeColor="text1"/>
                <w:sz w:val="24"/>
                <w:szCs w:val="24"/>
                <w14:textFill>
                  <w14:solidFill>
                    <w14:schemeClr w14:val="tx1"/>
                  </w14:solidFill>
                </w14:textFill>
              </w:rPr>
              <w:t>根据生产的需要</w:t>
            </w:r>
            <w:r>
              <w:rPr>
                <w:rFonts w:hint="eastAsia"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劳动人员</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增加12</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人</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单</w:t>
            </w:r>
            <w:r>
              <w:rPr>
                <w:rFonts w:hint="eastAsia" w:ascii="Times New Roman" w:hAnsi="Times New Roman" w:cs="Times New Roman"/>
                <w:color w:val="000000" w:themeColor="text1"/>
                <w:sz w:val="24"/>
                <w:lang w:val="en-US" w:eastAsia="zh-CN"/>
                <w14:textFill>
                  <w14:solidFill>
                    <w14:schemeClr w14:val="tx1"/>
                  </w14:solidFill>
                </w14:textFill>
              </w:rPr>
              <w:t>班制，</w:t>
            </w:r>
            <w:r>
              <w:rPr>
                <w:rFonts w:hint="eastAsia" w:cs="Times New Roman"/>
                <w:color w:val="000000" w:themeColor="text1"/>
                <w:sz w:val="24"/>
                <w:lang w:eastAsia="zh-CN"/>
                <w14:textFill>
                  <w14:solidFill>
                    <w14:schemeClr w14:val="tx1"/>
                  </w14:solidFill>
                </w14:textFill>
              </w:rPr>
              <w:t>每班</w:t>
            </w:r>
            <w:r>
              <w:rPr>
                <w:rFonts w:hint="eastAsia" w:cs="Times New Roman"/>
                <w:color w:val="000000" w:themeColor="text1"/>
                <w:sz w:val="24"/>
                <w:lang w:val="en-US" w:eastAsia="zh-CN"/>
                <w14:textFill>
                  <w14:solidFill>
                    <w14:schemeClr w14:val="tx1"/>
                  </w14:solidFill>
                </w14:textFill>
              </w:rPr>
              <w:t>8小时，</w:t>
            </w:r>
            <w:r>
              <w:rPr>
                <w:rFonts w:hint="default" w:ascii="Times New Roman" w:hAnsi="Times New Roman" w:cs="Times New Roman"/>
                <w:color w:val="000000" w:themeColor="text1"/>
                <w:sz w:val="24"/>
                <w:lang w:eastAsia="zh-CN"/>
                <w14:textFill>
                  <w14:solidFill>
                    <w14:schemeClr w14:val="tx1"/>
                  </w14:solidFill>
                </w14:textFill>
              </w:rPr>
              <w:t>年工作时间为</w:t>
            </w:r>
            <w:r>
              <w:rPr>
                <w:rFonts w:hint="eastAsia" w:cs="Times New Roman"/>
                <w:color w:val="000000" w:themeColor="text1"/>
                <w:sz w:val="24"/>
                <w:lang w:val="en-US" w:eastAsia="zh-CN"/>
                <w14:textFill>
                  <w14:solidFill>
                    <w14:schemeClr w14:val="tx1"/>
                  </w14:solidFill>
                </w14:textFill>
              </w:rPr>
              <w:t>330</w:t>
            </w:r>
            <w:r>
              <w:rPr>
                <w:rFonts w:hint="default" w:ascii="Times New Roman" w:hAnsi="Times New Roman" w:cs="Times New Roman"/>
                <w:color w:val="000000" w:themeColor="text1"/>
                <w:sz w:val="24"/>
                <w:lang w:eastAsia="zh-CN"/>
                <w14:textFill>
                  <w14:solidFill>
                    <w14:schemeClr w14:val="tx1"/>
                  </w14:solidFill>
                </w14:textFill>
              </w:rPr>
              <w:t>天</w:t>
            </w:r>
            <w:r>
              <w:rPr>
                <w:rFonts w:hint="eastAsia" w:cs="Times New Roman"/>
                <w:b w:val="0"/>
                <w:i w:val="0"/>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厂区</w:t>
            </w:r>
            <w:r>
              <w:rPr>
                <w:rFonts w:hint="eastAsia"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不</w:t>
            </w:r>
            <w:r>
              <w:rPr>
                <w:rFonts w:hint="default"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提供</w:t>
            </w:r>
            <w:r>
              <w:rPr>
                <w:rFonts w:hint="eastAsia"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食堂、住</w:t>
            </w:r>
            <w:r>
              <w:rPr>
                <w:rFonts w:hint="default"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宿</w:t>
            </w:r>
            <w:r>
              <w:rPr>
                <w:rFonts w:hint="default" w:ascii="Times New Roman" w:hAnsi="Times New Roman" w:eastAsia="宋体" w:cs="Times New Roman"/>
                <w:b w:val="0"/>
                <w:i w:val="0"/>
                <w:snapToGrid/>
                <w:color w:val="000000" w:themeColor="text1"/>
                <w:spacing w:val="0"/>
                <w:kern w:val="0"/>
                <w:position w:val="0"/>
                <w:sz w:val="24"/>
                <w:szCs w:val="24"/>
                <w14:textFill>
                  <w14:solidFill>
                    <w14:schemeClr w14:val="tx1"/>
                  </w14:solidFill>
                </w14:textFill>
              </w:rPr>
              <w:t>。</w:t>
            </w:r>
          </w:p>
          <w:p w14:paraId="2B09E3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7</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厂区平面布置</w:t>
            </w:r>
          </w:p>
          <w:p w14:paraId="425B201F">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①</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项目整体布置</w:t>
            </w:r>
          </w:p>
          <w:p w14:paraId="61EA11AA">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14:textFill>
                  <w14:solidFill>
                    <w14:schemeClr w14:val="tx1"/>
                  </w14:solidFill>
                </w14:textFill>
              </w:rPr>
              <w:t>项目建设地点位于</w:t>
            </w:r>
            <w:r>
              <w:rPr>
                <w:rFonts w:hint="eastAsia" w:cs="Times New Roman"/>
                <w:snapToGrid/>
                <w:color w:val="000000" w:themeColor="text1"/>
                <w:spacing w:val="0"/>
                <w:kern w:val="0"/>
                <w:position w:val="0"/>
                <w:sz w:val="24"/>
                <w:lang w:eastAsia="zh-CN"/>
                <w14:textFill>
                  <w14:solidFill>
                    <w14:schemeClr w14:val="tx1"/>
                  </w14:solidFill>
                </w14:textFill>
              </w:rPr>
              <w:t>宿州市高新技术产业开发区拂晓大道9号</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w:t>
            </w:r>
            <w:r>
              <w:rPr>
                <w:rFonts w:hint="eastAsia"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厂区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分为生产车间、</w:t>
            </w:r>
            <w:r>
              <w:rPr>
                <w:rFonts w:hint="eastAsia"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原料</w:t>
            </w:r>
            <w:r>
              <w:rPr>
                <w:rFonts w:hint="eastAsia" w:cs="Times New Roman"/>
                <w:snapToGrid/>
                <w:color w:val="000000" w:themeColor="text1"/>
                <w:spacing w:val="0"/>
                <w:kern w:val="0"/>
                <w:position w:val="0"/>
                <w:sz w:val="24"/>
                <w:lang w:val="en-US" w:eastAsia="zh-CN"/>
                <w14:textFill>
                  <w14:solidFill>
                    <w14:schemeClr w14:val="tx1"/>
                  </w14:solidFill>
                </w14:textFill>
              </w:rPr>
              <w:t>区、成品堆放区、办公室</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等功能分区，具体见</w:t>
            </w:r>
            <w:r>
              <w:rPr>
                <w:rFonts w:hint="eastAsia" w:cs="Times New Roman"/>
                <w:snapToGrid/>
                <w:color w:val="000000" w:themeColor="text1"/>
                <w:spacing w:val="0"/>
                <w:kern w:val="0"/>
                <w:position w:val="0"/>
                <w:sz w:val="24"/>
                <w:lang w:val="en-US" w:eastAsia="zh-CN"/>
                <w14:textFill>
                  <w14:solidFill>
                    <w14:schemeClr w14:val="tx1"/>
                  </w14:solidFill>
                </w14:textFill>
              </w:rPr>
              <w:t>厂区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平面布置图。</w:t>
            </w:r>
          </w:p>
          <w:p w14:paraId="3ACD2D84">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②</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项目原料及产品由汽车进行运输。</w:t>
            </w:r>
          </w:p>
          <w:p w14:paraId="69029A3E">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③</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平面布置合理性</w:t>
            </w:r>
          </w:p>
          <w:p w14:paraId="4382F8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项目厂区布置总体来说，结构明朗，流程顺畅，布局紧凑，符合防火、安全卫生、环保、交通、运输、生产工艺流程等需求。总体上做到按功能分区，系统分明，布置整齐。</w:t>
            </w:r>
          </w:p>
          <w:p w14:paraId="225ADB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0CA0C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3BEA3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348003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4E92C3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2A3F61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670BAA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91F03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55E5F4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7E78F5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7AA7B0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80862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71DBFD3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30F6A9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C2A8B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0997D8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snapToGrid/>
                <w:color w:val="000000" w:themeColor="text1"/>
                <w:spacing w:val="0"/>
                <w:kern w:val="0"/>
                <w:position w:val="0"/>
                <w:sz w:val="30"/>
                <w:szCs w:val="30"/>
                <w:vertAlign w:val="baseline"/>
                <w:lang w:val="en-US" w:eastAsia="zh-CN"/>
                <w14:textFill>
                  <w14:solidFill>
                    <w14:schemeClr w14:val="tx1"/>
                  </w14:solidFill>
                </w14:textFill>
              </w:rPr>
            </w:pPr>
          </w:p>
          <w:p w14:paraId="58BA70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napToGrid/>
                <w:color w:val="000000" w:themeColor="text1"/>
                <w:spacing w:val="0"/>
                <w:kern w:val="0"/>
                <w:position w:val="0"/>
                <w:sz w:val="30"/>
                <w:szCs w:val="30"/>
                <w:vertAlign w:val="baseline"/>
                <w:lang w:val="en-US" w:eastAsia="zh-CN"/>
                <w14:textFill>
                  <w14:solidFill>
                    <w14:schemeClr w14:val="tx1"/>
                  </w14:solidFill>
                </w14:textFill>
              </w:rPr>
            </w:pPr>
          </w:p>
        </w:tc>
      </w:tr>
    </w:tbl>
    <w:tbl>
      <w:tblPr>
        <w:tblStyle w:val="24"/>
        <w:tblW w:w="541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52"/>
        <w:gridCol w:w="8676"/>
      </w:tblGrid>
      <w:tr w14:paraId="0A4AFC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83" w:hRule="atLeast"/>
          <w:jc w:val="center"/>
        </w:trPr>
        <w:tc>
          <w:tcPr>
            <w:tcW w:w="299" w:type="pct"/>
            <w:tcBorders>
              <w:tl2br w:val="nil"/>
              <w:tr2bl w:val="nil"/>
            </w:tcBorders>
            <w:noWrap w:val="0"/>
            <w:vAlign w:val="center"/>
          </w:tcPr>
          <w:p w14:paraId="4E52A12F">
            <w:pPr>
              <w:pStyle w:val="22"/>
              <w:adjustRightInd w:val="0"/>
              <w:snapToGrid w:val="0"/>
              <w:spacing w:before="0" w:beforeAutospacing="0" w:after="0" w:afterAutospacing="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工艺流程和产排污环节</w:t>
            </w:r>
          </w:p>
        </w:tc>
        <w:tc>
          <w:tcPr>
            <w:tcW w:w="4700" w:type="pct"/>
            <w:tcBorders>
              <w:tl2br w:val="nil"/>
              <w:tr2bl w:val="nil"/>
            </w:tcBorders>
            <w:noWrap w:val="0"/>
            <w:vAlign w:val="top"/>
          </w:tcPr>
          <w:p w14:paraId="12E3D66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项目运营期</w:t>
            </w:r>
            <w:r>
              <w:rPr>
                <w:rFonts w:hint="eastAsia"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生产</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工艺流程及产污节点简图</w:t>
            </w:r>
          </w:p>
          <w:p w14:paraId="3EF0A469">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object>
                <v:shape id="_x0000_i1026" o:spt="75" type="#_x0000_t75" style="height:426pt;width:249.7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5A62DE2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图2</w:t>
            </w:r>
            <w:r>
              <w:rPr>
                <w:rFonts w:hint="eastAsia" w:cs="Times New Roman"/>
                <w:b/>
                <w:bCs/>
                <w:color w:val="000000" w:themeColor="text1"/>
                <w:kern w:val="0"/>
                <w:sz w:val="24"/>
                <w:szCs w:val="24"/>
                <w:highlight w:val="none"/>
                <w:lang w:val="en-US" w:eastAsia="zh-CN" w:bidi="ar"/>
                <w14:textFill>
                  <w14:solidFill>
                    <w14:schemeClr w14:val="tx1"/>
                  </w14:solidFill>
                </w14:textFill>
              </w:rPr>
              <w:t xml:space="preserve">.2  </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生产工艺流程及产污环节图</w:t>
            </w:r>
          </w:p>
          <w:p w14:paraId="25C3D8D3">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lang w:val="en-US" w:eastAsia="zh-CN"/>
                <w14:textFill>
                  <w14:solidFill>
                    <w14:schemeClr w14:val="tx1"/>
                  </w14:solidFill>
                </w14:textFill>
              </w:rPr>
              <w:t>项目生产规模、工艺与现有工程相同，</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工艺升级改造，</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将</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原料预处理工艺中加入杀青工艺。故项目建成后产品更符合市场需求。</w:t>
            </w:r>
          </w:p>
          <w:p w14:paraId="2EFBCEBC">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Times New Roman" w:hAnsi="Times New Roman" w:cs="Times New Roman"/>
                <w:b/>
                <w:bCs/>
                <w:color w:val="000000" w:themeColor="text1"/>
                <w:position w:val="6"/>
                <w:sz w:val="24"/>
                <w:szCs w:val="24"/>
                <w:lang w:val="en-US" w:eastAsia="zh-CN"/>
                <w14:textFill>
                  <w14:solidFill>
                    <w14:schemeClr w14:val="tx1"/>
                  </w14:solidFill>
                </w14:textFill>
              </w:rPr>
            </w:pPr>
            <w:r>
              <w:rPr>
                <w:rFonts w:hint="eastAsia" w:ascii="Times New Roman" w:hAnsi="Times New Roman" w:cs="Times New Roman"/>
                <w:b/>
                <w:bCs/>
                <w:color w:val="000000" w:themeColor="text1"/>
                <w:position w:val="6"/>
                <w:sz w:val="24"/>
                <w:szCs w:val="24"/>
                <w:lang w:val="en-US" w:eastAsia="zh-CN"/>
                <w14:textFill>
                  <w14:solidFill>
                    <w14:schemeClr w14:val="tx1"/>
                  </w14:solidFill>
                </w14:textFill>
              </w:rPr>
              <w:t>工艺流程简述：</w:t>
            </w:r>
          </w:p>
          <w:p w14:paraId="6DCF1BC1">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eastAsia="宋体"/>
                <w:color w:val="000000" w:themeColor="text1"/>
                <w:kern w:val="0"/>
                <w:sz w:val="24"/>
                <w:lang w:eastAsia="zh-CN" w:bidi="ar"/>
                <w14:textFill>
                  <w14:solidFill>
                    <w14:schemeClr w14:val="tx1"/>
                  </w14:solidFill>
                </w14:textFill>
              </w:rPr>
            </w:pPr>
            <w:r>
              <w:rPr>
                <w:color w:val="000000" w:themeColor="text1"/>
                <w:kern w:val="0"/>
                <w:sz w:val="24"/>
                <w:lang w:bidi="ar"/>
                <w14:textFill>
                  <w14:solidFill>
                    <w14:schemeClr w14:val="tx1"/>
                  </w14:solidFill>
                </w14:textFill>
              </w:rPr>
              <w:t>①</w:t>
            </w:r>
            <w:r>
              <w:rPr>
                <w:rFonts w:hint="eastAsia"/>
                <w:color w:val="000000" w:themeColor="text1"/>
                <w:kern w:val="0"/>
                <w:sz w:val="24"/>
                <w:lang w:eastAsia="zh-CN" w:bidi="ar"/>
                <w14:textFill>
                  <w14:solidFill>
                    <w14:schemeClr w14:val="tx1"/>
                  </w14:solidFill>
                </w14:textFill>
              </w:rPr>
              <w:t>原料</w:t>
            </w:r>
          </w:p>
          <w:p w14:paraId="41F2720B">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原料要求新鲜、无病害、无枯黄叶，无损伤，色泽鲜艳。分级原料验收方法将合格的原料挑选出来，并按优劣分等级。</w:t>
            </w:r>
          </w:p>
          <w:p w14:paraId="1D43AE2B">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Times New Roman" w:hAnsi="Times New Roman" w:eastAsia="宋体" w:cs="Times New Roman"/>
                <w:color w:val="000000" w:themeColor="text1"/>
                <w:kern w:val="0"/>
                <w:sz w:val="24"/>
                <w:lang w:val="en-US" w:eastAsia="zh-CN" w:bidi="ar"/>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②</w:t>
            </w:r>
            <w:r>
              <w:rPr>
                <w:rFonts w:hint="eastAsia" w:cs="Times New Roman"/>
                <w:color w:val="000000" w:themeColor="text1"/>
                <w:kern w:val="0"/>
                <w:sz w:val="24"/>
                <w:lang w:eastAsia="zh-CN" w:bidi="ar"/>
                <w14:textFill>
                  <w14:solidFill>
                    <w14:schemeClr w14:val="tx1"/>
                  </w14:solidFill>
                </w14:textFill>
              </w:rPr>
              <w:t>预处理（清洗、去皮、切分、杀青等）</w:t>
            </w:r>
          </w:p>
          <w:p w14:paraId="5C556261">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cs="Times New Roman"/>
                <w:color w:val="000000" w:themeColor="text1"/>
                <w:kern w:val="0"/>
                <w:sz w:val="24"/>
                <w:lang w:eastAsia="zh-CN" w:bidi="ar"/>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ascii="宋体" w:hAnsi="宋体" w:eastAsia="宋体" w:cs="宋体"/>
                <w:color w:val="000000" w:themeColor="text1"/>
                <w:sz w:val="24"/>
                <w:szCs w:val="24"/>
                <w14:textFill>
                  <w14:solidFill>
                    <w14:schemeClr w14:val="tx1"/>
                  </w14:solidFill>
                </w14:textFill>
              </w:rPr>
              <w:t>般预处理是指升华干燥前的所有处理，所以干燥前冻结也属于预处理。原料预处理和常规的果蔬干燥及果蔬速冻制品相同，如需进行挑选、清洗、去皮、切分、</w:t>
            </w:r>
            <w:r>
              <w:rPr>
                <w:rFonts w:hint="eastAsia" w:cs="Times New Roman"/>
                <w:color w:val="000000" w:themeColor="text1"/>
                <w:kern w:val="0"/>
                <w:sz w:val="24"/>
                <w:lang w:eastAsia="zh-CN" w:bidi="ar"/>
                <w14:textFill>
                  <w14:solidFill>
                    <w14:schemeClr w14:val="tx1"/>
                  </w14:solidFill>
                </w14:textFill>
              </w:rPr>
              <w:t>杀青、</w:t>
            </w:r>
            <w:r>
              <w:rPr>
                <w:rFonts w:ascii="宋体" w:hAnsi="宋体" w:eastAsia="宋体" w:cs="宋体"/>
                <w:color w:val="000000" w:themeColor="text1"/>
                <w:sz w:val="24"/>
                <w:szCs w:val="24"/>
                <w14:textFill>
                  <w14:solidFill>
                    <w14:schemeClr w14:val="tx1"/>
                  </w14:solidFill>
                </w14:textFill>
              </w:rPr>
              <w:t>沥水等处理。</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w:t>
            </w:r>
            <w:r>
              <w:rPr>
                <w:rFonts w:hint="eastAsia" w:ascii="Times New Roman" w:hAnsi="Times New Roman" w:cs="Times New Roman"/>
                <w:color w:val="000000" w:themeColor="text1"/>
                <w:kern w:val="0"/>
                <w:sz w:val="24"/>
                <w:lang w:eastAsia="zh-CN" w:bidi="ar"/>
                <w14:textFill>
                  <w14:solidFill>
                    <w14:schemeClr w14:val="tx1"/>
                  </w14:solidFill>
                </w14:textFill>
              </w:rPr>
              <w:t>废水</w:t>
            </w:r>
            <w:r>
              <w:rPr>
                <w:rFonts w:hint="eastAsia" w:ascii="Times New Roman" w:hAnsi="Times New Roman" w:cs="Times New Roman"/>
                <w:color w:val="000000" w:themeColor="text1"/>
                <w:kern w:val="0"/>
                <w:sz w:val="24"/>
                <w:lang w:val="en-US" w:eastAsia="zh-CN" w:bidi="ar"/>
                <w14:textFill>
                  <w14:solidFill>
                    <w14:schemeClr w14:val="tx1"/>
                  </w14:solidFill>
                </w14:textFill>
              </w:rPr>
              <w:t>W1、固废S1、</w:t>
            </w:r>
            <w:r>
              <w:rPr>
                <w:rFonts w:hint="default" w:ascii="Times New Roman" w:hAnsi="Times New Roman" w:cs="Times New Roman"/>
                <w:color w:val="000000" w:themeColor="text1"/>
                <w:kern w:val="0"/>
                <w:sz w:val="24"/>
                <w:lang w:eastAsia="zh-CN" w:bidi="ar"/>
                <w14:textFill>
                  <w14:solidFill>
                    <w14:schemeClr w14:val="tx1"/>
                  </w14:solidFill>
                </w14:textFill>
              </w:rPr>
              <w:t>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4BDE9B77">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kern w:val="0"/>
                <w:sz w:val="24"/>
                <w:lang w:eastAsia="zh-CN" w:bidi="ar"/>
                <w14:textFill>
                  <w14:solidFill>
                    <w14:schemeClr w14:val="tx1"/>
                  </w14:solidFill>
                </w14:textFill>
              </w:rPr>
              <w:t>其中杀青工序是原料输送至杀青工序，利用加热蒸汽进行快速杀青，抑酶护色及时脱水冷却，使果蔬保持原有的自然色泽。</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5D1BDFC3">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③</w:t>
            </w:r>
            <w:r>
              <w:rPr>
                <w:rFonts w:hint="eastAsia" w:cs="Times New Roman"/>
                <w:color w:val="000000" w:themeColor="text1"/>
                <w:kern w:val="0"/>
                <w:sz w:val="24"/>
                <w:lang w:eastAsia="zh-CN" w:bidi="ar"/>
                <w14:textFill>
                  <w14:solidFill>
                    <w14:schemeClr w14:val="tx1"/>
                  </w14:solidFill>
                </w14:textFill>
              </w:rPr>
              <w:t>预冻结</w:t>
            </w:r>
          </w:p>
          <w:p w14:paraId="77B43500">
            <w:pPr>
              <w:keepNext w:val="0"/>
              <w:keepLines w:val="0"/>
              <w:pageBreakBefore w:val="0"/>
              <w:widowControl/>
              <w:kinsoku/>
              <w:wordWrap/>
              <w:overflowPunct/>
              <w:topLinePunct w:val="0"/>
              <w:bidi w:val="0"/>
              <w:snapToGrid w:val="0"/>
              <w:spacing w:line="360" w:lineRule="auto"/>
              <w:ind w:firstLine="480" w:firstLineChars="200"/>
              <w:jc w:val="left"/>
              <w:textAlignment w:val="auto"/>
              <w:rPr>
                <w:rFonts w:hint="eastAsia" w:ascii="Times New Roman" w:hAnsi="Times New Roman" w:cs="Times New Roman"/>
                <w:color w:val="000000" w:themeColor="text1"/>
                <w:kern w:val="0"/>
                <w:sz w:val="24"/>
                <w:lang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把经前处理后的原料进行采用</w:t>
            </w:r>
            <w:r>
              <w:rPr>
                <w:rFonts w:hint="default" w:ascii="Times New Roman" w:hAnsi="Times New Roman" w:eastAsia="宋体" w:cs="Times New Roman"/>
                <w:color w:val="000000" w:themeColor="text1"/>
                <w:sz w:val="24"/>
                <w:szCs w:val="24"/>
                <w14:textFill>
                  <w14:solidFill>
                    <w14:schemeClr w14:val="tx1"/>
                  </w14:solidFill>
                </w14:textFill>
              </w:rPr>
              <w:t>R</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717</w:t>
            </w:r>
            <w:r>
              <w:rPr>
                <w:rFonts w:ascii="宋体" w:hAnsi="宋体" w:eastAsia="宋体" w:cs="宋体"/>
                <w:color w:val="000000" w:themeColor="text1"/>
                <w:sz w:val="24"/>
                <w:szCs w:val="24"/>
                <w14:textFill>
                  <w14:solidFill>
                    <w14:schemeClr w14:val="tx1"/>
                  </w14:solidFill>
                </w14:textFill>
              </w:rPr>
              <w:t>进行冷冻处理，是冻干的重要工序。由于果蔬在冷冻过程中会发生一系列复杂的生物化学及物理化学变化,因此预冻的好坏将直接影响到冻干果蔬质量。冷冻过程中重点考虑的是被冻结物料的冻结速率对其质量和干燥时间的影响。</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2ABF9FA6">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auto"/>
              <w:rPr>
                <w:rFonts w:ascii="宋体" w:hAnsi="宋体" w:eastAsia="宋体" w:cs="宋体"/>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bidi="ar"/>
                <w14:textFill>
                  <w14:solidFill>
                    <w14:schemeClr w14:val="tx1"/>
                  </w14:solidFill>
                </w14:textFill>
              </w:rPr>
              <w:fldChar w:fldCharType="begin"/>
            </w:r>
            <w:r>
              <w:rPr>
                <w:rFonts w:hint="default" w:ascii="Times New Roman" w:hAnsi="Times New Roman" w:cs="Times New Roman"/>
                <w:color w:val="000000" w:themeColor="text1"/>
                <w:kern w:val="0"/>
                <w:sz w:val="24"/>
                <w:szCs w:val="24"/>
                <w:lang w:bidi="ar"/>
                <w14:textFill>
                  <w14:solidFill>
                    <w14:schemeClr w14:val="tx1"/>
                  </w14:solidFill>
                </w14:textFill>
              </w:rPr>
              <w:instrText xml:space="preserve"> = 4 \* GB3 \* MERGEFORMAT </w:instrText>
            </w:r>
            <w:r>
              <w:rPr>
                <w:rFonts w:hint="default" w:ascii="Times New Roman" w:hAnsi="Times New Roman" w:cs="Times New Roman"/>
                <w:color w:val="000000" w:themeColor="text1"/>
                <w:kern w:val="0"/>
                <w:sz w:val="24"/>
                <w:szCs w:val="24"/>
                <w:lang w:bidi="ar"/>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④</w:t>
            </w:r>
            <w:r>
              <w:rPr>
                <w:rFonts w:hint="default" w:ascii="Times New Roman" w:hAnsi="Times New Roman" w:cs="Times New Roman"/>
                <w:color w:val="000000" w:themeColor="text1"/>
                <w:kern w:val="0"/>
                <w:sz w:val="24"/>
                <w:szCs w:val="24"/>
                <w:lang w:bidi="ar"/>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真空干燥</w:t>
            </w:r>
          </w:p>
          <w:p w14:paraId="55D19DE0">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真空干燥原理是将材料冷冻，使其含有的水份变成冰块，然后在真空下使冰升华而达到干燥的目的。要控制好工艺条件</w:t>
            </w:r>
            <w:r>
              <w:rPr>
                <w:rFonts w:hint="eastAsia" w:ascii="宋体" w:hAnsi="宋体" w:eastAsia="宋体" w:cs="宋体"/>
                <w:color w:val="000000" w:themeColor="text1"/>
                <w:sz w:val="24"/>
                <w:szCs w:val="24"/>
                <w:lang w:eastAsia="zh-CN"/>
                <w14:textFill>
                  <w14:solidFill>
                    <w14:schemeClr w14:val="tx1"/>
                  </w14:solidFill>
                </w14:textFill>
              </w:rPr>
              <w:t>：</w:t>
            </w:r>
          </w:p>
          <w:p w14:paraId="166D1D49">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装载量</w:t>
            </w:r>
          </w:p>
          <w:p w14:paraId="57A1D7CA">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干燥时，冻干机的湿重装载量即单位面积干燥板上被干燥的质量，是决定干燥时间的重要因素。被干燥食品的厚度也是影响干燥时间的因素。</w:t>
            </w:r>
          </w:p>
          <w:p w14:paraId="41A74917">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kern w:val="0"/>
                <w:sz w:val="24"/>
                <w:lang w:eastAsia="zh-CN" w:bidi="ar"/>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冷冻干燥时，物料的干燥是由外层向内层推进，因此，被干燥物料较厚时，需要较长的干燥时间。在实际干燥时，被干燥物料均被切成15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30mm的均一厚度。单位面积</w:t>
            </w:r>
            <w:r>
              <w:rPr>
                <w:rFonts w:ascii="宋体" w:hAnsi="宋体" w:eastAsia="宋体" w:cs="宋体"/>
                <w:color w:val="000000" w:themeColor="text1"/>
                <w:sz w:val="24"/>
                <w:szCs w:val="24"/>
                <w14:textFill>
                  <w14:solidFill>
                    <w14:schemeClr w14:val="tx1"/>
                  </w14:solidFill>
                </w14:textFill>
              </w:rPr>
              <w:t>干燥板所应装载的物料量，应根据加热方式及干燥食品的各类而定。在采用工业化大规模装置进行</w:t>
            </w:r>
            <w:r>
              <w:rPr>
                <w:rFonts w:hint="default" w:ascii="Times New Roman" w:hAnsi="Times New Roman" w:eastAsia="宋体" w:cs="Times New Roman"/>
                <w:color w:val="000000" w:themeColor="text1"/>
                <w:sz w:val="24"/>
                <w:szCs w:val="24"/>
                <w14:textFill>
                  <w14:solidFill>
                    <w14:schemeClr w14:val="tx1"/>
                  </w14:solidFill>
                </w14:textFill>
              </w:rPr>
              <w:t>干燥时，若干燥周期为6~8h，则干燥板物料装载量为5~15kg/m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w:t>
            </w:r>
          </w:p>
          <w:p w14:paraId="38AA3D49">
            <w:pPr>
              <w:pStyle w:val="2"/>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pPr>
            <w:r>
              <w:rPr>
                <w:rFonts w:hint="default" w:ascii="Times New Roman" w:hAnsi="Times New Roman" w:cs="Times New Roman"/>
                <w:color w:val="000000" w:themeColor="text1"/>
                <w:kern w:val="0"/>
                <w:sz w:val="24"/>
                <w:lang w:val="en-US" w:eastAsia="zh-CN" w:bidi="ar"/>
                <w14:textFill>
                  <w14:solidFill>
                    <w14:schemeClr w14:val="tx1"/>
                  </w14:solidFill>
                </w14:textFill>
              </w:rPr>
              <w:t>b.干燥温度</w:t>
            </w:r>
          </w:p>
          <w:p w14:paraId="3913D716">
            <w:pPr>
              <w:pStyle w:val="2"/>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000000" w:themeColor="text1"/>
                <w:kern w:val="0"/>
                <w:sz w:val="24"/>
                <w:lang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冷冻干燥时，为能缩短干燥时间，必须有效地供给冰晶升华所需要的热量，因此设计出各种实用的加热方式。本项目采用电加热板进行干燥，干燥温度必须是控制在不引起被干燥物料中冰晶融解、已干燥部分不会因过热而引起热变性的范围内。因此，在单一加热方式中，干燥板的温度在升华旺盛的干燥初期应控制在</w:t>
            </w:r>
            <w:r>
              <w:rPr>
                <w:rFonts w:hint="default" w:ascii="Times New Roman" w:hAnsi="Times New Roman" w:eastAsia="宋体" w:cs="Times New Roman"/>
                <w:color w:val="000000" w:themeColor="text1"/>
                <w:sz w:val="24"/>
                <w:szCs w:val="24"/>
                <w14:textFill>
                  <w14:solidFill>
                    <w14:schemeClr w14:val="tx1"/>
                  </w14:solidFill>
                </w14:textFill>
              </w:rPr>
              <w:t>70~80℃，干燥中期在60℃，干燥后期在40~50℃。</w:t>
            </w:r>
          </w:p>
          <w:p w14:paraId="227B304E">
            <w:pPr>
              <w:pStyle w:val="2"/>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000000" w:themeColor="text1"/>
                <w:kern w:val="0"/>
                <w:sz w:val="24"/>
                <w:lang w:bidi="ar"/>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杀青、真空干燥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使用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燃气蒸汽锅炉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产生的蒸汽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此过程会产生锅炉废气</w:t>
            </w:r>
            <w:r>
              <w:rPr>
                <w:rFonts w:hint="eastAsia" w:ascii="Times New Roman" w:hAnsi="Times New Roman" w:cs="Times New Roman"/>
                <w:color w:val="000000" w:themeColor="text1"/>
                <w:sz w:val="24"/>
                <w:szCs w:val="24"/>
                <w:lang w:val="en-US" w:eastAsia="zh-CN"/>
                <w14:textFill>
                  <w14:solidFill>
                    <w14:schemeClr w14:val="tx1"/>
                  </w14:solidFill>
                </w14:textFill>
              </w:rPr>
              <w:t>G1</w:t>
            </w:r>
            <w:r>
              <w:rPr>
                <w:rFonts w:hint="eastAsia" w:ascii="Times New Roman" w:hAnsi="Times New Roman" w:cs="Times New Roman"/>
                <w:color w:val="000000" w:themeColor="text1"/>
                <w:sz w:val="24"/>
                <w:szCs w:val="24"/>
                <w:lang w:eastAsia="zh-CN"/>
                <w14:textFill>
                  <w14:solidFill>
                    <w14:schemeClr w14:val="tx1"/>
                  </w14:solidFill>
                </w14:textFill>
              </w:rPr>
              <w:t>和噪声</w:t>
            </w:r>
            <w:r>
              <w:rPr>
                <w:rFonts w:hint="eastAsia" w:ascii="Times New Roman" w:hAnsi="Times New Roman" w:cs="Times New Roman"/>
                <w:color w:val="000000" w:themeColor="text1"/>
                <w:sz w:val="24"/>
                <w:szCs w:val="24"/>
                <w:lang w:val="en-US" w:eastAsia="zh-CN"/>
                <w14:textFill>
                  <w14:solidFill>
                    <w14:schemeClr w14:val="tx1"/>
                  </w14:solidFill>
                </w14:textFill>
              </w:rPr>
              <w:t>N</w:t>
            </w:r>
            <w:r>
              <w:rPr>
                <w:rFonts w:hint="eastAsia" w:ascii="Times New Roman" w:hAnsi="Times New Roman" w:cs="Times New Roman"/>
                <w:color w:val="000000" w:themeColor="text1"/>
                <w:sz w:val="24"/>
                <w:szCs w:val="24"/>
                <w:lang w:eastAsia="zh-CN"/>
                <w14:textFill>
                  <w14:solidFill>
                    <w14:schemeClr w14:val="tx1"/>
                  </w14:solidFill>
                </w14:textFill>
              </w:rPr>
              <w:t>。</w:t>
            </w:r>
          </w:p>
          <w:p w14:paraId="63F868E6">
            <w:pPr>
              <w:pStyle w:val="2"/>
              <w:keepNext w:val="0"/>
              <w:keepLines w:val="0"/>
              <w:pageBreakBefore w:val="0"/>
              <w:kinsoku/>
              <w:wordWrap/>
              <w:overflowPunct/>
              <w:topLinePunct w:val="0"/>
              <w:bidi w:val="0"/>
              <w:snapToGrid w:val="0"/>
              <w:spacing w:line="360" w:lineRule="auto"/>
              <w:ind w:left="479" w:leftChars="228" w:firstLine="0" w:firstLineChars="0"/>
              <w:textAlignment w:val="auto"/>
              <w:rPr>
                <w:rFonts w:ascii="宋体" w:hAnsi="宋体" w:eastAsia="宋体" w:cs="宋体"/>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lang w:eastAsia="zh-CN" w:bidi="ar"/>
                <w14:textFill>
                  <w14:solidFill>
                    <w14:schemeClr w14:val="tx1"/>
                  </w14:solidFill>
                </w14:textFill>
              </w:rPr>
              <w:fldChar w:fldCharType="begin"/>
            </w:r>
            <w:r>
              <w:rPr>
                <w:rFonts w:hint="default" w:ascii="Times New Roman" w:hAnsi="Times New Roman" w:cs="Times New Roman"/>
                <w:color w:val="000000" w:themeColor="text1"/>
                <w:kern w:val="0"/>
                <w:sz w:val="24"/>
                <w:lang w:eastAsia="zh-CN" w:bidi="ar"/>
                <w14:textFill>
                  <w14:solidFill>
                    <w14:schemeClr w14:val="tx1"/>
                  </w14:solidFill>
                </w14:textFill>
              </w:rPr>
              <w:instrText xml:space="preserve"> = 5 \* GB3 \* MERGEFORMAT </w:instrText>
            </w:r>
            <w:r>
              <w:rPr>
                <w:rFonts w:hint="default" w:ascii="Times New Roman" w:hAnsi="Times New Roman" w:cs="Times New Roman"/>
                <w:color w:val="000000" w:themeColor="text1"/>
                <w:kern w:val="0"/>
                <w:sz w:val="24"/>
                <w:lang w:eastAsia="zh-CN" w:bidi="ar"/>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⑤</w:t>
            </w:r>
            <w:r>
              <w:rPr>
                <w:rFonts w:hint="default" w:ascii="Times New Roman" w:hAnsi="Times New Roman" w:cs="Times New Roman"/>
                <w:color w:val="000000" w:themeColor="text1"/>
                <w:kern w:val="0"/>
                <w:sz w:val="24"/>
                <w:lang w:eastAsia="zh-CN" w:bidi="ar"/>
                <w14:textFill>
                  <w14:solidFill>
                    <w14:schemeClr w14:val="tx1"/>
                  </w14:solidFill>
                </w14:textFill>
              </w:rPr>
              <w:fldChar w:fldCharType="end"/>
            </w:r>
            <w:r>
              <w:rPr>
                <w:rFonts w:ascii="宋体" w:hAnsi="宋体" w:eastAsia="宋体" w:cs="宋体"/>
                <w:color w:val="000000" w:themeColor="text1"/>
                <w:sz w:val="24"/>
                <w:szCs w:val="24"/>
                <w14:textFill>
                  <w14:solidFill>
                    <w14:schemeClr w14:val="tx1"/>
                  </w14:solidFill>
                </w14:textFill>
              </w:rPr>
              <w:t>后处理</w:t>
            </w:r>
          </w:p>
          <w:p w14:paraId="79E149CF">
            <w:pPr>
              <w:pStyle w:val="2"/>
              <w:keepNext w:val="0"/>
              <w:keepLines w:val="0"/>
              <w:pageBreakBefore w:val="0"/>
              <w:kinsoku/>
              <w:wordWrap/>
              <w:overflowPunct/>
              <w:topLinePunct w:val="0"/>
              <w:bidi w:val="0"/>
              <w:snapToGrid w:val="0"/>
              <w:spacing w:line="360" w:lineRule="auto"/>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后处理包括卸料</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半成品选别</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包装等工序。</w:t>
            </w:r>
          </w:p>
          <w:p w14:paraId="38F2AD0F">
            <w:pPr>
              <w:pStyle w:val="2"/>
              <w:keepNext w:val="0"/>
              <w:keepLines w:val="0"/>
              <w:pageBreakBefore w:val="0"/>
              <w:kinsoku/>
              <w:wordWrap/>
              <w:overflowPunct/>
              <w:topLinePunct w:val="0"/>
              <w:bidi w:val="0"/>
              <w:snapToGrid w:val="0"/>
              <w:spacing w:line="360" w:lineRule="auto"/>
              <w:ind w:firstLine="480" w:firstLineChars="200"/>
              <w:textAlignment w:val="auto"/>
              <w:rPr>
                <w:rFonts w:hint="eastAsia" w:cs="Times New Roman"/>
                <w:color w:val="000000" w:themeColor="text1"/>
                <w:kern w:val="0"/>
                <w:sz w:val="24"/>
                <w:lang w:eastAsia="zh-CN" w:bidi="ar"/>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冷冻后，往干燥室内注入氮气或干燥空气破除真空，然后立即移出物料在一个相对湿度</w:t>
            </w:r>
            <w:r>
              <w:rPr>
                <w:rFonts w:hint="default" w:ascii="Times New Roman" w:hAnsi="Times New Roman" w:eastAsia="宋体" w:cs="Times New Roman"/>
                <w:color w:val="000000" w:themeColor="text1"/>
                <w:sz w:val="24"/>
                <w:szCs w:val="24"/>
                <w14:textFill>
                  <w14:solidFill>
                    <w14:schemeClr w14:val="tx1"/>
                  </w14:solidFill>
                </w14:textFill>
              </w:rPr>
              <w:t>50%以下，温度22~25℃，尘埃少的密闭环境中卸料，并在相同的环境中进行半成品的选别及包装。因为冻干后的物料具有庞大的表面积，吸湿性非常强，因此需要在一个较为干燥的环境下，完成这些工</w:t>
            </w:r>
            <w:r>
              <w:rPr>
                <w:rFonts w:ascii="宋体" w:hAnsi="宋体" w:eastAsia="宋体" w:cs="宋体"/>
                <w:color w:val="000000" w:themeColor="text1"/>
                <w:sz w:val="24"/>
                <w:szCs w:val="24"/>
                <w14:textFill>
                  <w14:solidFill>
                    <w14:schemeClr w14:val="tx1"/>
                  </w14:solidFill>
                </w14:textFill>
              </w:rPr>
              <w:t>序的操作。</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w:t>
            </w:r>
            <w:r>
              <w:rPr>
                <w:rFonts w:hint="eastAsia" w:ascii="Times New Roman" w:hAnsi="Times New Roman" w:cs="Times New Roman"/>
                <w:color w:val="000000" w:themeColor="text1"/>
                <w:kern w:val="0"/>
                <w:sz w:val="24"/>
                <w:lang w:eastAsia="zh-CN" w:bidi="ar"/>
                <w14:textFill>
                  <w14:solidFill>
                    <w14:schemeClr w14:val="tx1"/>
                  </w14:solidFill>
                </w14:textFill>
              </w:rPr>
              <w:t>固废</w:t>
            </w:r>
            <w:r>
              <w:rPr>
                <w:rFonts w:hint="eastAsia" w:ascii="Times New Roman" w:hAnsi="Times New Roman" w:cs="Times New Roman"/>
                <w:color w:val="000000" w:themeColor="text1"/>
                <w:kern w:val="0"/>
                <w:sz w:val="24"/>
                <w:lang w:val="en-US" w:eastAsia="zh-CN" w:bidi="ar"/>
                <w14:textFill>
                  <w14:solidFill>
                    <w14:schemeClr w14:val="tx1"/>
                  </w14:solidFill>
                </w14:textFill>
              </w:rPr>
              <w:t>S2、</w:t>
            </w:r>
            <w:r>
              <w:rPr>
                <w:rFonts w:hint="default" w:ascii="Times New Roman" w:hAnsi="Times New Roman" w:cs="Times New Roman"/>
                <w:color w:val="000000" w:themeColor="text1"/>
                <w:kern w:val="0"/>
                <w:sz w:val="24"/>
                <w:lang w:eastAsia="zh-CN" w:bidi="ar"/>
                <w14:textFill>
                  <w14:solidFill>
                    <w14:schemeClr w14:val="tx1"/>
                  </w14:solidFill>
                </w14:textFill>
              </w:rPr>
              <w:t>噪声</w:t>
            </w:r>
            <w:r>
              <w:rPr>
                <w:rFonts w:hint="default" w:ascii="Times New Roman" w:hAnsi="Times New Roman" w:cs="Times New Roman"/>
                <w:color w:val="000000" w:themeColor="text1"/>
                <w:kern w:val="0"/>
                <w:sz w:val="24"/>
                <w:lang w:val="en-US" w:eastAsia="zh-CN" w:bidi="ar"/>
                <w14:textFill>
                  <w14:solidFill>
                    <w14:schemeClr w14:val="tx1"/>
                  </w14:solidFill>
                </w14:textFill>
              </w:rPr>
              <w:t>N。</w:t>
            </w:r>
          </w:p>
          <w:p w14:paraId="74B67A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kern w:val="0"/>
                <w:sz w:val="24"/>
                <w:lang w:val="en-US" w:eastAsia="zh-CN" w:bidi="ar"/>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fldChar w:fldCharType="begin"/>
            </w:r>
            <w:r>
              <w:rPr>
                <w:rFonts w:hint="default" w:ascii="Times New Roman" w:hAnsi="Times New Roman" w:cs="Times New Roman"/>
                <w:color w:val="000000" w:themeColor="text1"/>
                <w:kern w:val="0"/>
                <w:sz w:val="24"/>
                <w:lang w:bidi="ar"/>
                <w14:textFill>
                  <w14:solidFill>
                    <w14:schemeClr w14:val="tx1"/>
                  </w14:solidFill>
                </w14:textFill>
              </w:rPr>
              <w:instrText xml:space="preserve"> = 6 \* GB3 \* MERGEFORMAT </w:instrText>
            </w:r>
            <w:r>
              <w:rPr>
                <w:rFonts w:hint="default" w:ascii="Times New Roman" w:hAnsi="Times New Roman" w:cs="Times New Roman"/>
                <w:color w:val="000000" w:themeColor="text1"/>
                <w:kern w:val="0"/>
                <w:sz w:val="24"/>
                <w:lang w:bidi="ar"/>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⑥</w:t>
            </w:r>
            <w:r>
              <w:rPr>
                <w:rFonts w:hint="default" w:ascii="Times New Roman" w:hAnsi="Times New Roman" w:cs="Times New Roman"/>
                <w:color w:val="000000" w:themeColor="text1"/>
                <w:kern w:val="0"/>
                <w:sz w:val="24"/>
                <w:lang w:bidi="ar"/>
                <w14:textFill>
                  <w14:solidFill>
                    <w14:schemeClr w14:val="tx1"/>
                  </w14:solidFill>
                </w14:textFill>
              </w:rPr>
              <w:fldChar w:fldCharType="end"/>
            </w:r>
            <w:r>
              <w:rPr>
                <w:rFonts w:hint="eastAsia" w:ascii="宋体" w:hAnsi="宋体" w:eastAsia="宋体" w:cs="宋体"/>
                <w:color w:val="000000" w:themeColor="text1"/>
                <w:kern w:val="0"/>
                <w:sz w:val="24"/>
                <w:lang w:val="en-US" w:eastAsia="zh-CN" w:bidi="ar"/>
                <w14:textFill>
                  <w14:solidFill>
                    <w14:schemeClr w14:val="tx1"/>
                  </w14:solidFill>
                </w14:textFill>
              </w:rPr>
              <w:t>包装与贮存</w:t>
            </w:r>
          </w:p>
          <w:p w14:paraId="1D97ED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冻于食品常用的包装材料为PE袋及复合铝铂袋，PE袋常用作大包装用，复合铝铂袋常用作小包装用</w:t>
            </w:r>
            <w:r>
              <w:rPr>
                <w:rFonts w:hint="eastAsia" w:ascii="Times New Roman" w:hAnsi="Times New Roman"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外包装通常都选用牛皮瓦楞纸板箱</w:t>
            </w:r>
            <w:r>
              <w:rPr>
                <w:rFonts w:hint="eastAsia" w:ascii="Times New Roman" w:hAnsi="Times New Roman"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其大小符合集装箱运输之需要</w:t>
            </w:r>
            <w:r>
              <w:rPr>
                <w:rFonts w:hint="eastAsia" w:ascii="Times New Roman" w:hAnsi="Times New Roman"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bidi="ar"/>
                <w14:textFill>
                  <w14:solidFill>
                    <w14:schemeClr w14:val="tx1"/>
                  </w14:solidFill>
                </w14:textFill>
              </w:rPr>
              <w:t>用PE袋作内包装时，为强化其隔绝氧、水、汽的作用，常用双层，必要时，还可采用铁罐包装，但价格较高，应用不很普遍。冻干食品应贮存在阴凉、干燥处，如有条件，最好放置在低温低湿的环境中，保质期通常为1~2年。</w:t>
            </w:r>
            <w:r>
              <w:rPr>
                <w:rFonts w:hint="default" w:ascii="Times New Roman" w:hAnsi="Times New Roman" w:cs="Times New Roman"/>
                <w:color w:val="000000" w:themeColor="text1"/>
                <w:kern w:val="0"/>
                <w:sz w:val="24"/>
                <w:lang w:bidi="ar"/>
                <w14:textFill>
                  <w14:solidFill>
                    <w14:schemeClr w14:val="tx1"/>
                  </w14:solidFill>
                </w14:textFill>
              </w:rPr>
              <w:t>该工序</w:t>
            </w:r>
            <w:r>
              <w:rPr>
                <w:rFonts w:hint="default" w:ascii="Times New Roman" w:hAnsi="Times New Roman" w:cs="Times New Roman"/>
                <w:color w:val="000000" w:themeColor="text1"/>
                <w:kern w:val="0"/>
                <w:sz w:val="24"/>
                <w:lang w:eastAsia="zh-CN" w:bidi="ar"/>
                <w14:textFill>
                  <w14:solidFill>
                    <w14:schemeClr w14:val="tx1"/>
                  </w14:solidFill>
                </w14:textFill>
              </w:rPr>
              <w:t>会产生</w:t>
            </w:r>
            <w:r>
              <w:rPr>
                <w:rFonts w:hint="eastAsia" w:ascii="Times New Roman" w:hAnsi="Times New Roman" w:cs="Times New Roman"/>
                <w:color w:val="000000" w:themeColor="text1"/>
                <w:kern w:val="0"/>
                <w:sz w:val="24"/>
                <w:lang w:eastAsia="zh-CN" w:bidi="ar"/>
                <w14:textFill>
                  <w14:solidFill>
                    <w14:schemeClr w14:val="tx1"/>
                  </w14:solidFill>
                </w14:textFill>
              </w:rPr>
              <w:t>固废</w:t>
            </w:r>
            <w:r>
              <w:rPr>
                <w:rFonts w:hint="eastAsia" w:ascii="Times New Roman" w:hAnsi="Times New Roman" w:cs="Times New Roman"/>
                <w:color w:val="000000" w:themeColor="text1"/>
                <w:kern w:val="0"/>
                <w:sz w:val="24"/>
                <w:lang w:val="en-US" w:eastAsia="zh-CN" w:bidi="ar"/>
                <w14:textFill>
                  <w14:solidFill>
                    <w14:schemeClr w14:val="tx1"/>
                  </w14:solidFill>
                </w14:textFill>
              </w:rPr>
              <w:t>S3</w:t>
            </w:r>
            <w:r>
              <w:rPr>
                <w:rFonts w:hint="default" w:ascii="Times New Roman" w:hAnsi="Times New Roman" w:cs="Times New Roman"/>
                <w:color w:val="000000" w:themeColor="text1"/>
                <w:kern w:val="0"/>
                <w:sz w:val="24"/>
                <w:lang w:val="en-US" w:eastAsia="zh-CN" w:bidi="ar"/>
                <w14:textFill>
                  <w14:solidFill>
                    <w14:schemeClr w14:val="tx1"/>
                  </w14:solidFill>
                </w14:textFill>
              </w:rPr>
              <w:t>。</w:t>
            </w:r>
          </w:p>
          <w:p w14:paraId="7C4D22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项目生产过程中污染物产生及治理措施汇总如下：</w:t>
            </w:r>
          </w:p>
          <w:p w14:paraId="4AE200D0">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表2</w:t>
            </w:r>
            <w:r>
              <w:rPr>
                <w:rFonts w:hint="eastAsia" w:cs="Times New Roman"/>
                <w:b/>
                <w:bCs/>
                <w:color w:val="000000" w:themeColor="text1"/>
                <w:sz w:val="24"/>
                <w:szCs w:val="24"/>
                <w:highlight w:val="none"/>
                <w:lang w:val="en-US" w:eastAsia="zh-CN"/>
                <w14:textFill>
                  <w14:solidFill>
                    <w14:schemeClr w14:val="tx1"/>
                  </w14:solidFill>
                </w14:textFill>
              </w:rPr>
              <w:t>.10  建成</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后生产工艺产污节点、主要污染物及治理措施</w:t>
            </w:r>
          </w:p>
          <w:tbl>
            <w:tblPr>
              <w:tblStyle w:val="2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705"/>
              <w:gridCol w:w="1994"/>
              <w:gridCol w:w="3601"/>
            </w:tblGrid>
            <w:tr w14:paraId="6B8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Align w:val="center"/>
                </w:tcPr>
                <w:p w14:paraId="39D41B3B">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类别</w:t>
                  </w:r>
                </w:p>
              </w:tc>
              <w:tc>
                <w:tcPr>
                  <w:tcW w:w="1705" w:type="dxa"/>
                  <w:vAlign w:val="center"/>
                </w:tcPr>
                <w:p w14:paraId="44CE7E9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污染工序</w:t>
                  </w:r>
                </w:p>
              </w:tc>
              <w:tc>
                <w:tcPr>
                  <w:tcW w:w="1994" w:type="dxa"/>
                  <w:vAlign w:val="center"/>
                </w:tcPr>
                <w:p w14:paraId="7A501329">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主要污染物</w:t>
                  </w:r>
                </w:p>
              </w:tc>
              <w:tc>
                <w:tcPr>
                  <w:tcW w:w="3601" w:type="dxa"/>
                  <w:vAlign w:val="center"/>
                </w:tcPr>
                <w:p w14:paraId="5F9F864C">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治理措施</w:t>
                  </w:r>
                </w:p>
              </w:tc>
            </w:tr>
            <w:tr w14:paraId="1023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restart"/>
                  <w:vAlign w:val="center"/>
                </w:tcPr>
                <w:p w14:paraId="2003AFE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废气</w:t>
                  </w:r>
                </w:p>
              </w:tc>
              <w:tc>
                <w:tcPr>
                  <w:tcW w:w="1705" w:type="dxa"/>
                  <w:shd w:val="clear" w:color="auto" w:fill="auto"/>
                  <w:vAlign w:val="center"/>
                </w:tcPr>
                <w:p w14:paraId="77CE8585">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锅炉</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废气</w:t>
                  </w:r>
                </w:p>
              </w:tc>
              <w:tc>
                <w:tcPr>
                  <w:tcW w:w="1994" w:type="dxa"/>
                  <w:shd w:val="clear" w:color="auto" w:fill="auto"/>
                  <w:vAlign w:val="center"/>
                </w:tcPr>
                <w:p w14:paraId="22AA17A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颗粒物</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、SO</w:t>
                  </w:r>
                  <w:r>
                    <w:rPr>
                      <w:rFonts w:hint="eastAsia" w:cs="Times New Roman"/>
                      <w:b w:val="0"/>
                      <w:bCs w:val="0"/>
                      <w:color w:val="000000" w:themeColor="text1"/>
                      <w:sz w:val="21"/>
                      <w:szCs w:val="21"/>
                      <w:highlight w:val="none"/>
                      <w:vertAlign w:val="subscript"/>
                      <w:lang w:val="en-US" w:eastAsia="zh-CN"/>
                      <w14:textFill>
                        <w14:solidFill>
                          <w14:schemeClr w14:val="tx1"/>
                        </w14:solidFill>
                      </w14:textFill>
                    </w:rPr>
                    <w:t>2</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、NOx</w:t>
                  </w:r>
                </w:p>
              </w:tc>
              <w:tc>
                <w:tcPr>
                  <w:tcW w:w="3601" w:type="dxa"/>
                  <w:shd w:val="clear" w:color="auto" w:fill="auto"/>
                  <w:vAlign w:val="center"/>
                </w:tcPr>
                <w:p w14:paraId="5FD605F9">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r>
            <w:tr w14:paraId="371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01039543">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shd w:val="clear" w:color="auto" w:fill="auto"/>
                  <w:vAlign w:val="center"/>
                </w:tcPr>
                <w:p w14:paraId="6E2135B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p>
              </w:tc>
              <w:tc>
                <w:tcPr>
                  <w:tcW w:w="1994" w:type="dxa"/>
                  <w:shd w:val="clear" w:color="auto" w:fill="auto"/>
                  <w:vAlign w:val="center"/>
                </w:tcPr>
                <w:p w14:paraId="1D6DDBB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NH</w:t>
                  </w:r>
                  <w:r>
                    <w:rPr>
                      <w:rFonts w:hint="eastAsia" w:cs="Times New Roman"/>
                      <w:b w:val="0"/>
                      <w:bCs w:val="0"/>
                      <w:color w:val="000000" w:themeColor="text1"/>
                      <w:sz w:val="21"/>
                      <w:szCs w:val="21"/>
                      <w:highlight w:val="none"/>
                      <w:vertAlign w:val="subscript"/>
                      <w:lang w:val="en-US" w:eastAsia="zh-CN"/>
                      <w14:textFill>
                        <w14:solidFill>
                          <w14:schemeClr w14:val="tx1"/>
                        </w14:solidFill>
                      </w14:textFill>
                    </w:rPr>
                    <w:t>3</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、H</w:t>
                  </w:r>
                  <w:r>
                    <w:rPr>
                      <w:rFonts w:hint="eastAsia" w:cs="Times New Roman"/>
                      <w:b w:val="0"/>
                      <w:bCs w:val="0"/>
                      <w:color w:val="000000" w:themeColor="text1"/>
                      <w:sz w:val="21"/>
                      <w:szCs w:val="21"/>
                      <w:highlight w:val="none"/>
                      <w:vertAlign w:val="subscript"/>
                      <w:lang w:val="en-US" w:eastAsia="zh-CN"/>
                      <w14:textFill>
                        <w14:solidFill>
                          <w14:schemeClr w14:val="tx1"/>
                        </w14:solidFill>
                      </w14:textFill>
                    </w:rPr>
                    <w:t>2</w:t>
                  </w: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S</w:t>
                  </w:r>
                </w:p>
              </w:tc>
              <w:tc>
                <w:tcPr>
                  <w:tcW w:w="3601" w:type="dxa"/>
                  <w:shd w:val="clear" w:color="auto" w:fill="auto"/>
                  <w:vAlign w:val="center"/>
                </w:tcPr>
                <w:p w14:paraId="4D6B6091">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r>
            <w:tr w14:paraId="6433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restart"/>
                  <w:vAlign w:val="center"/>
                </w:tcPr>
                <w:p w14:paraId="41CDA18E">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废水</w:t>
                  </w:r>
                </w:p>
              </w:tc>
              <w:tc>
                <w:tcPr>
                  <w:tcW w:w="1705" w:type="dxa"/>
                  <w:vAlign w:val="center"/>
                </w:tcPr>
                <w:p w14:paraId="086615AE">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生活污水</w:t>
                  </w:r>
                </w:p>
              </w:tc>
              <w:tc>
                <w:tcPr>
                  <w:tcW w:w="1994" w:type="dxa"/>
                  <w:vAlign w:val="center"/>
                </w:tcPr>
                <w:p w14:paraId="6DD15CA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COD、BOD</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、氨氮、SS等</w:t>
                  </w:r>
                </w:p>
              </w:tc>
              <w:tc>
                <w:tcPr>
                  <w:tcW w:w="3601" w:type="dxa"/>
                  <w:vMerge w:val="restart"/>
                  <w:vAlign w:val="center"/>
                </w:tcPr>
                <w:p w14:paraId="0BA5A22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污水处理站（格栅+调节池+沉淀池+A/O池+二沉池）</w:t>
                  </w:r>
                </w:p>
              </w:tc>
            </w:tr>
            <w:tr w14:paraId="25A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6AC32D9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2E01F0A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果蔬冲洗废水</w:t>
                  </w:r>
                </w:p>
              </w:tc>
              <w:tc>
                <w:tcPr>
                  <w:tcW w:w="1994" w:type="dxa"/>
                  <w:vAlign w:val="center"/>
                </w:tcPr>
                <w:p w14:paraId="66A5C328">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COD、BOD</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、氨氮、SS等</w:t>
                  </w:r>
                </w:p>
              </w:tc>
              <w:tc>
                <w:tcPr>
                  <w:tcW w:w="3601" w:type="dxa"/>
                  <w:vMerge w:val="continue"/>
                  <w:vAlign w:val="center"/>
                </w:tcPr>
                <w:p w14:paraId="06CA21BC">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p>
              </w:tc>
            </w:tr>
            <w:tr w14:paraId="24DB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451252E4">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2BDB411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设备与地面清洗废水</w:t>
                  </w:r>
                </w:p>
              </w:tc>
              <w:tc>
                <w:tcPr>
                  <w:tcW w:w="1994" w:type="dxa"/>
                  <w:vAlign w:val="center"/>
                </w:tcPr>
                <w:p w14:paraId="69B118DD">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COD、BOD</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、氨氮、SS等</w:t>
                  </w:r>
                </w:p>
              </w:tc>
              <w:tc>
                <w:tcPr>
                  <w:tcW w:w="3601" w:type="dxa"/>
                  <w:vMerge w:val="continue"/>
                  <w:vAlign w:val="center"/>
                </w:tcPr>
                <w:p w14:paraId="2885D04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p>
              </w:tc>
            </w:tr>
            <w:tr w14:paraId="1F93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2F224CD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6A85DF1C">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锅炉废水</w:t>
                  </w:r>
                </w:p>
              </w:tc>
              <w:tc>
                <w:tcPr>
                  <w:tcW w:w="1994" w:type="dxa"/>
                  <w:vAlign w:val="center"/>
                </w:tcPr>
                <w:p w14:paraId="2E0ECBF1">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COD、SS</w:t>
                  </w:r>
                </w:p>
              </w:tc>
              <w:tc>
                <w:tcPr>
                  <w:tcW w:w="3601" w:type="dxa"/>
                  <w:vMerge w:val="continue"/>
                  <w:vAlign w:val="center"/>
                </w:tcPr>
                <w:p w14:paraId="17A96DE7">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p>
              </w:tc>
            </w:tr>
            <w:tr w14:paraId="6DAE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Align w:val="center"/>
                </w:tcPr>
                <w:p w14:paraId="360DE2DB">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噪声</w:t>
                  </w:r>
                </w:p>
              </w:tc>
              <w:tc>
                <w:tcPr>
                  <w:tcW w:w="1705" w:type="dxa"/>
                  <w:vAlign w:val="center"/>
                </w:tcPr>
                <w:p w14:paraId="483DD60C">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设备运行</w:t>
                  </w:r>
                </w:p>
              </w:tc>
              <w:tc>
                <w:tcPr>
                  <w:tcW w:w="1994" w:type="dxa"/>
                  <w:vAlign w:val="center"/>
                </w:tcPr>
                <w:p w14:paraId="37C47733">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生产设备、各类风机等</w:t>
                  </w:r>
                </w:p>
              </w:tc>
              <w:tc>
                <w:tcPr>
                  <w:tcW w:w="3601" w:type="dxa"/>
                  <w:vAlign w:val="center"/>
                </w:tcPr>
                <w:p w14:paraId="1F72D87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隔声、减振等</w:t>
                  </w:r>
                </w:p>
              </w:tc>
            </w:tr>
            <w:tr w14:paraId="03F5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restart"/>
                  <w:vAlign w:val="center"/>
                </w:tcPr>
                <w:p w14:paraId="0D05719D">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固废</w:t>
                  </w:r>
                </w:p>
              </w:tc>
              <w:tc>
                <w:tcPr>
                  <w:tcW w:w="1705" w:type="dxa"/>
                  <w:vAlign w:val="center"/>
                </w:tcPr>
                <w:p w14:paraId="4721764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员工生活</w:t>
                  </w:r>
                </w:p>
              </w:tc>
              <w:tc>
                <w:tcPr>
                  <w:tcW w:w="1994" w:type="dxa"/>
                  <w:vAlign w:val="center"/>
                </w:tcPr>
                <w:p w14:paraId="39A06960">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3601" w:type="dxa"/>
                  <w:vAlign w:val="center"/>
                </w:tcPr>
                <w:p w14:paraId="6103362B">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r w14:paraId="3B96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473A8F52">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2E6BA5C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预处理</w:t>
                  </w:r>
                </w:p>
              </w:tc>
              <w:tc>
                <w:tcPr>
                  <w:tcW w:w="1994" w:type="dxa"/>
                  <w:vAlign w:val="center"/>
                </w:tcPr>
                <w:p w14:paraId="709CC27A">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破损、坏烂果蔬</w:t>
                  </w:r>
                </w:p>
              </w:tc>
              <w:tc>
                <w:tcPr>
                  <w:tcW w:w="3601" w:type="dxa"/>
                  <w:vAlign w:val="center"/>
                </w:tcPr>
                <w:p w14:paraId="26132A77">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委托农户将固废作为有机肥处置利用</w:t>
                  </w:r>
                </w:p>
              </w:tc>
            </w:tr>
            <w:tr w14:paraId="6F5B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670D6211">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1D0C7DA6">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后处理、</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包装与贮存</w:t>
                  </w:r>
                </w:p>
              </w:tc>
              <w:tc>
                <w:tcPr>
                  <w:tcW w:w="1994" w:type="dxa"/>
                  <w:vAlign w:val="center"/>
                </w:tcPr>
                <w:p w14:paraId="5105402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废包装材料</w:t>
                  </w:r>
                </w:p>
              </w:tc>
              <w:tc>
                <w:tcPr>
                  <w:tcW w:w="3601" w:type="dxa"/>
                  <w:vAlign w:val="center"/>
                </w:tcPr>
                <w:p w14:paraId="6D722C22">
                  <w:pPr>
                    <w:keepNext w:val="0"/>
                    <w:keepLines w:val="0"/>
                    <w:pageBreakBefore w:val="0"/>
                    <w:kinsoku/>
                    <w:wordWrap/>
                    <w:overflowPunct/>
                    <w:topLinePunct/>
                    <w:autoSpaceDE/>
                    <w:autoSpaceDN/>
                    <w:bidi w:val="0"/>
                    <w:adjustRightInd w:val="0"/>
                    <w:snapToGrid w:val="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外售物资回收部门</w:t>
                  </w:r>
                </w:p>
              </w:tc>
            </w:tr>
            <w:tr w14:paraId="3E96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0088F53A">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vAlign w:val="center"/>
                </w:tcPr>
                <w:p w14:paraId="709F803B">
                  <w:pPr>
                    <w:keepNext w:val="0"/>
                    <w:keepLines w:val="0"/>
                    <w:pageBreakBefore w:val="0"/>
                    <w:widowControl/>
                    <w:suppressLineNumbers w:val="0"/>
                    <w:kinsoku/>
                    <w:wordWrap/>
                    <w:overflowPunct/>
                    <w:autoSpaceDE/>
                    <w:autoSpaceDN/>
                    <w:bidi w:val="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软水制备</w:t>
                  </w:r>
                </w:p>
              </w:tc>
              <w:tc>
                <w:tcPr>
                  <w:tcW w:w="1994" w:type="dxa"/>
                  <w:vAlign w:val="center"/>
                </w:tcPr>
                <w:p w14:paraId="47112CF4">
                  <w:pPr>
                    <w:keepNext w:val="0"/>
                    <w:keepLines w:val="0"/>
                    <w:pageBreakBefore w:val="0"/>
                    <w:widowControl/>
                    <w:suppressLineNumbers w:val="0"/>
                    <w:kinsoku/>
                    <w:wordWrap/>
                    <w:overflowPunct/>
                    <w:autoSpaceDE/>
                    <w:autoSpaceDN/>
                    <w:bidi w:val="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废反渗透膜</w:t>
                  </w:r>
                </w:p>
              </w:tc>
              <w:tc>
                <w:tcPr>
                  <w:tcW w:w="3601" w:type="dxa"/>
                  <w:vAlign w:val="center"/>
                </w:tcPr>
                <w:p w14:paraId="03D97567">
                  <w:pPr>
                    <w:keepNext w:val="0"/>
                    <w:keepLines w:val="0"/>
                    <w:pageBreakBefore w:val="0"/>
                    <w:kinsoku/>
                    <w:wordWrap/>
                    <w:overflowPunct/>
                    <w:topLinePunct/>
                    <w:autoSpaceDE/>
                    <w:autoSpaceDN/>
                    <w:bidi w:val="0"/>
                    <w:adjustRightInd w:val="0"/>
                    <w:snapToGrid w:val="0"/>
                    <w:jc w:val="center"/>
                    <w:textAlignment w:val="auto"/>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由厂家回收</w:t>
                  </w:r>
                </w:p>
              </w:tc>
            </w:tr>
            <w:tr w14:paraId="4FD5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0" w:type="dxa"/>
                  <w:vMerge w:val="continue"/>
                  <w:vAlign w:val="center"/>
                </w:tcPr>
                <w:p w14:paraId="2737A8FC">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pPr>
                </w:p>
              </w:tc>
              <w:tc>
                <w:tcPr>
                  <w:tcW w:w="1705" w:type="dxa"/>
                  <w:shd w:val="clear" w:color="auto" w:fill="auto"/>
                  <w:vAlign w:val="center"/>
                </w:tcPr>
                <w:p w14:paraId="77A4A689">
                  <w:pPr>
                    <w:keepNext w:val="0"/>
                    <w:keepLines w:val="0"/>
                    <w:pageBreakBefore w:val="0"/>
                    <w:widowControl/>
                    <w:suppressLineNumbers w:val="0"/>
                    <w:kinsoku/>
                    <w:wordWrap/>
                    <w:overflowPunct/>
                    <w:autoSpaceDE/>
                    <w:autoSpaceDN/>
                    <w:bidi w:val="0"/>
                    <w:spacing w:line="240" w:lineRule="auto"/>
                    <w:ind w:left="0" w:leftChars="0"/>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废水处理</w:t>
                  </w:r>
                </w:p>
              </w:tc>
              <w:tc>
                <w:tcPr>
                  <w:tcW w:w="1994" w:type="dxa"/>
                  <w:shd w:val="clear" w:color="auto" w:fill="auto"/>
                  <w:vAlign w:val="center"/>
                </w:tcPr>
                <w:p w14:paraId="2BE0B16A">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污水处理站污泥</w:t>
                  </w:r>
                </w:p>
              </w:tc>
              <w:tc>
                <w:tcPr>
                  <w:tcW w:w="3601" w:type="dxa"/>
                  <w:shd w:val="clear" w:color="auto" w:fill="auto"/>
                  <w:vAlign w:val="center"/>
                </w:tcPr>
                <w:p w14:paraId="4C90FCF3">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bl>
          <w:p w14:paraId="4CD0F199">
            <w:pPr>
              <w:bidi w:val="0"/>
              <w:jc w:val="both"/>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p>
        </w:tc>
      </w:tr>
    </w:tbl>
    <w:p w14:paraId="28B6CABC">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4"/>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5"/>
        <w:gridCol w:w="8506"/>
      </w:tblGrid>
      <w:tr w14:paraId="0E0AC2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7" w:type="dxa"/>
            <w:tcBorders>
              <w:tl2br w:val="nil"/>
              <w:tr2bl w:val="nil"/>
            </w:tcBorders>
            <w:noWrap w:val="0"/>
            <w:vAlign w:val="center"/>
          </w:tcPr>
          <w:p w14:paraId="29B550F6">
            <w:pPr>
              <w:pStyle w:val="22"/>
              <w:adjustRightInd w:val="0"/>
              <w:snapToGrid w:val="0"/>
              <w:spacing w:before="0" w:beforeAutospacing="0" w:after="0" w:afterAutospacing="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与项目有关的原有环境污染问题</w:t>
            </w:r>
          </w:p>
        </w:tc>
        <w:tc>
          <w:tcPr>
            <w:tcW w:w="8542" w:type="dxa"/>
            <w:tcBorders>
              <w:tl2br w:val="nil"/>
              <w:tr2bl w:val="nil"/>
            </w:tcBorders>
            <w:noWrap w:val="0"/>
            <w:vAlign w:val="center"/>
          </w:tcPr>
          <w:p w14:paraId="1D2D7E81">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snapToGrid/>
                <w:color w:val="000000" w:themeColor="text1"/>
                <w:spacing w:val="0"/>
                <w:kern w:val="0"/>
                <w:position w:val="0"/>
                <w:sz w:val="24"/>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14:textFill>
                  <w14:solidFill>
                    <w14:schemeClr w14:val="tx1"/>
                  </w14:solidFill>
                </w14:textFill>
              </w:rPr>
              <w:t>1、</w:t>
            </w:r>
            <w:r>
              <w:rPr>
                <w:rFonts w:hint="eastAsia" w:ascii="Times New Roman" w:hAnsi="Times New Roman" w:eastAsia="宋体" w:cs="Times New Roman"/>
                <w:b/>
                <w:bCs/>
                <w:snapToGrid/>
                <w:color w:val="000000" w:themeColor="text1"/>
                <w:spacing w:val="0"/>
                <w:kern w:val="0"/>
                <w:position w:val="0"/>
                <w:sz w:val="24"/>
                <w:lang w:eastAsia="zh-CN"/>
                <w14:textFill>
                  <w14:solidFill>
                    <w14:schemeClr w14:val="tx1"/>
                  </w14:solidFill>
                </w14:textFill>
              </w:rPr>
              <w:t>现有</w:t>
            </w:r>
            <w:r>
              <w:rPr>
                <w:rFonts w:hint="default" w:ascii="Times New Roman" w:hAnsi="Times New Roman" w:eastAsia="宋体" w:cs="Times New Roman"/>
                <w:b/>
                <w:bCs/>
                <w:snapToGrid/>
                <w:color w:val="000000" w:themeColor="text1"/>
                <w:spacing w:val="0"/>
                <w:kern w:val="0"/>
                <w:position w:val="0"/>
                <w:sz w:val="24"/>
                <w:lang w:eastAsia="zh-CN"/>
                <w14:textFill>
                  <w14:solidFill>
                    <w14:schemeClr w14:val="tx1"/>
                  </w14:solidFill>
                </w14:textFill>
              </w:rPr>
              <w:t>工程环保手续履行情况</w:t>
            </w:r>
          </w:p>
          <w:p w14:paraId="02F7222C">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安徽东方果园生物科技有限公司成立于2013年，选址位于宿州市高新技术产业开发区拂晓大道9号。</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现有工程环保手续履行情况见下表</w:t>
            </w:r>
            <w:r>
              <w:rPr>
                <w:rFonts w:hint="eastAsia" w:cs="Times New Roman"/>
                <w:b w:val="0"/>
                <w:bCs w:val="0"/>
                <w:color w:val="000000" w:themeColor="text1"/>
                <w:sz w:val="24"/>
                <w:szCs w:val="24"/>
                <w:highlight w:val="none"/>
                <w:lang w:val="en-US" w:eastAsia="zh-CN"/>
                <w14:textFill>
                  <w14:solidFill>
                    <w14:schemeClr w14:val="tx1"/>
                  </w14:solidFill>
                </w14:textFill>
              </w:rPr>
              <w:t>。</w:t>
            </w:r>
          </w:p>
          <w:p w14:paraId="0E867C39">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表2.11  现有项目环保手续履行情况</w:t>
            </w:r>
          </w:p>
          <w:tbl>
            <w:tblPr>
              <w:tblStyle w:val="25"/>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06"/>
              <w:gridCol w:w="3391"/>
              <w:gridCol w:w="1725"/>
              <w:gridCol w:w="1588"/>
            </w:tblGrid>
            <w:tr w14:paraId="3813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56528F77">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序号</w:t>
                  </w:r>
                </w:p>
              </w:tc>
              <w:tc>
                <w:tcPr>
                  <w:tcW w:w="1006" w:type="dxa"/>
                  <w:noWrap w:val="0"/>
                  <w:vAlign w:val="center"/>
                </w:tcPr>
                <w:p w14:paraId="145B8D3D">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项目名称</w:t>
                  </w:r>
                </w:p>
              </w:tc>
              <w:tc>
                <w:tcPr>
                  <w:tcW w:w="3391" w:type="dxa"/>
                  <w:noWrap w:val="0"/>
                  <w:vAlign w:val="center"/>
                </w:tcPr>
                <w:p w14:paraId="55489B89">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环评批复</w:t>
                  </w:r>
                </w:p>
              </w:tc>
              <w:tc>
                <w:tcPr>
                  <w:tcW w:w="1725" w:type="dxa"/>
                  <w:noWrap w:val="0"/>
                  <w:vAlign w:val="center"/>
                </w:tcPr>
                <w:p w14:paraId="3A3FECBA">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验收意见及备案</w:t>
                  </w:r>
                </w:p>
              </w:tc>
              <w:tc>
                <w:tcPr>
                  <w:tcW w:w="1588" w:type="dxa"/>
                  <w:noWrap w:val="0"/>
                  <w:vAlign w:val="center"/>
                </w:tcPr>
                <w:p w14:paraId="2E564A93">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排污许可手续</w:t>
                  </w:r>
                </w:p>
              </w:tc>
            </w:tr>
            <w:tr w14:paraId="2B48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3484299B">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w:t>
                  </w:r>
                </w:p>
              </w:tc>
              <w:tc>
                <w:tcPr>
                  <w:tcW w:w="1006" w:type="dxa"/>
                  <w:vMerge w:val="restart"/>
                  <w:noWrap w:val="0"/>
                  <w:vAlign w:val="center"/>
                </w:tcPr>
                <w:p w14:paraId="10B44E5E">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1000吨真空速冻果蔬干及现代电子商务产业综合服务中心项目</w:t>
                  </w:r>
                </w:p>
              </w:tc>
              <w:tc>
                <w:tcPr>
                  <w:tcW w:w="3391" w:type="dxa"/>
                  <w:noWrap w:val="0"/>
                  <w:vAlign w:val="center"/>
                </w:tcPr>
                <w:p w14:paraId="014B6024">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《宿州市环境保护局高新区分局关于1000吨真空速冻果蔬干及现代电子商务产业综合服务中心项目环境影响报告表的批复》（环函〔2015〕6号），宿州市环境保护局高新区分局，2015.4.22）</w:t>
                  </w:r>
                </w:p>
              </w:tc>
              <w:tc>
                <w:tcPr>
                  <w:tcW w:w="1725" w:type="dxa"/>
                  <w:vMerge w:val="restart"/>
                  <w:noWrap w:val="0"/>
                  <w:vAlign w:val="center"/>
                </w:tcPr>
                <w:p w14:paraId="08E0CAE0">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default" w:eastAsia="宋体"/>
                      <w:color w:val="000000" w:themeColor="text1"/>
                      <w:sz w:val="21"/>
                      <w:szCs w:val="21"/>
                      <w:vertAlign w:val="baseline"/>
                      <w:lang w:val="en-US" w:eastAsia="zh-CN"/>
                      <w14:textFill>
                        <w14:solidFill>
                          <w14:schemeClr w14:val="tx1"/>
                        </w14:solidFill>
                      </w14:textFill>
                    </w:rPr>
                    <w:t>《</w:t>
                  </w:r>
                  <w:r>
                    <w:rPr>
                      <w:rFonts w:hint="eastAsia"/>
                      <w:color w:val="000000" w:themeColor="text1"/>
                      <w:sz w:val="21"/>
                      <w:szCs w:val="21"/>
                      <w:vertAlign w:val="baseline"/>
                      <w:lang w:val="en-US" w:eastAsia="zh-CN"/>
                      <w14:textFill>
                        <w14:solidFill>
                          <w14:schemeClr w14:val="tx1"/>
                        </w14:solidFill>
                      </w14:textFill>
                    </w:rPr>
                    <w:t>安徽东方果园生物科技有限公司1000吨真空速冻果蔬干及现代电子商务产业综合服务中心项目</w:t>
                  </w:r>
                  <w:r>
                    <w:rPr>
                      <w:rFonts w:hint="default" w:eastAsia="宋体"/>
                      <w:color w:val="000000" w:themeColor="text1"/>
                      <w:sz w:val="21"/>
                      <w:szCs w:val="21"/>
                      <w:vertAlign w:val="baseline"/>
                      <w:lang w:val="en-US" w:eastAsia="zh-CN"/>
                      <w14:textFill>
                        <w14:solidFill>
                          <w14:schemeClr w14:val="tx1"/>
                        </w14:solidFill>
                      </w14:textFill>
                    </w:rPr>
                    <w:t>竣工环境保护验收的意见》</w:t>
                  </w:r>
                  <w:r>
                    <w:rPr>
                      <w:rFonts w:hint="eastAsia"/>
                      <w:color w:val="000000" w:themeColor="text1"/>
                      <w:sz w:val="21"/>
                      <w:szCs w:val="21"/>
                      <w:vertAlign w:val="baseline"/>
                      <w:lang w:val="en-US" w:eastAsia="zh-CN"/>
                      <w14:textFill>
                        <w14:solidFill>
                          <w14:schemeClr w14:val="tx1"/>
                        </w14:solidFill>
                      </w14:textFill>
                    </w:rPr>
                    <w:t>，2018.6.28</w:t>
                  </w:r>
                  <w:r>
                    <w:rPr>
                      <w:rFonts w:hint="default" w:eastAsia="宋体"/>
                      <w:color w:val="000000" w:themeColor="text1"/>
                      <w:sz w:val="21"/>
                      <w:szCs w:val="21"/>
                      <w:vertAlign w:val="baseline"/>
                      <w:lang w:val="en-US" w:eastAsia="zh-CN"/>
                      <w14:textFill>
                        <w14:solidFill>
                          <w14:schemeClr w14:val="tx1"/>
                        </w14:solidFill>
                      </w14:textFill>
                    </w:rPr>
                    <w:t>）</w:t>
                  </w:r>
                </w:p>
              </w:tc>
              <w:tc>
                <w:tcPr>
                  <w:tcW w:w="1588" w:type="dxa"/>
                  <w:vMerge w:val="restart"/>
                  <w:noWrap w:val="0"/>
                  <w:vAlign w:val="center"/>
                </w:tcPr>
                <w:p w14:paraId="67BE106C">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default" w:eastAsia="宋体"/>
                      <w:color w:val="000000" w:themeColor="text1"/>
                      <w:sz w:val="21"/>
                      <w:szCs w:val="21"/>
                      <w:vertAlign w:val="baseline"/>
                      <w:lang w:val="en-US" w:eastAsia="zh-CN"/>
                      <w14:textFill>
                        <w14:solidFill>
                          <w14:schemeClr w14:val="tx1"/>
                        </w14:solidFill>
                      </w14:textFill>
                    </w:rPr>
                    <w:t>固定污染源排污登记回执（登记编号：</w:t>
                  </w:r>
                  <w:r>
                    <w:rPr>
                      <w:rFonts w:hint="eastAsia"/>
                      <w:color w:val="000000" w:themeColor="text1"/>
                      <w:sz w:val="21"/>
                      <w:szCs w:val="21"/>
                      <w:vertAlign w:val="baseline"/>
                      <w:lang w:val="en-US" w:eastAsia="zh-CN"/>
                      <w14:textFill>
                        <w14:solidFill>
                          <w14:schemeClr w14:val="tx1"/>
                        </w14:solidFill>
                      </w14:textFill>
                    </w:rPr>
                    <w:t>913413000836873296002Z</w:t>
                  </w:r>
                  <w:r>
                    <w:rPr>
                      <w:rFonts w:hint="default" w:eastAsia="宋体"/>
                      <w:color w:val="000000" w:themeColor="text1"/>
                      <w:sz w:val="21"/>
                      <w:szCs w:val="21"/>
                      <w:vertAlign w:val="baseline"/>
                      <w:lang w:val="en-US" w:eastAsia="zh-CN"/>
                      <w14:textFill>
                        <w14:solidFill>
                          <w14:schemeClr w14:val="tx1"/>
                        </w14:solidFill>
                      </w14:textFill>
                    </w:rPr>
                    <w:t>）</w:t>
                  </w:r>
                </w:p>
              </w:tc>
            </w:tr>
            <w:tr w14:paraId="359B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279ADEEC">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w:t>
                  </w:r>
                </w:p>
              </w:tc>
              <w:tc>
                <w:tcPr>
                  <w:tcW w:w="1006" w:type="dxa"/>
                  <w:vMerge w:val="continue"/>
                  <w:noWrap w:val="0"/>
                  <w:vAlign w:val="center"/>
                </w:tcPr>
                <w:p w14:paraId="10B491D7">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3391" w:type="dxa"/>
                  <w:noWrap w:val="0"/>
                  <w:vAlign w:val="center"/>
                </w:tcPr>
                <w:p w14:paraId="486F401B">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《宿州市环境保护局高新区分局关于1000吨真空速冻果蔬干及现代电子商务产业综合服务中心项目变更报告环境影响报告表的批复》（环函〔2016〕4号），宿州市环境保护局高新区分局，2016.4.7）</w:t>
                  </w:r>
                </w:p>
              </w:tc>
              <w:tc>
                <w:tcPr>
                  <w:tcW w:w="1725" w:type="dxa"/>
                  <w:vMerge w:val="continue"/>
                  <w:noWrap w:val="0"/>
                  <w:vAlign w:val="center"/>
                </w:tcPr>
                <w:p w14:paraId="50269076">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c>
                <w:tcPr>
                  <w:tcW w:w="1588" w:type="dxa"/>
                  <w:vMerge w:val="continue"/>
                  <w:noWrap w:val="0"/>
                  <w:vAlign w:val="center"/>
                </w:tcPr>
                <w:p w14:paraId="2368800A">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r>
            <w:tr w14:paraId="467C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1" w:type="dxa"/>
                  <w:noWrap w:val="0"/>
                  <w:vAlign w:val="center"/>
                </w:tcPr>
                <w:p w14:paraId="594E7CC4">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w:t>
                  </w:r>
                </w:p>
              </w:tc>
              <w:tc>
                <w:tcPr>
                  <w:tcW w:w="1006" w:type="dxa"/>
                  <w:noWrap w:val="0"/>
                  <w:vAlign w:val="center"/>
                </w:tcPr>
                <w:p w14:paraId="67DD3A8E">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果蔬干生产车间升级改造项目</w:t>
                  </w:r>
                </w:p>
              </w:tc>
              <w:tc>
                <w:tcPr>
                  <w:tcW w:w="3391" w:type="dxa"/>
                  <w:noWrap w:val="0"/>
                  <w:vAlign w:val="center"/>
                </w:tcPr>
                <w:p w14:paraId="20F3B9EA">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《关于安徽东方果园生物科技有限公果蔬干生产车间升级改造项目环境影响报告表的批复》（环函〔2017〕32号），宿州市环境保护局高新区分局，20117.11.16）</w:t>
                  </w:r>
                </w:p>
              </w:tc>
              <w:tc>
                <w:tcPr>
                  <w:tcW w:w="1725" w:type="dxa"/>
                  <w:vMerge w:val="continue"/>
                  <w:noWrap w:val="0"/>
                  <w:vAlign w:val="center"/>
                </w:tcPr>
                <w:p w14:paraId="5999E546">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c>
                <w:tcPr>
                  <w:tcW w:w="1588" w:type="dxa"/>
                  <w:vMerge w:val="continue"/>
                  <w:noWrap w:val="0"/>
                  <w:vAlign w:val="center"/>
                </w:tcPr>
                <w:p w14:paraId="6E5A3FA1">
                  <w:pPr>
                    <w:pStyle w:val="2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p>
              </w:tc>
            </w:tr>
          </w:tbl>
          <w:p w14:paraId="26FE8A9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2、现有工程污染物实际排放总量</w:t>
            </w:r>
          </w:p>
          <w:p w14:paraId="2366A312">
            <w:pPr>
              <w:tabs>
                <w:tab w:val="left" w:pos="1755"/>
              </w:tabs>
              <w:adjustRightInd w:val="0"/>
              <w:snapToGrid w:val="0"/>
              <w:spacing w:line="360" w:lineRule="auto"/>
              <w:ind w:firstLine="480" w:firstLineChars="200"/>
              <w:rPr>
                <w:b/>
                <w:bCs/>
                <w:color w:val="000000" w:themeColor="text1"/>
                <w:sz w:val="24"/>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（1）</w:t>
            </w:r>
            <w:r>
              <w:rPr>
                <w:color w:val="000000" w:themeColor="text1"/>
                <w:sz w:val="24"/>
                <w:highlight w:val="none"/>
                <w14:textFill>
                  <w14:solidFill>
                    <w14:schemeClr w14:val="tx1"/>
                  </w14:solidFill>
                </w14:textFill>
              </w:rPr>
              <w:t>废气</w:t>
            </w:r>
          </w:p>
          <w:p w14:paraId="12AE1BE4">
            <w:pPr>
              <w:pStyle w:val="3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Autospacing="0" w:after="0" w:afterAutospacing="0" w:line="360" w:lineRule="auto"/>
              <w:ind w:left="0" w:right="0" w:firstLine="480" w:firstLineChars="200"/>
              <w:textAlignment w:val="auto"/>
              <w:rPr>
                <w:color w:val="000000" w:themeColor="text1"/>
                <w:sz w:val="24"/>
                <w:szCs w:val="24"/>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现有工程</w:t>
            </w:r>
            <w:r>
              <w:rPr>
                <w:rFonts w:hint="default"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t>年产能为果蔬干10000吨</w:t>
            </w:r>
            <w:r>
              <w:rPr>
                <w:rFonts w:hint="default" w:ascii="Times New Roman" w:hAnsi="Times New Roman" w:cs="Times New Roman"/>
                <w:snapToGrid/>
                <w:color w:val="000000" w:themeColor="text1"/>
                <w:spacing w:val="0"/>
                <w:kern w:val="0"/>
                <w:position w:val="0"/>
                <w:sz w:val="24"/>
                <w:szCs w:val="24"/>
                <w:lang w:val="en-US" w:eastAsia="zh-CN"/>
                <w14:textFill>
                  <w14:solidFill>
                    <w14:schemeClr w14:val="tx1"/>
                  </w14:solidFill>
                </w14:textFill>
              </w:rPr>
              <w:t>，废气</w:t>
            </w:r>
            <w:r>
              <w:rPr>
                <w:rFonts w:hint="default" w:ascii="Times New Roman" w:hAnsi="Times New Roman" w:cs="Times New Roman"/>
                <w:color w:val="000000" w:themeColor="text1"/>
                <w:sz w:val="24"/>
                <w:szCs w:val="24"/>
                <w:highlight w:val="none"/>
                <w14:textFill>
                  <w14:solidFill>
                    <w14:schemeClr w14:val="tx1"/>
                  </w14:solidFill>
                </w14:textFill>
              </w:rPr>
              <w:t>污染物实际排放总量根据《</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废气</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JJ2025</w:t>
            </w:r>
            <w:r>
              <w:rPr>
                <w:rFonts w:hint="eastAsia" w:ascii="Times New Roman" w:cs="Times New Roman"/>
                <w:color w:val="000000" w:themeColor="text1"/>
                <w:sz w:val="24"/>
                <w:szCs w:val="24"/>
                <w:highlight w:val="none"/>
                <w:lang w:val="en-US" w:eastAsia="zh-CN"/>
                <w14:textFill>
                  <w14:solidFill>
                    <w14:schemeClr w14:val="tx1"/>
                  </w14:solidFill>
                </w14:textFill>
              </w:rPr>
              <w:t>007</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w:t>
            </w:r>
            <w:r>
              <w:rPr>
                <w:rFonts w:hint="eastAsia" w:asci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安徽东方果园生物科技有限公司厂界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废气、噪声</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JJ</w:t>
            </w:r>
            <w:r>
              <w:rPr>
                <w:rFonts w:hint="eastAsia" w:ascii="Times New Roman" w:cs="Times New Roman"/>
                <w:color w:val="000000" w:themeColor="text1"/>
                <w:sz w:val="24"/>
                <w:szCs w:val="24"/>
                <w:highlight w:val="none"/>
                <w:lang w:val="en-US" w:eastAsia="zh-CN"/>
                <w14:textFill>
                  <w14:solidFill>
                    <w14:schemeClr w14:val="tx1"/>
                  </w14:solidFill>
                </w14:textFill>
              </w:rPr>
              <w:t>ZX</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w:t>
            </w:r>
            <w:r>
              <w:rPr>
                <w:rFonts w:hint="eastAsia" w:ascii="Times New Roman" w:cs="Times New Roman"/>
                <w:color w:val="000000" w:themeColor="text1"/>
                <w:sz w:val="24"/>
                <w:szCs w:val="24"/>
                <w:highlight w:val="none"/>
                <w:lang w:val="en-US" w:eastAsia="zh-CN"/>
                <w14:textFill>
                  <w14:solidFill>
                    <w14:schemeClr w14:val="tx1"/>
                  </w14:solidFill>
                </w14:textFill>
              </w:rPr>
              <w:t>1351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w:t>
            </w:r>
            <w:r>
              <w:rPr>
                <w:rFonts w:hint="eastAsia" w:ascii="Times New Roman"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中的结果进行核算。</w:t>
            </w:r>
            <w:r>
              <w:rPr>
                <w:rFonts w:hint="eastAsia" w:ascii="宋体" w:hAnsi="宋体" w:cs="宋体"/>
                <w:color w:val="000000" w:themeColor="text1"/>
                <w:sz w:val="24"/>
                <w:szCs w:val="24"/>
                <w:highlight w:val="none"/>
                <w:lang w:eastAsia="zh-CN"/>
                <w14:textFill>
                  <w14:solidFill>
                    <w14:schemeClr w14:val="tx1"/>
                  </w14:solidFill>
                </w14:textFill>
              </w:rPr>
              <w:t>其</w:t>
            </w:r>
            <w:r>
              <w:rPr>
                <w:color w:val="000000" w:themeColor="text1"/>
                <w:sz w:val="24"/>
                <w:szCs w:val="24"/>
                <w:highlight w:val="none"/>
                <w14:textFill>
                  <w14:solidFill>
                    <w14:schemeClr w14:val="tx1"/>
                  </w14:solidFill>
                </w14:textFill>
              </w:rPr>
              <w:t>结果如下：</w:t>
            </w:r>
          </w:p>
          <w:p w14:paraId="5D9892AD">
            <w:pPr>
              <w:pStyle w:val="32"/>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Autospacing="0" w:after="0" w:afterAutospacing="0" w:line="360" w:lineRule="auto"/>
              <w:ind w:left="0" w:right="0" w:firstLine="480" w:firstLineChars="200"/>
              <w:textAlignment w:val="auto"/>
              <w:rPr>
                <w:rFonts w:hint="eastAsia" w:ascii="Times New Roman" w:cs="Times New Roman"/>
                <w:color w:val="000000" w:themeColor="text1"/>
                <w:kern w:val="2"/>
                <w:sz w:val="24"/>
                <w:szCs w:val="24"/>
                <w:lang w:val="en-US" w:eastAsia="zh-CN" w:bidi="ar-SA"/>
                <w14:textFill>
                  <w14:solidFill>
                    <w14:schemeClr w14:val="tx1"/>
                  </w14:solidFill>
                </w14:textFill>
              </w:rPr>
            </w:pPr>
            <w:r>
              <w:rPr>
                <w:rFonts w:hint="eastAsia" w:ascii="Times New Roman" w:cs="Times New Roman"/>
                <w:color w:val="000000" w:themeColor="text1"/>
                <w:kern w:val="2"/>
                <w:sz w:val="24"/>
                <w:szCs w:val="24"/>
                <w:lang w:val="en-US" w:eastAsia="zh-CN" w:bidi="ar-SA"/>
                <w14:textFill>
                  <w14:solidFill>
                    <w14:schemeClr w14:val="tx1"/>
                  </w14:solidFill>
                </w14:textFill>
              </w:rPr>
              <w:t>项目目前废气处理措施：2T锅炉废气：低氮燃烧器+12m高排气筒（DA002）。具体监测数据如下：</w:t>
            </w:r>
          </w:p>
          <w:p w14:paraId="0DC3B7A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表2.</w:t>
            </w:r>
            <w:r>
              <w:rPr>
                <w:rFonts w:hint="eastAsia" w:cs="Times New Roman"/>
                <w:b/>
                <w:bCs/>
                <w:color w:val="000000" w:themeColor="text1"/>
                <w:kern w:val="2"/>
                <w:sz w:val="24"/>
                <w:szCs w:val="24"/>
                <w:lang w:val="en-US" w:eastAsia="zh-CN" w:bidi="ar-SA"/>
                <w14:textFill>
                  <w14:solidFill>
                    <w14:schemeClr w14:val="tx1"/>
                  </w14:solidFill>
                </w14:textFill>
              </w:rPr>
              <w:t>12</w:t>
            </w: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 </w:t>
            </w:r>
            <w:r>
              <w:rPr>
                <w:rFonts w:hint="eastAsia" w:ascii="Times New Roman" w:cs="Times New Roman"/>
                <w:color w:val="000000" w:themeColor="text1"/>
                <w:kern w:val="2"/>
                <w:sz w:val="24"/>
                <w:szCs w:val="24"/>
                <w:lang w:val="en-US" w:eastAsia="zh-CN" w:bidi="ar-SA"/>
                <w14:textFill>
                  <w14:solidFill>
                    <w14:schemeClr w14:val="tx1"/>
                  </w14:solidFill>
                </w14:textFill>
              </w:rPr>
              <w:t xml:space="preserve"> </w:t>
            </w:r>
            <w:r>
              <w:rPr>
                <w:rFonts w:hint="eastAsia" w:ascii="Times New Roman" w:cs="Times New Roman"/>
                <w:b/>
                <w:bCs/>
                <w:color w:val="000000" w:themeColor="text1"/>
                <w:kern w:val="2"/>
                <w:sz w:val="24"/>
                <w:szCs w:val="24"/>
                <w:lang w:val="en-US" w:eastAsia="zh-CN" w:bidi="ar-SA"/>
                <w14:textFill>
                  <w14:solidFill>
                    <w14:schemeClr w14:val="tx1"/>
                  </w14:solidFill>
                </w14:textFill>
              </w:rPr>
              <w:t>2T锅炉废气</w:t>
            </w:r>
            <w:r>
              <w:rPr>
                <w:rFonts w:hint="eastAsia" w:cs="Times New Roman"/>
                <w:b/>
                <w:bCs/>
                <w:color w:val="000000" w:themeColor="text1"/>
                <w:kern w:val="2"/>
                <w:sz w:val="24"/>
                <w:szCs w:val="24"/>
                <w:lang w:val="en-US" w:eastAsia="zh-CN" w:bidi="ar-SA"/>
                <w14:textFill>
                  <w14:solidFill>
                    <w14:schemeClr w14:val="tx1"/>
                  </w14:solidFill>
                </w14:textFill>
              </w:rPr>
              <w:t>排</w:t>
            </w:r>
            <w:r>
              <w:rPr>
                <w:rFonts w:hint="eastAsia" w:cs="Times New Roman"/>
                <w:b/>
                <w:bCs/>
                <w:color w:val="000000" w:themeColor="text1"/>
                <w:sz w:val="24"/>
                <w:szCs w:val="24"/>
                <w:lang w:val="en-US" w:eastAsia="zh-CN"/>
                <w14:textFill>
                  <w14:solidFill>
                    <w14:schemeClr w14:val="tx1"/>
                  </w14:solidFill>
                </w14:textFill>
              </w:rPr>
              <w:t>口</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20</w:t>
            </w:r>
            <w:r>
              <w:rPr>
                <w:rFonts w:hint="eastAsia" w:cs="Times New Roman"/>
                <w:b/>
                <w:bCs/>
                <w:color w:val="000000" w:themeColor="text1"/>
                <w:sz w:val="24"/>
                <w:szCs w:val="24"/>
                <w:lang w:val="en-US" w:eastAsia="zh-CN"/>
                <w14:textFill>
                  <w14:solidFill>
                    <w14:schemeClr w14:val="tx1"/>
                  </w14:solidFill>
                </w14:textFill>
              </w:rPr>
              <w:t>25</w:t>
            </w:r>
            <w:r>
              <w:rPr>
                <w:rFonts w:hint="eastAsia" w:ascii="Times New Roman" w:hAnsi="Times New Roman" w:cs="Times New Roman"/>
                <w:b/>
                <w:bCs/>
                <w:color w:val="000000" w:themeColor="text1"/>
                <w:sz w:val="24"/>
                <w:szCs w:val="24"/>
                <w:lang w:val="en-US" w:eastAsia="zh-CN"/>
                <w14:textFill>
                  <w14:solidFill>
                    <w14:schemeClr w14:val="tx1"/>
                  </w14:solidFill>
                </w14:textFill>
              </w:rPr>
              <w:t>年</w:t>
            </w:r>
            <w:r>
              <w:rPr>
                <w:rFonts w:hint="eastAsia"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lang w:val="en-US" w:eastAsia="zh-CN"/>
                <w14:textFill>
                  <w14:solidFill>
                    <w14:schemeClr w14:val="tx1"/>
                  </w14:solidFill>
                </w14:textFill>
              </w:rPr>
              <w:t>月</w:t>
            </w:r>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cs="Times New Roman"/>
                <w:b/>
                <w:bCs/>
                <w:color w:val="000000" w:themeColor="text1"/>
                <w:sz w:val="24"/>
                <w:szCs w:val="24"/>
                <w:lang w:val="en-US" w:eastAsia="zh-CN"/>
                <w14:textFill>
                  <w14:solidFill>
                    <w14:schemeClr w14:val="tx1"/>
                  </w14:solidFill>
                </w14:textFill>
              </w:rPr>
              <w:t>日</w:t>
            </w:r>
            <w:r>
              <w:rPr>
                <w:rFonts w:hint="default" w:ascii="Times New Roman" w:hAnsi="Times New Roman" w:cs="Times New Roman"/>
                <w:b/>
                <w:bCs/>
                <w:color w:val="000000" w:themeColor="text1"/>
                <w:sz w:val="24"/>
                <w:szCs w:val="24"/>
                <w:lang w:eastAsia="zh-CN"/>
                <w14:textFill>
                  <w14:solidFill>
                    <w14:schemeClr w14:val="tx1"/>
                  </w14:solidFill>
                </w14:textFill>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751"/>
              <w:gridCol w:w="5268"/>
            </w:tblGrid>
            <w:tr w14:paraId="30F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5E5289C6">
                  <w:pPr>
                    <w:keepNext w:val="0"/>
                    <w:keepLines w:val="0"/>
                    <w:pageBreakBefore w:val="0"/>
                    <w:widowControl w:val="0"/>
                    <w:kinsoku/>
                    <w:wordWrap/>
                    <w:overflowPunct/>
                    <w:topLinePunct w:val="0"/>
                    <w:bidi w:val="0"/>
                    <w:adjustRightInd/>
                    <w:snapToGrid w:val="0"/>
                    <w:spacing w:line="240" w:lineRule="auto"/>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eastAsia="zh-CN"/>
                      <w14:textFill>
                        <w14:solidFill>
                          <w14:schemeClr w14:val="tx1"/>
                        </w14:solidFill>
                      </w14:textFill>
                    </w:rPr>
                    <w:t>项目名称</w:t>
                  </w:r>
                </w:p>
              </w:tc>
              <w:tc>
                <w:tcPr>
                  <w:tcW w:w="5268" w:type="dxa"/>
                  <w:noWrap w:val="0"/>
                  <w:vAlign w:val="center"/>
                </w:tcPr>
                <w:p w14:paraId="633033D9">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废气处理设施进口</w:t>
                  </w:r>
                </w:p>
              </w:tc>
            </w:tr>
            <w:tr w14:paraId="4D86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096DDD63">
                  <w:pPr>
                    <w:keepNext w:val="0"/>
                    <w:keepLines w:val="0"/>
                    <w:pageBreakBefore w:val="0"/>
                    <w:widowControl w:val="0"/>
                    <w:kinsoku/>
                    <w:wordWrap/>
                    <w:overflowPunct/>
                    <w:topLinePunct w:val="0"/>
                    <w:bidi w:val="0"/>
                    <w:adjustRightInd/>
                    <w:snapToGrid w:val="0"/>
                    <w:spacing w:line="240" w:lineRule="auto"/>
                    <w:jc w:val="center"/>
                    <w:textAlignment w:val="auto"/>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eastAsia="zh-CN"/>
                      <w14:textFill>
                        <w14:solidFill>
                          <w14:schemeClr w14:val="tx1"/>
                        </w14:solidFill>
                      </w14:textFill>
                    </w:rPr>
                    <w:t>排气筒高度</w:t>
                  </w:r>
                  <w:r>
                    <w:rPr>
                      <w:rFonts w:hint="eastAsia" w:eastAsia="宋体" w:cs="Times New Roman"/>
                      <w:b w:val="0"/>
                      <w:bCs w:val="0"/>
                      <w:color w:val="000000" w:themeColor="text1"/>
                      <w:sz w:val="21"/>
                      <w:szCs w:val="21"/>
                      <w:lang w:val="en-US" w:eastAsia="zh-CN"/>
                      <w14:textFill>
                        <w14:solidFill>
                          <w14:schemeClr w14:val="tx1"/>
                        </w14:solidFill>
                      </w14:textFill>
                    </w:rPr>
                    <w:t>m</w:t>
                  </w:r>
                </w:p>
              </w:tc>
              <w:tc>
                <w:tcPr>
                  <w:tcW w:w="5268" w:type="dxa"/>
                  <w:noWrap w:val="0"/>
                  <w:vAlign w:val="center"/>
                </w:tcPr>
                <w:p w14:paraId="12473551">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12</w:t>
                  </w:r>
                </w:p>
              </w:tc>
            </w:tr>
            <w:tr w14:paraId="7909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527BAE6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eastAsia="zh-CN"/>
                      <w14:textFill>
                        <w14:solidFill>
                          <w14:schemeClr w14:val="tx1"/>
                        </w14:solidFill>
                      </w14:textFill>
                    </w:rPr>
                    <w:t>标干流量</w:t>
                  </w:r>
                  <w:r>
                    <w:rPr>
                      <w:rFonts w:hint="eastAsia" w:eastAsia="宋体" w:cs="Times New Roman"/>
                      <w:b w:val="0"/>
                      <w:bCs w:val="0"/>
                      <w:color w:val="000000" w:themeColor="text1"/>
                      <w:sz w:val="21"/>
                      <w:szCs w:val="21"/>
                      <w:lang w:val="en-US" w:eastAsia="zh-CN"/>
                      <w14:textFill>
                        <w14:solidFill>
                          <w14:schemeClr w14:val="tx1"/>
                        </w14:solidFill>
                      </w14:textFill>
                    </w:rPr>
                    <w:t>m</w:t>
                  </w:r>
                  <w:r>
                    <w:rPr>
                      <w:rFonts w:hint="eastAsia" w:eastAsia="宋体" w:cs="Times New Roman"/>
                      <w:b w:val="0"/>
                      <w:bCs w:val="0"/>
                      <w:color w:val="000000" w:themeColor="text1"/>
                      <w:sz w:val="21"/>
                      <w:szCs w:val="21"/>
                      <w:vertAlign w:val="superscript"/>
                      <w:lang w:val="en-US" w:eastAsia="zh-CN"/>
                      <w14:textFill>
                        <w14:solidFill>
                          <w14:schemeClr w14:val="tx1"/>
                        </w14:solidFill>
                      </w14:textFill>
                    </w:rPr>
                    <w:t>3</w:t>
                  </w:r>
                  <w:r>
                    <w:rPr>
                      <w:rFonts w:hint="eastAsia" w:eastAsia="宋体" w:cs="Times New Roman"/>
                      <w:b w:val="0"/>
                      <w:bCs w:val="0"/>
                      <w:color w:val="000000" w:themeColor="text1"/>
                      <w:sz w:val="21"/>
                      <w:szCs w:val="21"/>
                      <w:lang w:val="en-US" w:eastAsia="zh-CN"/>
                      <w14:textFill>
                        <w14:solidFill>
                          <w14:schemeClr w14:val="tx1"/>
                        </w14:solidFill>
                      </w14:textFill>
                    </w:rPr>
                    <w:t>/h</w:t>
                  </w:r>
                </w:p>
              </w:tc>
              <w:tc>
                <w:tcPr>
                  <w:tcW w:w="5268" w:type="dxa"/>
                  <w:noWrap w:val="0"/>
                  <w:vAlign w:val="center"/>
                </w:tcPr>
                <w:p w14:paraId="1CE2D160">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2102</w:t>
                  </w:r>
                </w:p>
              </w:tc>
            </w:tr>
            <w:tr w14:paraId="4173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760E678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含氧量</w:t>
                  </w:r>
                  <w:r>
                    <w:rPr>
                      <w:rFonts w:hint="eastAsia" w:cs="Times New Roman"/>
                      <w:b w:val="0"/>
                      <w:bCs w:val="0"/>
                      <w:color w:val="000000" w:themeColor="text1"/>
                      <w:sz w:val="21"/>
                      <w:szCs w:val="21"/>
                      <w:lang w:val="en-US" w:eastAsia="zh-CN"/>
                      <w14:textFill>
                        <w14:solidFill>
                          <w14:schemeClr w14:val="tx1"/>
                        </w14:solidFill>
                      </w14:textFill>
                    </w:rPr>
                    <w:t>%</w:t>
                  </w:r>
                </w:p>
              </w:tc>
              <w:tc>
                <w:tcPr>
                  <w:tcW w:w="5268" w:type="dxa"/>
                  <w:noWrap w:val="0"/>
                  <w:vAlign w:val="center"/>
                </w:tcPr>
                <w:p w14:paraId="09D5F3FA">
                  <w:pPr>
                    <w:autoSpaceDE w:val="0"/>
                    <w:autoSpaceDN w:val="0"/>
                    <w:jc w:val="center"/>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4.5</w:t>
                  </w:r>
                </w:p>
              </w:tc>
            </w:tr>
            <w:tr w14:paraId="55C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2" w:type="dxa"/>
                  <w:gridSpan w:val="2"/>
                  <w:noWrap w:val="0"/>
                  <w:vAlign w:val="center"/>
                </w:tcPr>
                <w:p w14:paraId="721E7AE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烟气黑度（级）</w:t>
                  </w:r>
                </w:p>
              </w:tc>
              <w:tc>
                <w:tcPr>
                  <w:tcW w:w="5268" w:type="dxa"/>
                  <w:noWrap w:val="0"/>
                  <w:vAlign w:val="center"/>
                </w:tcPr>
                <w:p w14:paraId="7FF67E3D">
                  <w:pPr>
                    <w:autoSpaceDE w:val="0"/>
                    <w:autoSpaceDN w:val="0"/>
                    <w:jc w:val="center"/>
                    <w:rPr>
                      <w:rFonts w:hint="default"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 xml:space="preserve"> 1</w:t>
                  </w:r>
                </w:p>
              </w:tc>
            </w:tr>
            <w:tr w14:paraId="78BF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restart"/>
                  <w:noWrap w:val="0"/>
                  <w:vAlign w:val="center"/>
                </w:tcPr>
                <w:p w14:paraId="03C58BB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颗粒物</w:t>
                  </w:r>
                </w:p>
              </w:tc>
              <w:tc>
                <w:tcPr>
                  <w:tcW w:w="1751" w:type="dxa"/>
                  <w:noWrap w:val="0"/>
                  <w:vAlign w:val="center"/>
                </w:tcPr>
                <w:p w14:paraId="1BCC012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实测浓度mg/m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5A9969F0">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3.1</w:t>
                  </w:r>
                </w:p>
              </w:tc>
            </w:tr>
            <w:tr w14:paraId="4B22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293A8955">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p>
              </w:tc>
              <w:tc>
                <w:tcPr>
                  <w:tcW w:w="1751" w:type="dxa"/>
                  <w:noWrap w:val="0"/>
                  <w:vAlign w:val="center"/>
                </w:tcPr>
                <w:p w14:paraId="762E7A3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4AF258CE">
                  <w:pPr>
                    <w:autoSpaceDE w:val="0"/>
                    <w:autoSpaceDN w:val="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3.3</w:t>
                  </w:r>
                </w:p>
              </w:tc>
            </w:tr>
            <w:tr w14:paraId="09BC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490BB62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noWrap w:val="0"/>
                  <w:vAlign w:val="center"/>
                </w:tcPr>
                <w:p w14:paraId="54F60ED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排放速率kg/h</w:t>
                  </w:r>
                </w:p>
              </w:tc>
              <w:tc>
                <w:tcPr>
                  <w:tcW w:w="5268" w:type="dxa"/>
                  <w:noWrap w:val="0"/>
                  <w:vAlign w:val="center"/>
                </w:tcPr>
                <w:p w14:paraId="2CF5341B">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6.52</w:t>
                  </w:r>
                  <w:r>
                    <w:rPr>
                      <w:rFonts w:hint="default" w:ascii="Arial" w:hAnsi="Arial" w:cs="Arial"/>
                      <w:b w:val="0"/>
                      <w:bCs w:val="0"/>
                      <w:color w:val="000000" w:themeColor="text1"/>
                      <w:sz w:val="21"/>
                      <w:szCs w:val="21"/>
                      <w:lang w:val="en-US" w:eastAsia="zh-CN"/>
                      <w14:textFill>
                        <w14:solidFill>
                          <w14:schemeClr w14:val="tx1"/>
                        </w14:solidFill>
                      </w14:textFill>
                    </w:rPr>
                    <w:t>×</w:t>
                  </w:r>
                  <w:r>
                    <w:rPr>
                      <w:rFonts w:hint="eastAsia" w:cs="Times New Roman"/>
                      <w:b w:val="0"/>
                      <w:bCs w:val="0"/>
                      <w:color w:val="000000" w:themeColor="text1"/>
                      <w:sz w:val="21"/>
                      <w:szCs w:val="21"/>
                      <w:lang w:val="en-US" w:eastAsia="zh-CN"/>
                      <w14:textFill>
                        <w14:solidFill>
                          <w14:schemeClr w14:val="tx1"/>
                        </w14:solidFill>
                      </w14:textFill>
                    </w:rPr>
                    <w:t>10</w:t>
                  </w:r>
                  <w:r>
                    <w:rPr>
                      <w:rFonts w:hint="eastAsia" w:cs="Times New Roman"/>
                      <w:b w:val="0"/>
                      <w:bCs w:val="0"/>
                      <w:color w:val="000000" w:themeColor="text1"/>
                      <w:sz w:val="21"/>
                      <w:szCs w:val="21"/>
                      <w:vertAlign w:val="superscript"/>
                      <w:lang w:val="en-US" w:eastAsia="zh-CN"/>
                      <w14:textFill>
                        <w14:solidFill>
                          <w14:schemeClr w14:val="tx1"/>
                        </w14:solidFill>
                      </w14:textFill>
                    </w:rPr>
                    <w:t>-3</w:t>
                  </w:r>
                </w:p>
              </w:tc>
            </w:tr>
            <w:tr w14:paraId="02ED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restart"/>
                  <w:noWrap w:val="0"/>
                  <w:vAlign w:val="center"/>
                </w:tcPr>
                <w:p w14:paraId="6BBCEEA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二氧化硫</w:t>
                  </w:r>
                </w:p>
              </w:tc>
              <w:tc>
                <w:tcPr>
                  <w:tcW w:w="1751" w:type="dxa"/>
                  <w:shd w:val="clear" w:color="auto" w:fill="auto"/>
                  <w:noWrap w:val="0"/>
                  <w:vAlign w:val="center"/>
                </w:tcPr>
                <w:p w14:paraId="7EDB238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实测浓度mg/m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337DC702">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ND</w:t>
                  </w:r>
                </w:p>
              </w:tc>
            </w:tr>
            <w:tr w14:paraId="3177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123FF44A">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730B435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44F70512">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r>
            <w:tr w14:paraId="1E79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20146CA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1A5470C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排放速率kg/h</w:t>
                  </w:r>
                </w:p>
              </w:tc>
              <w:tc>
                <w:tcPr>
                  <w:tcW w:w="5268" w:type="dxa"/>
                  <w:noWrap w:val="0"/>
                  <w:vAlign w:val="center"/>
                </w:tcPr>
                <w:p w14:paraId="3DE800C7">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r>
            <w:tr w14:paraId="0EA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restart"/>
                  <w:noWrap w:val="0"/>
                  <w:vAlign w:val="center"/>
                </w:tcPr>
                <w:p w14:paraId="71F5955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氮氧化物</w:t>
                  </w:r>
                </w:p>
              </w:tc>
              <w:tc>
                <w:tcPr>
                  <w:tcW w:w="1751" w:type="dxa"/>
                  <w:shd w:val="clear" w:color="auto" w:fill="auto"/>
                  <w:noWrap w:val="0"/>
                  <w:vAlign w:val="center"/>
                </w:tcPr>
                <w:p w14:paraId="0FB38E4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实测浓度mg/m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620AB1D0">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32</w:t>
                  </w:r>
                </w:p>
              </w:tc>
            </w:tr>
            <w:tr w14:paraId="03E2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036D409A">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73A5F64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排放浓度mg/m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p>
              </w:tc>
              <w:tc>
                <w:tcPr>
                  <w:tcW w:w="5268" w:type="dxa"/>
                  <w:noWrap w:val="0"/>
                  <w:vAlign w:val="center"/>
                </w:tcPr>
                <w:p w14:paraId="310056F0">
                  <w:pPr>
                    <w:keepNext w:val="0"/>
                    <w:keepLines w:val="0"/>
                    <w:pageBreakBefore w:val="0"/>
                    <w:widowControl w:val="0"/>
                    <w:kinsoku/>
                    <w:wordWrap/>
                    <w:overflowPunct/>
                    <w:topLinePunct w:val="0"/>
                    <w:bidi w:val="0"/>
                    <w:adjustRightInd w:val="0"/>
                    <w:snapToGrid w:val="0"/>
                    <w:spacing w:line="240" w:lineRule="auto"/>
                    <w:ind w:right="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34</w:t>
                  </w:r>
                </w:p>
              </w:tc>
            </w:tr>
            <w:tr w14:paraId="7DD7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1" w:type="dxa"/>
                  <w:vMerge w:val="continue"/>
                  <w:noWrap w:val="0"/>
                  <w:vAlign w:val="center"/>
                </w:tcPr>
                <w:p w14:paraId="1A725B3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p>
              </w:tc>
              <w:tc>
                <w:tcPr>
                  <w:tcW w:w="1751" w:type="dxa"/>
                  <w:shd w:val="clear" w:color="auto" w:fill="auto"/>
                  <w:noWrap w:val="0"/>
                  <w:vAlign w:val="center"/>
                </w:tcPr>
                <w:p w14:paraId="7435642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排放速率kg/h</w:t>
                  </w:r>
                </w:p>
              </w:tc>
              <w:tc>
                <w:tcPr>
                  <w:tcW w:w="5268" w:type="dxa"/>
                  <w:noWrap w:val="0"/>
                  <w:vAlign w:val="center"/>
                </w:tcPr>
                <w:p w14:paraId="7290178A">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6.73</w:t>
                  </w:r>
                  <w:r>
                    <w:rPr>
                      <w:rFonts w:hint="default" w:ascii="Arial" w:hAnsi="Arial" w:cs="Arial"/>
                      <w:b w:val="0"/>
                      <w:bCs w:val="0"/>
                      <w:color w:val="000000" w:themeColor="text1"/>
                      <w:sz w:val="21"/>
                      <w:szCs w:val="21"/>
                      <w:lang w:val="en-US" w:eastAsia="zh-CN"/>
                      <w14:textFill>
                        <w14:solidFill>
                          <w14:schemeClr w14:val="tx1"/>
                        </w14:solidFill>
                      </w14:textFill>
                    </w:rPr>
                    <w:t>×</w:t>
                  </w:r>
                  <w:r>
                    <w:rPr>
                      <w:rFonts w:hint="eastAsia" w:cs="Times New Roman"/>
                      <w:b w:val="0"/>
                      <w:bCs w:val="0"/>
                      <w:color w:val="000000" w:themeColor="text1"/>
                      <w:sz w:val="21"/>
                      <w:szCs w:val="21"/>
                      <w:lang w:val="en-US" w:eastAsia="zh-CN"/>
                      <w14:textFill>
                        <w14:solidFill>
                          <w14:schemeClr w14:val="tx1"/>
                        </w14:solidFill>
                      </w14:textFill>
                    </w:rPr>
                    <w:t>10</w:t>
                  </w:r>
                  <w:r>
                    <w:rPr>
                      <w:rFonts w:hint="eastAsia" w:cs="Times New Roman"/>
                      <w:b w:val="0"/>
                      <w:bCs w:val="0"/>
                      <w:color w:val="000000" w:themeColor="text1"/>
                      <w:sz w:val="21"/>
                      <w:szCs w:val="21"/>
                      <w:vertAlign w:val="superscript"/>
                      <w:lang w:val="en-US" w:eastAsia="zh-CN"/>
                      <w14:textFill>
                        <w14:solidFill>
                          <w14:schemeClr w14:val="tx1"/>
                        </w14:solidFill>
                      </w14:textFill>
                    </w:rPr>
                    <w:t>-2</w:t>
                  </w:r>
                </w:p>
              </w:tc>
            </w:tr>
          </w:tbl>
          <w:p w14:paraId="1270BC1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废气检测</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期间，</w:t>
            </w:r>
            <w:r>
              <w:rPr>
                <w:rFonts w:hint="default" w:ascii="Times New Roman" w:hAnsi="Times New Roman" w:cs="Times New Roman"/>
                <w:snapToGrid/>
                <w:color w:val="000000" w:themeColor="text1"/>
                <w:spacing w:val="0"/>
                <w:kern w:val="0"/>
                <w:position w:val="0"/>
                <w:sz w:val="24"/>
                <w:szCs w:val="24"/>
                <w:lang w:val="en-US" w:eastAsia="zh-CN" w:bidi="ar"/>
                <w14:textFill>
                  <w14:solidFill>
                    <w14:schemeClr w14:val="tx1"/>
                  </w14:solidFill>
                </w14:textFill>
              </w:rPr>
              <w:t>果蔬干</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实际产量为</w:t>
            </w:r>
            <w:r>
              <w:rPr>
                <w:rFonts w:hint="eastAsia" w:cs="Times New Roman"/>
                <w:snapToGrid/>
                <w:color w:val="000000" w:themeColor="text1"/>
                <w:spacing w:val="0"/>
                <w:kern w:val="0"/>
                <w:position w:val="0"/>
                <w:sz w:val="24"/>
                <w:szCs w:val="24"/>
                <w:lang w:val="en-US" w:eastAsia="zh-CN"/>
                <w14:textFill>
                  <w14:solidFill>
                    <w14:schemeClr w14:val="tx1"/>
                  </w14:solidFill>
                </w14:textFill>
              </w:rPr>
              <w:t>21</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t/d，生产负荷为</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70</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根据监测结果可知，</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w:t>
            </w:r>
            <w:r>
              <w:rPr>
                <w:rFonts w:hint="eastAsia" w:cs="Times New Roman"/>
                <w:color w:val="000000" w:themeColor="text1"/>
                <w:kern w:val="2"/>
                <w:sz w:val="24"/>
                <w:szCs w:val="24"/>
                <w:lang w:val="en-US" w:eastAsia="zh-CN" w:bidi="ar-SA"/>
                <w14:textFill>
                  <w14:solidFill>
                    <w14:schemeClr w14:val="tx1"/>
                  </w14:solidFill>
                </w14:textFill>
              </w:rPr>
              <w:t>锅炉</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废气中的</w:t>
            </w:r>
            <w:r>
              <w:rPr>
                <w:rFonts w:hint="eastAsia" w:cs="Times New Roman"/>
                <w:color w:val="000000" w:themeColor="text1"/>
                <w:kern w:val="2"/>
                <w:sz w:val="24"/>
                <w:szCs w:val="24"/>
                <w:lang w:val="en-US" w:eastAsia="zh-CN" w:bidi="ar-SA"/>
                <w14:textFill>
                  <w14:solidFill>
                    <w14:schemeClr w14:val="tx1"/>
                  </w14:solidFill>
                </w14:textFill>
              </w:rPr>
              <w:t>颗粒物、二氧化硫、氮氧化物排放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满足</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锅炉大气污染物排放标准</w:t>
            </w:r>
            <w:r>
              <w:rPr>
                <w:rFonts w:hint="default" w:ascii="Times New Roman" w:hAnsi="Times New Roman" w:cs="Times New Roman"/>
                <w:color w:val="000000" w:themeColor="text1"/>
                <w:sz w:val="24"/>
                <w:szCs w:val="24"/>
                <w14:textFill>
                  <w14:solidFill>
                    <w14:schemeClr w14:val="tx1"/>
                  </w14:solidFill>
                </w14:textFill>
              </w:rPr>
              <w:t>》（GB</w:t>
            </w:r>
            <w:r>
              <w:rPr>
                <w:rFonts w:hint="default" w:ascii="Times New Roman" w:hAnsi="Times New Roman" w:cs="Times New Roman"/>
                <w:color w:val="000000" w:themeColor="text1"/>
                <w:sz w:val="24"/>
                <w:szCs w:val="24"/>
                <w:lang w:val="en-US" w:eastAsia="zh-CN"/>
                <w14:textFill>
                  <w14:solidFill>
                    <w14:schemeClr w14:val="tx1"/>
                  </w14:solidFill>
                </w14:textFill>
              </w:rPr>
              <w:t>13271</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2014</w:t>
            </w:r>
            <w:r>
              <w:rPr>
                <w:rFonts w:hint="default" w:ascii="Times New Roman" w:hAnsi="Times New Roman" w:cs="Times New Roman"/>
                <w:color w:val="000000" w:themeColor="text1"/>
                <w:sz w:val="24"/>
                <w:szCs w:val="24"/>
                <w14:textFill>
                  <w14:solidFill>
                    <w14:schemeClr w14:val="tx1"/>
                  </w14:solidFill>
                </w14:textFill>
              </w:rPr>
              <w:t>）表</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中</w:t>
            </w:r>
            <w:r>
              <w:rPr>
                <w:rFonts w:hint="default" w:ascii="Times New Roman" w:hAnsi="Times New Roman" w:cs="Times New Roman"/>
                <w:color w:val="000000" w:themeColor="text1"/>
                <w:sz w:val="24"/>
                <w:szCs w:val="24"/>
                <w:lang w:val="en-US" w:eastAsia="zh-CN"/>
                <w14:textFill>
                  <w14:solidFill>
                    <w14:schemeClr w14:val="tx1"/>
                  </w14:solidFill>
                </w14:textFill>
              </w:rPr>
              <w:t>燃</w:t>
            </w:r>
            <w:r>
              <w:rPr>
                <w:rFonts w:hint="eastAsia" w:cs="Times New Roman"/>
                <w:color w:val="000000" w:themeColor="text1"/>
                <w:sz w:val="24"/>
                <w:szCs w:val="24"/>
                <w:lang w:val="en-US" w:eastAsia="zh-CN"/>
                <w14:textFill>
                  <w14:solidFill>
                    <w14:schemeClr w14:val="tx1"/>
                  </w14:solidFill>
                </w14:textFill>
              </w:rPr>
              <w:t>气</w:t>
            </w:r>
            <w:r>
              <w:rPr>
                <w:rFonts w:hint="default" w:ascii="Times New Roman" w:hAnsi="Times New Roman" w:cs="Times New Roman"/>
                <w:color w:val="000000" w:themeColor="text1"/>
                <w:sz w:val="24"/>
                <w:szCs w:val="24"/>
                <w:lang w:val="en-US" w:eastAsia="zh-CN"/>
                <w14:textFill>
                  <w14:solidFill>
                    <w14:schemeClr w14:val="tx1"/>
                  </w14:solidFill>
                </w14:textFill>
              </w:rPr>
              <w:t>锅炉</w:t>
            </w:r>
            <w:r>
              <w:rPr>
                <w:rFonts w:hint="eastAsia" w:ascii="Times New Roman" w:hAnsi="Times New Roman" w:cs="Times New Roman"/>
                <w:color w:val="000000" w:themeColor="text1"/>
                <w:sz w:val="24"/>
                <w:szCs w:val="24"/>
                <w:lang w:val="en-US" w:eastAsia="zh-CN"/>
                <w14:textFill>
                  <w14:solidFill>
                    <w14:schemeClr w14:val="tx1"/>
                  </w14:solidFill>
                </w14:textFill>
              </w:rPr>
              <w:t>特别排放</w:t>
            </w:r>
            <w:r>
              <w:rPr>
                <w:rFonts w:hint="eastAsia" w:cs="Times New Roman"/>
                <w:color w:val="000000" w:themeColor="text1"/>
                <w:sz w:val="24"/>
                <w:szCs w:val="24"/>
                <w:lang w:val="en-US" w:eastAsia="zh-CN"/>
                <w14:textFill>
                  <w14:solidFill>
                    <w14:schemeClr w14:val="tx1"/>
                  </w14:solidFill>
                </w14:textFill>
              </w:rPr>
              <w:t>限值要求，其中</w:t>
            </w:r>
            <w:r>
              <w:rPr>
                <w:rFonts w:hint="eastAsia" w:ascii="Times New Roman" w:hAnsi="Times New Roman" w:eastAsia="宋体"/>
                <w:color w:val="000000" w:themeColor="text1"/>
                <w:sz w:val="24"/>
                <w:szCs w:val="24"/>
                <w14:textFill>
                  <w14:solidFill>
                    <w14:schemeClr w14:val="tx1"/>
                  </w14:solidFill>
                </w14:textFill>
              </w:rPr>
              <w:t>氮氧化物</w:t>
            </w:r>
            <w:r>
              <w:rPr>
                <w:rFonts w:hint="eastAsia" w:ascii="Times New Roman" w:hAnsi="Times New Roman" w:eastAsia="宋体"/>
                <w:color w:val="000000" w:themeColor="text1"/>
                <w:sz w:val="24"/>
                <w:szCs w:val="24"/>
                <w:lang w:eastAsia="zh-CN"/>
                <w14:textFill>
                  <w14:solidFill>
                    <w14:schemeClr w14:val="tx1"/>
                  </w14:solidFill>
                </w14:textFill>
              </w:rPr>
              <w:t>排放浓度执行“安徽省大气办关于印发</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安徽省2020年大气污染防治重点工作任务</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的通知”</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皖大气办【</w:t>
            </w:r>
            <w:r>
              <w:rPr>
                <w:rFonts w:hint="eastAsia" w:ascii="Times New Roman" w:hAnsi="Times New Roman" w:eastAsia="宋体"/>
                <w:color w:val="000000" w:themeColor="text1"/>
                <w:sz w:val="24"/>
                <w:szCs w:val="24"/>
                <w:lang w:val="en-US" w:eastAsia="zh-CN"/>
                <w14:textFill>
                  <w14:solidFill>
                    <w14:schemeClr w14:val="tx1"/>
                  </w14:solidFill>
                </w14:textFill>
              </w:rPr>
              <w:t>2020】2号</w:t>
            </w:r>
            <w:r>
              <w:rPr>
                <w:rFonts w:hint="eastAsia"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中</w:t>
            </w:r>
            <w:r>
              <w:rPr>
                <w:rFonts w:hint="eastAsia" w:ascii="Times New Roman" w:hAnsi="Times New Roman" w:eastAsia="宋体"/>
                <w:color w:val="000000" w:themeColor="text1"/>
                <w:sz w:val="24"/>
                <w:szCs w:val="24"/>
                <w14:textFill>
                  <w14:solidFill>
                    <w14:schemeClr w14:val="tx1"/>
                  </w14:solidFill>
                </w14:textFill>
              </w:rPr>
              <w:t>氮氧化物排放浓度不高于50毫克/立方米</w:t>
            </w:r>
            <w:r>
              <w:rPr>
                <w:rFonts w:hint="eastAsia" w:ascii="Times New Roman" w:hAnsi="Times New Roman" w:eastAsia="宋体"/>
                <w:color w:val="000000" w:themeColor="text1"/>
                <w:sz w:val="24"/>
                <w:szCs w:val="24"/>
                <w:lang w:eastAsia="zh-CN"/>
                <w14:textFill>
                  <w14:solidFill>
                    <w14:schemeClr w14:val="tx1"/>
                  </w14:solidFill>
                </w14:textFill>
              </w:rPr>
              <w:t>的限值要求</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7D1250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现有工程</w:t>
            </w:r>
            <w:r>
              <w:rPr>
                <w:rFonts w:hint="default"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年生产</w:t>
            </w:r>
            <w:r>
              <w:rPr>
                <w:rFonts w:hint="eastAsia" w:cs="Times New Roman"/>
                <w:color w:val="000000" w:themeColor="text1"/>
                <w:kern w:val="2"/>
                <w:sz w:val="24"/>
                <w:szCs w:val="24"/>
                <w:vertAlign w:val="baseline"/>
                <w:lang w:val="en-US" w:eastAsia="zh-CN" w:bidi="ar-SA"/>
                <w14:textFill>
                  <w14:solidFill>
                    <w14:schemeClr w14:val="tx1"/>
                  </w14:solidFill>
                </w14:textFill>
              </w:rPr>
              <w:t>330</w:t>
            </w:r>
            <w:r>
              <w:rPr>
                <w:rFonts w:hint="default"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天，每天</w:t>
            </w:r>
            <w:r>
              <w:rPr>
                <w:rFonts w:hint="eastAsia" w:cs="Times New Roman"/>
                <w:color w:val="000000" w:themeColor="text1"/>
                <w:kern w:val="2"/>
                <w:sz w:val="24"/>
                <w:szCs w:val="24"/>
                <w:vertAlign w:val="baseline"/>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个小时计</w:t>
            </w:r>
            <w:r>
              <w:rPr>
                <w:rFonts w:hint="eastAsia" w:cs="Times New Roman"/>
                <w:color w:val="000000" w:themeColor="text1"/>
                <w:kern w:val="2"/>
                <w:sz w:val="24"/>
                <w:szCs w:val="24"/>
                <w:vertAlign w:val="baseline"/>
                <w:lang w:val="en-US" w:eastAsia="zh-CN" w:bidi="ar-SA"/>
                <w14:textFill>
                  <w14:solidFill>
                    <w14:schemeClr w14:val="tx1"/>
                  </w14:solidFill>
                </w14:textFill>
              </w:rPr>
              <w:t>，</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则根据检测结果，</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颗粒物</w:t>
            </w:r>
            <w:r>
              <w:rPr>
                <w:rFonts w:hint="eastAsia" w:cs="Times New Roman"/>
                <w:b w:val="0"/>
                <w:bCs w:val="0"/>
                <w:snapToGrid w:val="0"/>
                <w:color w:val="000000" w:themeColor="text1"/>
                <w:kern w:val="2"/>
                <w:sz w:val="24"/>
                <w:szCs w:val="24"/>
                <w:lang w:val="en-US" w:eastAsia="zh-CN"/>
                <w14:textFill>
                  <w14:solidFill>
                    <w14:schemeClr w14:val="tx1"/>
                  </w14:solidFill>
                </w14:textFill>
              </w:rPr>
              <w:t>排放</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量约为</w:t>
            </w:r>
            <w:r>
              <w:rPr>
                <w:rFonts w:hint="eastAsia" w:cs="Times New Roman"/>
                <w:b w:val="0"/>
                <w:bCs w:val="0"/>
                <w:snapToGrid w:val="0"/>
                <w:color w:val="000000" w:themeColor="text1"/>
                <w:kern w:val="2"/>
                <w:sz w:val="24"/>
                <w:szCs w:val="24"/>
                <w:lang w:val="en-US" w:eastAsia="zh-CN"/>
                <w14:textFill>
                  <w14:solidFill>
                    <w14:schemeClr w14:val="tx1"/>
                  </w14:solidFill>
                </w14:textFill>
              </w:rPr>
              <w:t>0.024</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t/a</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二氧化硫</w:t>
            </w:r>
            <w:r>
              <w:rPr>
                <w:rFonts w:hint="eastAsia" w:cs="Times New Roman"/>
                <w:b w:val="0"/>
                <w:bCs w:val="0"/>
                <w:snapToGrid w:val="0"/>
                <w:color w:val="000000" w:themeColor="text1"/>
                <w:kern w:val="2"/>
                <w:sz w:val="24"/>
                <w:szCs w:val="24"/>
                <w:lang w:val="en-US" w:eastAsia="zh-CN"/>
                <w14:textFill>
                  <w14:solidFill>
                    <w14:schemeClr w14:val="tx1"/>
                  </w14:solidFill>
                </w14:textFill>
              </w:rPr>
              <w:t>排放</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量约为</w:t>
            </w:r>
            <w:r>
              <w:rPr>
                <w:rFonts w:hint="eastAsia" w:cs="Times New Roman"/>
                <w:b w:val="0"/>
                <w:bCs w:val="0"/>
                <w:snapToGrid w:val="0"/>
                <w:color w:val="000000" w:themeColor="text1"/>
                <w:kern w:val="2"/>
                <w:sz w:val="24"/>
                <w:szCs w:val="24"/>
                <w:lang w:val="en-US" w:eastAsia="zh-CN"/>
                <w14:textFill>
                  <w14:solidFill>
                    <w14:schemeClr w14:val="tx1"/>
                  </w14:solidFill>
                </w14:textFill>
              </w:rPr>
              <w:t>0.012</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t/a</w:t>
            </w:r>
            <w:r>
              <w:rPr>
                <w:rFonts w:hint="eastAsia" w:cs="Times New Roman"/>
                <w:b w:val="0"/>
                <w:bCs w:val="0"/>
                <w:snapToGrid w:val="0"/>
                <w:color w:val="000000" w:themeColor="text1"/>
                <w:kern w:val="2"/>
                <w:sz w:val="24"/>
                <w:szCs w:val="24"/>
                <w:lang w:val="en-US" w:eastAsia="zh-CN"/>
                <w14:textFill>
                  <w14:solidFill>
                    <w14:schemeClr w14:val="tx1"/>
                  </w14:solidFill>
                </w14:textFill>
              </w:rPr>
              <w:t>（实测浓度取检出限3</w:t>
            </w:r>
            <w:r>
              <w:rPr>
                <w:rFonts w:hint="eastAsia" w:cs="Times New Roman"/>
                <w:color w:val="000000" w:themeColor="text1"/>
                <w:kern w:val="2"/>
                <w:sz w:val="24"/>
                <w:szCs w:val="24"/>
                <w:lang w:val="en-US" w:eastAsia="zh-CN" w:bidi="ar-SA"/>
                <w14:textFill>
                  <w14:solidFill>
                    <w14:schemeClr w14:val="tx1"/>
                  </w14:solidFill>
                </w14:textFill>
              </w:rPr>
              <w:t>mg/m</w:t>
            </w:r>
            <w:r>
              <w:rPr>
                <w:rFonts w:hint="eastAsia" w:cs="Times New Roman"/>
                <w:color w:val="000000" w:themeColor="text1"/>
                <w:kern w:val="2"/>
                <w:sz w:val="24"/>
                <w:szCs w:val="24"/>
                <w:vertAlign w:val="superscript"/>
                <w:lang w:val="en-US" w:eastAsia="zh-CN" w:bidi="ar-SA"/>
                <w14:textFill>
                  <w14:solidFill>
                    <w14:schemeClr w14:val="tx1"/>
                  </w14:solidFill>
                </w14:textFill>
              </w:rPr>
              <w:t>3</w:t>
            </w:r>
            <w:r>
              <w:rPr>
                <w:rFonts w:hint="eastAsia" w:cs="Times New Roman"/>
                <w:b w:val="0"/>
                <w:bCs w:val="0"/>
                <w:snapToGrid w:val="0"/>
                <w:color w:val="000000" w:themeColor="text1"/>
                <w:kern w:val="2"/>
                <w:sz w:val="24"/>
                <w:szCs w:val="24"/>
                <w:lang w:val="en-US" w:eastAsia="zh-CN"/>
                <w14:textFill>
                  <w14:solidFill>
                    <w14:schemeClr w14:val="tx1"/>
                  </w14:solidFill>
                </w14:textFill>
              </w:rPr>
              <w:t>的一半）</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氮氧化物</w:t>
            </w:r>
            <w:r>
              <w:rPr>
                <w:rFonts w:hint="eastAsia" w:cs="Times New Roman"/>
                <w:b w:val="0"/>
                <w:bCs w:val="0"/>
                <w:snapToGrid w:val="0"/>
                <w:color w:val="000000" w:themeColor="text1"/>
                <w:kern w:val="2"/>
                <w:sz w:val="24"/>
                <w:szCs w:val="24"/>
                <w:lang w:val="en-US" w:eastAsia="zh-CN"/>
                <w14:textFill>
                  <w14:solidFill>
                    <w14:schemeClr w14:val="tx1"/>
                  </w14:solidFill>
                </w14:textFill>
              </w:rPr>
              <w:t>排放</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量约为</w:t>
            </w:r>
            <w:r>
              <w:rPr>
                <w:rFonts w:hint="eastAsia" w:cs="Times New Roman"/>
                <w:b w:val="0"/>
                <w:bCs w:val="0"/>
                <w:snapToGrid w:val="0"/>
                <w:color w:val="000000" w:themeColor="text1"/>
                <w:kern w:val="2"/>
                <w:sz w:val="24"/>
                <w:szCs w:val="24"/>
                <w:lang w:val="en-US" w:eastAsia="zh-CN"/>
                <w14:textFill>
                  <w14:solidFill>
                    <w14:schemeClr w14:val="tx1"/>
                  </w14:solidFill>
                </w14:textFill>
              </w:rPr>
              <w:t>0.254</w:t>
            </w:r>
            <w:r>
              <w:rPr>
                <w:rFonts w:hint="default"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t/a</w:t>
            </w:r>
            <w:r>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t>。</w:t>
            </w:r>
          </w:p>
          <w:p w14:paraId="5BDE551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w:t>
            </w:r>
            <w:r>
              <w:rPr>
                <w:rFonts w:hint="eastAsia" w:cs="Times New Roman"/>
                <w:b/>
                <w:bCs/>
                <w:color w:val="000000" w:themeColor="text1"/>
                <w:sz w:val="24"/>
                <w:szCs w:val="24"/>
                <w:lang w:val="en-US" w:eastAsia="zh-CN"/>
                <w14:textFill>
                  <w14:solidFill>
                    <w14:schemeClr w14:val="tx1"/>
                  </w14:solidFill>
                </w14:textFill>
              </w:rPr>
              <w:t>2.13</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cs="Times New Roman"/>
                <w:b/>
                <w:bCs/>
                <w:color w:val="000000" w:themeColor="text1"/>
                <w:sz w:val="24"/>
                <w:szCs w:val="24"/>
                <w:lang w:eastAsia="zh-CN"/>
                <w14:textFill>
                  <w14:solidFill>
                    <w14:schemeClr w14:val="tx1"/>
                  </w14:solidFill>
                </w14:textFill>
              </w:rPr>
              <w:t>无组织废气</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20</w:t>
            </w:r>
            <w:r>
              <w:rPr>
                <w:rFonts w:hint="eastAsia" w:cs="Times New Roman"/>
                <w:b/>
                <w:bCs/>
                <w:color w:val="000000" w:themeColor="text1"/>
                <w:sz w:val="24"/>
                <w:szCs w:val="24"/>
                <w:lang w:val="en-US" w:eastAsia="zh-CN"/>
                <w14:textFill>
                  <w14:solidFill>
                    <w14:schemeClr w14:val="tx1"/>
                  </w14:solidFill>
                </w14:textFill>
              </w:rPr>
              <w:t>25</w:t>
            </w:r>
            <w:r>
              <w:rPr>
                <w:rFonts w:hint="eastAsia" w:ascii="Times New Roman" w:hAnsi="Times New Roman" w:cs="Times New Roman"/>
                <w:b/>
                <w:bCs/>
                <w:color w:val="000000" w:themeColor="text1"/>
                <w:sz w:val="24"/>
                <w:szCs w:val="24"/>
                <w:lang w:val="en-US" w:eastAsia="zh-CN"/>
                <w14:textFill>
                  <w14:solidFill>
                    <w14:schemeClr w14:val="tx1"/>
                  </w14:solidFill>
                </w14:textFill>
              </w:rPr>
              <w:t>年</w:t>
            </w:r>
            <w:r>
              <w:rPr>
                <w:rFonts w:hint="eastAsia" w:cs="Times New Roman"/>
                <w:b/>
                <w:bCs/>
                <w:color w:val="000000" w:themeColor="text1"/>
                <w:sz w:val="24"/>
                <w:szCs w:val="24"/>
                <w:lang w:val="en-US" w:eastAsia="zh-CN"/>
                <w14:textFill>
                  <w14:solidFill>
                    <w14:schemeClr w14:val="tx1"/>
                  </w14:solidFill>
                </w14:textFill>
              </w:rPr>
              <w:t>12</w:t>
            </w:r>
            <w:r>
              <w:rPr>
                <w:rFonts w:hint="default" w:ascii="Times New Roman" w:hAnsi="Times New Roman" w:cs="Times New Roman"/>
                <w:b/>
                <w:bCs/>
                <w:color w:val="000000" w:themeColor="text1"/>
                <w:sz w:val="24"/>
                <w:szCs w:val="24"/>
                <w:lang w:val="en-US" w:eastAsia="zh-CN"/>
                <w14:textFill>
                  <w14:solidFill>
                    <w14:schemeClr w14:val="tx1"/>
                  </w14:solidFill>
                </w14:textFill>
              </w:rPr>
              <w:t>月</w:t>
            </w:r>
            <w:r>
              <w:rPr>
                <w:rFonts w:hint="eastAsia" w:cs="Times New Roman"/>
                <w:b/>
                <w:bCs/>
                <w:color w:val="000000" w:themeColor="text1"/>
                <w:sz w:val="24"/>
                <w:szCs w:val="24"/>
                <w:lang w:val="en-US" w:eastAsia="zh-CN"/>
                <w14:textFill>
                  <w14:solidFill>
                    <w14:schemeClr w14:val="tx1"/>
                  </w14:solidFill>
                </w14:textFill>
              </w:rPr>
              <w:t>19</w:t>
            </w:r>
            <w:r>
              <w:rPr>
                <w:rFonts w:hint="default" w:ascii="Times New Roman" w:hAnsi="Times New Roman" w:cs="Times New Roman"/>
                <w:b/>
                <w:bCs/>
                <w:color w:val="000000" w:themeColor="text1"/>
                <w:sz w:val="24"/>
                <w:szCs w:val="24"/>
                <w:lang w:val="en-US" w:eastAsia="zh-CN"/>
                <w14:textFill>
                  <w14:solidFill>
                    <w14:schemeClr w14:val="tx1"/>
                  </w14:solidFill>
                </w14:textFill>
              </w:rPr>
              <w:t>日</w:t>
            </w:r>
            <w:r>
              <w:rPr>
                <w:rFonts w:hint="default" w:ascii="Times New Roman" w:hAnsi="Times New Roman" w:cs="Times New Roman"/>
                <w:b/>
                <w:bCs/>
                <w:color w:val="000000" w:themeColor="text1"/>
                <w:sz w:val="24"/>
                <w:szCs w:val="24"/>
                <w:lang w:eastAsia="zh-CN"/>
                <w14:textFill>
                  <w14:solidFill>
                    <w14:schemeClr w14:val="tx1"/>
                  </w14:solidFill>
                </w14:textFill>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395"/>
              <w:gridCol w:w="1005"/>
              <w:gridCol w:w="1055"/>
              <w:gridCol w:w="1055"/>
              <w:gridCol w:w="1055"/>
              <w:gridCol w:w="1058"/>
            </w:tblGrid>
            <w:tr w14:paraId="7EEC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noWrap w:val="0"/>
                  <w:vAlign w:val="center"/>
                </w:tcPr>
                <w:p w14:paraId="0E97C66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测点位置</w:t>
                  </w:r>
                </w:p>
              </w:tc>
              <w:tc>
                <w:tcPr>
                  <w:tcW w:w="1395" w:type="dxa"/>
                  <w:noWrap w:val="0"/>
                  <w:vAlign w:val="center"/>
                </w:tcPr>
                <w:p w14:paraId="79F0835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项目名称</w:t>
                  </w:r>
                </w:p>
              </w:tc>
              <w:tc>
                <w:tcPr>
                  <w:tcW w:w="1005" w:type="dxa"/>
                  <w:noWrap w:val="0"/>
                  <w:vAlign w:val="center"/>
                </w:tcPr>
                <w:p w14:paraId="350ED764">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单位</w:t>
                  </w:r>
                </w:p>
              </w:tc>
              <w:tc>
                <w:tcPr>
                  <w:tcW w:w="4223" w:type="dxa"/>
                  <w:gridSpan w:val="4"/>
                  <w:noWrap w:val="0"/>
                  <w:vAlign w:val="center"/>
                </w:tcPr>
                <w:p w14:paraId="0BCC827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检测结果</w:t>
                  </w:r>
                </w:p>
              </w:tc>
            </w:tr>
            <w:tr w14:paraId="23B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363E09C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厂界上方向</w:t>
                  </w:r>
                  <w:r>
                    <w:rPr>
                      <w:rFonts w:hint="eastAsia" w:cs="Times New Roman"/>
                      <w:b w:val="0"/>
                      <w:bCs w:val="0"/>
                      <w:color w:val="000000" w:themeColor="text1"/>
                      <w:sz w:val="21"/>
                      <w:szCs w:val="21"/>
                      <w:lang w:val="en-US" w:eastAsia="zh-CN"/>
                      <w14:textFill>
                        <w14:solidFill>
                          <w14:schemeClr w14:val="tx1"/>
                        </w14:solidFill>
                      </w14:textFill>
                    </w:rPr>
                    <w:t>G1</w:t>
                  </w:r>
                </w:p>
              </w:tc>
              <w:tc>
                <w:tcPr>
                  <w:tcW w:w="1395" w:type="dxa"/>
                  <w:noWrap w:val="0"/>
                  <w:vAlign w:val="center"/>
                </w:tcPr>
                <w:p w14:paraId="51BC2CF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noWrap w:val="0"/>
                  <w:vAlign w:val="center"/>
                </w:tcPr>
                <w:p w14:paraId="5A6DC572">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noWrap w:val="0"/>
                  <w:vAlign w:val="center"/>
                </w:tcPr>
                <w:p w14:paraId="1C0296F7">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noWrap w:val="0"/>
                  <w:vAlign w:val="center"/>
                </w:tcPr>
                <w:p w14:paraId="7BB449A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noWrap w:val="0"/>
                  <w:vAlign w:val="center"/>
                </w:tcPr>
                <w:p w14:paraId="46ECAFFD">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noWrap w:val="0"/>
                  <w:vAlign w:val="center"/>
                </w:tcPr>
                <w:p w14:paraId="111C36D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2DA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4EA18EB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noWrap w:val="0"/>
                  <w:vAlign w:val="center"/>
                </w:tcPr>
                <w:p w14:paraId="6637D51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noWrap w:val="0"/>
                  <w:vAlign w:val="center"/>
                </w:tcPr>
                <w:p w14:paraId="2E168BB2">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6F26C43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0.10</w:t>
                  </w:r>
                </w:p>
              </w:tc>
              <w:tc>
                <w:tcPr>
                  <w:tcW w:w="1055" w:type="dxa"/>
                  <w:noWrap w:val="0"/>
                  <w:vAlign w:val="center"/>
                </w:tcPr>
                <w:p w14:paraId="3E20637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0.10</w:t>
                  </w:r>
                </w:p>
              </w:tc>
              <w:tc>
                <w:tcPr>
                  <w:tcW w:w="1055" w:type="dxa"/>
                  <w:noWrap w:val="0"/>
                  <w:vAlign w:val="center"/>
                </w:tcPr>
                <w:p w14:paraId="3FB3670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0.09</w:t>
                  </w:r>
                </w:p>
              </w:tc>
              <w:tc>
                <w:tcPr>
                  <w:tcW w:w="1058" w:type="dxa"/>
                  <w:noWrap w:val="0"/>
                  <w:vAlign w:val="center"/>
                </w:tcPr>
                <w:p w14:paraId="28680524">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0.08</w:t>
                  </w:r>
                </w:p>
              </w:tc>
            </w:tr>
            <w:tr w14:paraId="42D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7BFF932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noWrap w:val="0"/>
                  <w:vAlign w:val="center"/>
                </w:tcPr>
                <w:p w14:paraId="64FDE21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noWrap w:val="0"/>
                  <w:vAlign w:val="center"/>
                </w:tcPr>
                <w:p w14:paraId="5B40FF48">
                  <w:pPr>
                    <w:keepNext w:val="0"/>
                    <w:keepLines w:val="0"/>
                    <w:pageBreakBefore w:val="0"/>
                    <w:widowControl w:val="0"/>
                    <w:kinsoku/>
                    <w:wordWrap/>
                    <w:overflowPunct/>
                    <w:topLinePunct w:val="0"/>
                    <w:bidi w:val="0"/>
                    <w:adjustRightInd w:val="0"/>
                    <w:snapToGrid w:val="0"/>
                    <w:spacing w:line="240" w:lineRule="auto"/>
                    <w:ind w:right="0"/>
                    <w:jc w:val="center"/>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01B5FF8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c>
                <w:tcPr>
                  <w:tcW w:w="1055" w:type="dxa"/>
                  <w:noWrap w:val="0"/>
                  <w:vAlign w:val="center"/>
                </w:tcPr>
                <w:p w14:paraId="572BC75A">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c>
                <w:tcPr>
                  <w:tcW w:w="1055" w:type="dxa"/>
                  <w:noWrap w:val="0"/>
                  <w:vAlign w:val="center"/>
                </w:tcPr>
                <w:p w14:paraId="529B8398">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c>
                <w:tcPr>
                  <w:tcW w:w="1058" w:type="dxa"/>
                  <w:noWrap w:val="0"/>
                  <w:vAlign w:val="center"/>
                </w:tcPr>
                <w:p w14:paraId="4671F9A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0.001</w:t>
                  </w:r>
                </w:p>
              </w:tc>
            </w:tr>
            <w:tr w14:paraId="3284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2E6A54C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厂界下方向</w:t>
                  </w:r>
                  <w:r>
                    <w:rPr>
                      <w:rFonts w:hint="eastAsia" w:cs="Times New Roman"/>
                      <w:b w:val="0"/>
                      <w:bCs w:val="0"/>
                      <w:color w:val="000000" w:themeColor="text1"/>
                      <w:sz w:val="21"/>
                      <w:szCs w:val="21"/>
                      <w:lang w:val="en-US" w:eastAsia="zh-CN"/>
                      <w14:textFill>
                        <w14:solidFill>
                          <w14:schemeClr w14:val="tx1"/>
                        </w14:solidFill>
                      </w14:textFill>
                    </w:rPr>
                    <w:t>G2</w:t>
                  </w:r>
                </w:p>
              </w:tc>
              <w:tc>
                <w:tcPr>
                  <w:tcW w:w="1395" w:type="dxa"/>
                  <w:shd w:val="clear" w:color="auto" w:fill="auto"/>
                  <w:noWrap w:val="0"/>
                  <w:vAlign w:val="center"/>
                </w:tcPr>
                <w:p w14:paraId="198AE3E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shd w:val="clear" w:color="auto" w:fill="auto"/>
                  <w:noWrap w:val="0"/>
                  <w:vAlign w:val="center"/>
                </w:tcPr>
                <w:p w14:paraId="289AE10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shd w:val="clear" w:color="auto" w:fill="auto"/>
                  <w:noWrap w:val="0"/>
                  <w:vAlign w:val="center"/>
                </w:tcPr>
                <w:p w14:paraId="17D5597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4C0D72E5">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054A942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shd w:val="clear" w:color="auto" w:fill="auto"/>
                  <w:noWrap w:val="0"/>
                  <w:vAlign w:val="center"/>
                </w:tcPr>
                <w:p w14:paraId="2457EFFA">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0126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32859F0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77DA064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shd w:val="clear" w:color="auto" w:fill="auto"/>
                  <w:noWrap w:val="0"/>
                  <w:vAlign w:val="center"/>
                </w:tcPr>
                <w:p w14:paraId="77C6E8C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09C5833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0.11</w:t>
                  </w:r>
                </w:p>
              </w:tc>
              <w:tc>
                <w:tcPr>
                  <w:tcW w:w="1055" w:type="dxa"/>
                  <w:noWrap w:val="0"/>
                  <w:vAlign w:val="center"/>
                </w:tcPr>
                <w:p w14:paraId="08F826F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c>
                <w:tcPr>
                  <w:tcW w:w="1055" w:type="dxa"/>
                  <w:noWrap w:val="0"/>
                  <w:vAlign w:val="center"/>
                </w:tcPr>
                <w:p w14:paraId="18C9DFDB">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0.13</w:t>
                  </w:r>
                </w:p>
              </w:tc>
              <w:tc>
                <w:tcPr>
                  <w:tcW w:w="1058" w:type="dxa"/>
                  <w:noWrap w:val="0"/>
                  <w:vAlign w:val="center"/>
                </w:tcPr>
                <w:p w14:paraId="70E464A7">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0.13</w:t>
                  </w:r>
                </w:p>
              </w:tc>
            </w:tr>
            <w:tr w14:paraId="2D6B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47D6C8F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61D544C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shd w:val="clear" w:color="auto" w:fill="auto"/>
                  <w:noWrap w:val="0"/>
                  <w:vAlign w:val="center"/>
                </w:tcPr>
                <w:p w14:paraId="27C1249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1389F18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0.002</w:t>
                  </w:r>
                </w:p>
              </w:tc>
              <w:tc>
                <w:tcPr>
                  <w:tcW w:w="1055" w:type="dxa"/>
                  <w:noWrap w:val="0"/>
                  <w:vAlign w:val="center"/>
                </w:tcPr>
                <w:p w14:paraId="0DED3589">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0.003</w:t>
                  </w:r>
                </w:p>
              </w:tc>
              <w:tc>
                <w:tcPr>
                  <w:tcW w:w="1055" w:type="dxa"/>
                  <w:noWrap w:val="0"/>
                  <w:vAlign w:val="center"/>
                </w:tcPr>
                <w:p w14:paraId="7E6EBF2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0.003</w:t>
                  </w:r>
                </w:p>
              </w:tc>
              <w:tc>
                <w:tcPr>
                  <w:tcW w:w="1058" w:type="dxa"/>
                  <w:noWrap w:val="0"/>
                  <w:vAlign w:val="center"/>
                </w:tcPr>
                <w:p w14:paraId="3E3AD9A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0.003</w:t>
                  </w:r>
                </w:p>
              </w:tc>
            </w:tr>
            <w:tr w14:paraId="5154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57B04CE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厂界下方向</w:t>
                  </w:r>
                  <w:r>
                    <w:rPr>
                      <w:rFonts w:hint="eastAsia" w:cs="Times New Roman"/>
                      <w:b w:val="0"/>
                      <w:bCs w:val="0"/>
                      <w:color w:val="000000" w:themeColor="text1"/>
                      <w:sz w:val="21"/>
                      <w:szCs w:val="21"/>
                      <w:lang w:val="en-US" w:eastAsia="zh-CN"/>
                      <w14:textFill>
                        <w14:solidFill>
                          <w14:schemeClr w14:val="tx1"/>
                        </w14:solidFill>
                      </w14:textFill>
                    </w:rPr>
                    <w:t>G3</w:t>
                  </w:r>
                </w:p>
              </w:tc>
              <w:tc>
                <w:tcPr>
                  <w:tcW w:w="1395" w:type="dxa"/>
                  <w:shd w:val="clear" w:color="auto" w:fill="auto"/>
                  <w:noWrap w:val="0"/>
                  <w:vAlign w:val="center"/>
                </w:tcPr>
                <w:p w14:paraId="5DA72C4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shd w:val="clear" w:color="auto" w:fill="auto"/>
                  <w:noWrap w:val="0"/>
                  <w:vAlign w:val="center"/>
                </w:tcPr>
                <w:p w14:paraId="6CA5865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shd w:val="clear" w:color="auto" w:fill="auto"/>
                  <w:noWrap w:val="0"/>
                  <w:vAlign w:val="center"/>
                </w:tcPr>
                <w:p w14:paraId="4B3D9C9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04293BF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1946AAB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shd w:val="clear" w:color="auto" w:fill="auto"/>
                  <w:noWrap w:val="0"/>
                  <w:vAlign w:val="center"/>
                </w:tcPr>
                <w:p w14:paraId="17C9D47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044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24436B7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01871C8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shd w:val="clear" w:color="auto" w:fill="auto"/>
                  <w:noWrap w:val="0"/>
                  <w:vAlign w:val="center"/>
                </w:tcPr>
                <w:p w14:paraId="2EDE291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2111A496">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0.15</w:t>
                  </w:r>
                </w:p>
              </w:tc>
              <w:tc>
                <w:tcPr>
                  <w:tcW w:w="1055" w:type="dxa"/>
                  <w:noWrap w:val="0"/>
                  <w:vAlign w:val="center"/>
                </w:tcPr>
                <w:p w14:paraId="1DAF120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0.18</w:t>
                  </w:r>
                </w:p>
              </w:tc>
              <w:tc>
                <w:tcPr>
                  <w:tcW w:w="1055" w:type="dxa"/>
                  <w:noWrap w:val="0"/>
                  <w:vAlign w:val="center"/>
                </w:tcPr>
                <w:p w14:paraId="79C77421">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0.17</w:t>
                  </w:r>
                </w:p>
              </w:tc>
              <w:tc>
                <w:tcPr>
                  <w:tcW w:w="1058" w:type="dxa"/>
                  <w:noWrap w:val="0"/>
                  <w:vAlign w:val="center"/>
                </w:tcPr>
                <w:p w14:paraId="6F96A0D3">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0.16</w:t>
                  </w:r>
                </w:p>
              </w:tc>
            </w:tr>
            <w:tr w14:paraId="203D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58585EB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2D98763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shd w:val="clear" w:color="auto" w:fill="auto"/>
                  <w:noWrap w:val="0"/>
                  <w:vAlign w:val="center"/>
                </w:tcPr>
                <w:p w14:paraId="4DF7AC3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4134A70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0.006</w:t>
                  </w:r>
                </w:p>
              </w:tc>
              <w:tc>
                <w:tcPr>
                  <w:tcW w:w="1055" w:type="dxa"/>
                  <w:noWrap w:val="0"/>
                  <w:vAlign w:val="center"/>
                </w:tcPr>
                <w:p w14:paraId="30122C0E">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0.007</w:t>
                  </w:r>
                </w:p>
              </w:tc>
              <w:tc>
                <w:tcPr>
                  <w:tcW w:w="1055" w:type="dxa"/>
                  <w:noWrap w:val="0"/>
                  <w:vAlign w:val="center"/>
                </w:tcPr>
                <w:p w14:paraId="6CD6DD85">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0.007</w:t>
                  </w:r>
                </w:p>
              </w:tc>
              <w:tc>
                <w:tcPr>
                  <w:tcW w:w="1058" w:type="dxa"/>
                  <w:noWrap w:val="0"/>
                  <w:vAlign w:val="center"/>
                </w:tcPr>
                <w:p w14:paraId="2BE1F312">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0.007</w:t>
                  </w:r>
                </w:p>
              </w:tc>
            </w:tr>
            <w:tr w14:paraId="223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restart"/>
                  <w:noWrap w:val="0"/>
                  <w:vAlign w:val="center"/>
                </w:tcPr>
                <w:p w14:paraId="2A9A8CC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eastAsia="zh-CN"/>
                      <w14:textFill>
                        <w14:solidFill>
                          <w14:schemeClr w14:val="tx1"/>
                        </w14:solidFill>
                      </w14:textFill>
                    </w:rPr>
                    <w:t>厂界下方向</w:t>
                  </w:r>
                  <w:r>
                    <w:rPr>
                      <w:rFonts w:hint="eastAsia" w:cs="Times New Roman"/>
                      <w:b w:val="0"/>
                      <w:bCs w:val="0"/>
                      <w:color w:val="000000" w:themeColor="text1"/>
                      <w:sz w:val="21"/>
                      <w:szCs w:val="21"/>
                      <w:lang w:val="en-US" w:eastAsia="zh-CN"/>
                      <w14:textFill>
                        <w14:solidFill>
                          <w14:schemeClr w14:val="tx1"/>
                        </w14:solidFill>
                      </w14:textFill>
                    </w:rPr>
                    <w:t>G4</w:t>
                  </w:r>
                </w:p>
              </w:tc>
              <w:tc>
                <w:tcPr>
                  <w:tcW w:w="1395" w:type="dxa"/>
                  <w:shd w:val="clear" w:color="auto" w:fill="auto"/>
                  <w:noWrap w:val="0"/>
                  <w:vAlign w:val="center"/>
                </w:tcPr>
                <w:p w14:paraId="6AD0E3C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臭气浓度</w:t>
                  </w:r>
                </w:p>
              </w:tc>
              <w:tc>
                <w:tcPr>
                  <w:tcW w:w="1005" w:type="dxa"/>
                  <w:shd w:val="clear" w:color="auto" w:fill="auto"/>
                  <w:noWrap w:val="0"/>
                  <w:vAlign w:val="center"/>
                </w:tcPr>
                <w:p w14:paraId="30EDB46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无量纲</w:t>
                  </w:r>
                </w:p>
              </w:tc>
              <w:tc>
                <w:tcPr>
                  <w:tcW w:w="1055" w:type="dxa"/>
                  <w:shd w:val="clear" w:color="auto" w:fill="auto"/>
                  <w:noWrap w:val="0"/>
                  <w:vAlign w:val="center"/>
                </w:tcPr>
                <w:p w14:paraId="1264FD21">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24DC37B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5" w:type="dxa"/>
                  <w:shd w:val="clear" w:color="auto" w:fill="auto"/>
                  <w:noWrap w:val="0"/>
                  <w:vAlign w:val="center"/>
                </w:tcPr>
                <w:p w14:paraId="0C00BDA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c>
                <w:tcPr>
                  <w:tcW w:w="1058" w:type="dxa"/>
                  <w:shd w:val="clear" w:color="auto" w:fill="auto"/>
                  <w:noWrap w:val="0"/>
                  <w:vAlign w:val="center"/>
                </w:tcPr>
                <w:p w14:paraId="1738344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eastAsia" w:ascii="Times New Roman" w:hAnsi="Times New Roman" w:eastAsia="宋体" w:cs="Times New Roman"/>
                      <w:color w:val="000000" w:themeColor="text1"/>
                      <w:kern w:val="2"/>
                      <w:sz w:val="21"/>
                      <w:szCs w:val="21"/>
                      <w:lang w:val="en-US" w:eastAsia="zh-CN" w:bidi="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10</w:t>
                  </w:r>
                </w:p>
              </w:tc>
            </w:tr>
            <w:tr w14:paraId="7BD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489F3D3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67A6C9C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氨</w:t>
                  </w:r>
                </w:p>
              </w:tc>
              <w:tc>
                <w:tcPr>
                  <w:tcW w:w="1005" w:type="dxa"/>
                  <w:shd w:val="clear" w:color="auto" w:fill="auto"/>
                  <w:noWrap w:val="0"/>
                  <w:vAlign w:val="center"/>
                </w:tcPr>
                <w:p w14:paraId="4D65144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48C3DA60">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c>
                <w:tcPr>
                  <w:tcW w:w="1055" w:type="dxa"/>
                  <w:noWrap w:val="0"/>
                  <w:vAlign w:val="center"/>
                </w:tcPr>
                <w:p w14:paraId="05FD5A9A">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c>
                <w:tcPr>
                  <w:tcW w:w="1055" w:type="dxa"/>
                  <w:noWrap w:val="0"/>
                  <w:vAlign w:val="center"/>
                </w:tcPr>
                <w:p w14:paraId="63DFCB5D">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0.14</w:t>
                  </w:r>
                </w:p>
              </w:tc>
              <w:tc>
                <w:tcPr>
                  <w:tcW w:w="1058" w:type="dxa"/>
                  <w:noWrap w:val="0"/>
                  <w:vAlign w:val="center"/>
                </w:tcPr>
                <w:p w14:paraId="7BADAE9F">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0.12</w:t>
                  </w:r>
                </w:p>
              </w:tc>
            </w:tr>
            <w:tr w14:paraId="7D34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7" w:type="dxa"/>
                  <w:vMerge w:val="continue"/>
                  <w:noWrap w:val="0"/>
                  <w:vAlign w:val="center"/>
                </w:tcPr>
                <w:p w14:paraId="2F0494B4">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cs="Times New Roman"/>
                      <w:b w:val="0"/>
                      <w:bCs w:val="0"/>
                      <w:color w:val="000000" w:themeColor="text1"/>
                      <w:sz w:val="21"/>
                      <w:szCs w:val="21"/>
                      <w:lang w:eastAsia="zh-CN"/>
                      <w14:textFill>
                        <w14:solidFill>
                          <w14:schemeClr w14:val="tx1"/>
                        </w14:solidFill>
                      </w14:textFill>
                    </w:rPr>
                  </w:pPr>
                </w:p>
              </w:tc>
              <w:tc>
                <w:tcPr>
                  <w:tcW w:w="1395" w:type="dxa"/>
                  <w:shd w:val="clear" w:color="auto" w:fill="auto"/>
                  <w:noWrap w:val="0"/>
                  <w:vAlign w:val="center"/>
                </w:tcPr>
                <w:p w14:paraId="6454E2E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硫化氢</w:t>
                  </w:r>
                </w:p>
              </w:tc>
              <w:tc>
                <w:tcPr>
                  <w:tcW w:w="1005" w:type="dxa"/>
                  <w:shd w:val="clear" w:color="auto" w:fill="auto"/>
                  <w:noWrap w:val="0"/>
                  <w:vAlign w:val="center"/>
                </w:tcPr>
                <w:p w14:paraId="18EF584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g/m</w:t>
                  </w:r>
                  <w:r>
                    <w:rPr>
                      <w:rFonts w:hint="default" w:ascii="Times New Roman" w:hAnsi="Times New Roman" w:eastAsia="宋体" w:cs="Times New Roman"/>
                      <w:color w:val="000000" w:themeColor="text1"/>
                      <w:kern w:val="0"/>
                      <w:sz w:val="21"/>
                      <w:szCs w:val="21"/>
                      <w:vertAlign w:val="superscript"/>
                      <w:lang w:val="en-US" w:eastAsia="zh-CN"/>
                      <w14:textFill>
                        <w14:solidFill>
                          <w14:schemeClr w14:val="tx1"/>
                        </w14:solidFill>
                      </w14:textFill>
                    </w:rPr>
                    <w:t>3</w:t>
                  </w:r>
                </w:p>
              </w:tc>
              <w:tc>
                <w:tcPr>
                  <w:tcW w:w="1055" w:type="dxa"/>
                  <w:noWrap w:val="0"/>
                  <w:vAlign w:val="center"/>
                </w:tcPr>
                <w:p w14:paraId="2032DFC1">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0.005</w:t>
                  </w:r>
                </w:p>
              </w:tc>
              <w:tc>
                <w:tcPr>
                  <w:tcW w:w="1055" w:type="dxa"/>
                  <w:noWrap w:val="0"/>
                  <w:vAlign w:val="center"/>
                </w:tcPr>
                <w:p w14:paraId="407D8977">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0.004</w:t>
                  </w:r>
                </w:p>
              </w:tc>
              <w:tc>
                <w:tcPr>
                  <w:tcW w:w="1055" w:type="dxa"/>
                  <w:noWrap w:val="0"/>
                  <w:vAlign w:val="center"/>
                </w:tcPr>
                <w:p w14:paraId="3B9F9AAC">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0.004</w:t>
                  </w:r>
                </w:p>
              </w:tc>
              <w:tc>
                <w:tcPr>
                  <w:tcW w:w="1058" w:type="dxa"/>
                  <w:noWrap w:val="0"/>
                  <w:vAlign w:val="center"/>
                </w:tcPr>
                <w:p w14:paraId="286031FC">
                  <w:pPr>
                    <w:pStyle w:val="44"/>
                    <w:keepNext w:val="0"/>
                    <w:keepLines w:val="0"/>
                    <w:pageBreakBefore w:val="0"/>
                    <w:widowControl w:val="0"/>
                    <w:kinsoku/>
                    <w:wordWrap/>
                    <w:overflowPunct/>
                    <w:topLinePunct w:val="0"/>
                    <w:autoSpaceDE/>
                    <w:autoSpaceDN/>
                    <w:bidi w:val="0"/>
                    <w:adjustRightInd/>
                    <w:snapToGrid w:val="0"/>
                    <w:ind w:left="87" w:leftChars="0" w:right="79" w:rightChars="0"/>
                    <w:jc w:val="center"/>
                    <w:textAlignment w:val="auto"/>
                    <w:rPr>
                      <w:rFonts w:hint="default" w:ascii="Times New Roman" w:hAnsi="Times New Roman" w:cs="Times New Roman"/>
                      <w:color w:val="000000" w:themeColor="text1"/>
                      <w:kern w:val="2"/>
                      <w:sz w:val="21"/>
                      <w:szCs w:val="21"/>
                      <w:lang w:val="en-US" w:eastAsia="zh-CN" w:bidi="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zh-CN"/>
                      <w14:textFill>
                        <w14:solidFill>
                          <w14:schemeClr w14:val="tx1"/>
                        </w14:solidFill>
                      </w14:textFill>
                    </w:rPr>
                    <w:t>0.005</w:t>
                  </w:r>
                </w:p>
              </w:tc>
            </w:tr>
          </w:tbl>
          <w:p w14:paraId="4C045CEB">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Times New Roman" w:hAnsi="Times New Roman" w:eastAsia="宋体" w:cs="Times New Roman"/>
                <w:b w:val="0"/>
                <w:bCs w:val="0"/>
                <w:snapToGrid w:val="0"/>
                <w:color w:val="000000" w:themeColor="text1"/>
                <w:kern w:val="2"/>
                <w:sz w:val="24"/>
                <w:szCs w:val="24"/>
                <w:lang w:val="en-US"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根据监测结果分析可知，</w:t>
            </w:r>
            <w:r>
              <w:rPr>
                <w:rFonts w:hint="eastAsia" w:ascii="Times New Roman" w:hAnsi="Times New Roman"/>
                <w:color w:val="000000" w:themeColor="text1"/>
                <w:sz w:val="24"/>
                <w:szCs w:val="24"/>
                <w:lang w:eastAsia="zh-CN"/>
                <w14:textFill>
                  <w14:solidFill>
                    <w14:schemeClr w14:val="tx1"/>
                  </w14:solidFill>
                </w14:textFill>
              </w:rPr>
              <w:t>该项目监测期间</w:t>
            </w:r>
            <w:r>
              <w:rPr>
                <w:rFonts w:hint="eastAsia" w:ascii="Times New Roman" w:hAnsi="Times New Roman" w:cs="Times New Roman"/>
                <w:color w:val="000000" w:themeColor="text1"/>
                <w:kern w:val="2"/>
                <w:sz w:val="24"/>
                <w:szCs w:val="24"/>
                <w:vertAlign w:val="baseline"/>
                <w:lang w:val="en-US" w:eastAsia="zh-CN" w:bidi="ar-SA"/>
                <w14:textFill>
                  <w14:solidFill>
                    <w14:schemeClr w14:val="tx1"/>
                  </w14:solidFill>
                </w14:textFill>
              </w:rPr>
              <w:t>无组织排放最大浓度为氨：0.18</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mg/m</w:t>
            </w:r>
            <w:r>
              <w:rPr>
                <w:rFonts w:hint="eastAsia" w:ascii="Times New Roman" w:hAnsi="Times New Roman"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vertAlign w:val="baseline"/>
                <w:lang w:val="en-US" w:eastAsia="zh-CN" w:bidi="ar-SA"/>
                <w14:textFill>
                  <w14:solidFill>
                    <w14:schemeClr w14:val="tx1"/>
                  </w14:solidFill>
                </w14:textFill>
              </w:rPr>
              <w:t>、硫化氢：116</w:t>
            </w:r>
            <w:r>
              <w:rPr>
                <w:rFonts w:hint="default" w:ascii="Times New Roman" w:hAnsi="Times New Roman" w:cs="Times New Roman"/>
                <w:color w:val="000000" w:themeColor="text1"/>
                <w:kern w:val="2"/>
                <w:sz w:val="24"/>
                <w:szCs w:val="24"/>
                <w:vertAlign w:val="baseline"/>
                <w:lang w:val="en-US" w:eastAsia="zh-CN" w:bidi="ar-SA"/>
                <w14:textFill>
                  <w14:solidFill>
                    <w14:schemeClr w14:val="tx1"/>
                  </w14:solidFill>
                </w14:textFill>
              </w:rPr>
              <w:t>μ</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g/m</w:t>
            </w:r>
            <w:r>
              <w:rPr>
                <w:rFonts w:hint="eastAsia" w:ascii="Times New Roman" w:hAnsi="Times New Roman"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cs="Times New Roman"/>
                <w:color w:val="000000" w:themeColor="text1"/>
                <w:kern w:val="2"/>
                <w:sz w:val="24"/>
                <w:szCs w:val="24"/>
                <w:vertAlign w:val="baseline"/>
                <w:lang w:val="en-US" w:eastAsia="zh-CN" w:bidi="ar-SA"/>
                <w14:textFill>
                  <w14:solidFill>
                    <w14:schemeClr w14:val="tx1"/>
                  </w14:solidFill>
                </w14:textFill>
              </w:rPr>
              <w:t>、臭气浓度˂10。监测结果满足《恶臭污染物排放标准》（GB14554-1993）中的</w:t>
            </w:r>
            <w:r>
              <w:rPr>
                <w:rFonts w:hint="default" w:ascii="Times New Roman" w:hAnsi="Times New Roman" w:cs="Times New Roman"/>
                <w:color w:val="000000" w:themeColor="text1"/>
                <w:sz w:val="24"/>
                <w:szCs w:val="24"/>
                <w14:textFill>
                  <w14:solidFill>
                    <w14:schemeClr w14:val="tx1"/>
                  </w14:solidFill>
                </w14:textFill>
              </w:rPr>
              <w:t>《恶臭污染物排放标准》（GB14554-93）</w:t>
            </w:r>
            <w:r>
              <w:rPr>
                <w:rFonts w:hint="default" w:ascii="Times New Roman" w:hAnsi="Times New Roman" w:cs="Times New Roman"/>
                <w:color w:val="000000" w:themeColor="text1"/>
                <w:sz w:val="24"/>
                <w:szCs w:val="24"/>
                <w:lang w:eastAsia="zh-CN"/>
                <w14:textFill>
                  <w14:solidFill>
                    <w14:schemeClr w14:val="tx1"/>
                  </w14:solidFill>
                </w14:textFill>
              </w:rPr>
              <w:t>表1恶臭污染物厂界标准</w:t>
            </w:r>
            <w:r>
              <w:rPr>
                <w:rFonts w:hint="eastAsia" w:ascii="Times New Roman" w:hAnsi="Times New Roman" w:cs="Times New Roman"/>
                <w:color w:val="000000" w:themeColor="text1"/>
                <w:sz w:val="24"/>
                <w:szCs w:val="24"/>
                <w:lang w:val="en-US" w:eastAsia="zh-CN"/>
                <w14:textFill>
                  <w14:solidFill>
                    <w14:schemeClr w14:val="tx1"/>
                  </w14:solidFill>
                </w14:textFill>
              </w:rPr>
              <w:t>值。</w:t>
            </w:r>
          </w:p>
          <w:p w14:paraId="661FF6BD">
            <w:pPr>
              <w:tabs>
                <w:tab w:val="left" w:pos="1755"/>
              </w:tabs>
              <w:adjustRightInd w:val="0"/>
              <w:snapToGrid w:val="0"/>
              <w:spacing w:line="360" w:lineRule="auto"/>
              <w:ind w:firstLine="480" w:firstLineChars="200"/>
              <w:rPr>
                <w:rFonts w:hint="default"/>
                <w:color w:val="000000" w:themeColor="text1"/>
                <w:sz w:val="24"/>
                <w:szCs w:val="28"/>
                <w:highlight w:val="none"/>
                <w14:textFill>
                  <w14:solidFill>
                    <w14:schemeClr w14:val="tx1"/>
                  </w14:solidFill>
                </w14:textFill>
              </w:rPr>
            </w:pPr>
            <w:r>
              <w:rPr>
                <w:rFonts w:hint="default"/>
                <w:color w:val="000000" w:themeColor="text1"/>
                <w:sz w:val="24"/>
                <w:szCs w:val="28"/>
                <w:highlight w:val="none"/>
                <w14:textFill>
                  <w14:solidFill>
                    <w14:schemeClr w14:val="tx1"/>
                  </w14:solidFill>
                </w14:textFill>
              </w:rPr>
              <w:t>（2）废水</w:t>
            </w:r>
          </w:p>
          <w:p w14:paraId="62C48048">
            <w:pPr>
              <w:tabs>
                <w:tab w:val="left" w:pos="1755"/>
              </w:tabs>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厂区采用雨、污分流；运营期生活污水和生产废水经污水处理站（格栅+调节池+沉淀池+A/O池+二沉池）预处理后，</w:t>
            </w:r>
            <w:r>
              <w:rPr>
                <w:rFonts w:hint="eastAsia" w:cs="Times New Roman"/>
                <w:color w:val="000000" w:themeColor="text1"/>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经园区污水管网排入汴北污水处理厂统一处理。对周围水环境影响较小。</w:t>
            </w: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安徽东方果园生物科技有限公司污水</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2023H0818034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ascii="Times New Roman"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），废水检测结果如下。</w:t>
            </w:r>
          </w:p>
          <w:p w14:paraId="4F4D2E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2.14</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废水</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监测结果</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419"/>
              <w:gridCol w:w="1221"/>
              <w:gridCol w:w="1221"/>
              <w:gridCol w:w="1221"/>
              <w:gridCol w:w="1260"/>
            </w:tblGrid>
            <w:tr w14:paraId="6F65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noWrap w:val="0"/>
                  <w:vAlign w:val="center"/>
                </w:tcPr>
                <w:p w14:paraId="5DC25AB2">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检测时间</w:t>
                  </w:r>
                </w:p>
              </w:tc>
              <w:tc>
                <w:tcPr>
                  <w:tcW w:w="2419" w:type="dxa"/>
                  <w:noWrap w:val="0"/>
                  <w:vAlign w:val="center"/>
                </w:tcPr>
                <w:p w14:paraId="167B4F24">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检测项目</w:t>
                  </w:r>
                </w:p>
              </w:tc>
              <w:tc>
                <w:tcPr>
                  <w:tcW w:w="1221" w:type="dxa"/>
                  <w:noWrap w:val="0"/>
                  <w:vAlign w:val="center"/>
                </w:tcPr>
                <w:p w14:paraId="4E88E53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单位</w:t>
                  </w:r>
                </w:p>
              </w:tc>
              <w:tc>
                <w:tcPr>
                  <w:tcW w:w="1221" w:type="dxa"/>
                  <w:noWrap w:val="0"/>
                  <w:vAlign w:val="center"/>
                </w:tcPr>
                <w:p w14:paraId="13BD2925">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技术指标</w:t>
                  </w:r>
                </w:p>
              </w:tc>
              <w:tc>
                <w:tcPr>
                  <w:tcW w:w="1221" w:type="dxa"/>
                  <w:noWrap w:val="0"/>
                  <w:vAlign w:val="center"/>
                </w:tcPr>
                <w:p w14:paraId="5B9B4C59">
                  <w:pPr>
                    <w:pStyle w:val="29"/>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检测结果</w:t>
                  </w:r>
                </w:p>
              </w:tc>
              <w:tc>
                <w:tcPr>
                  <w:tcW w:w="1260" w:type="dxa"/>
                  <w:noWrap w:val="0"/>
                  <w:vAlign w:val="center"/>
                </w:tcPr>
                <w:p w14:paraId="0D0AC93F">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单项判定</w:t>
                  </w:r>
                </w:p>
              </w:tc>
            </w:tr>
            <w:tr w14:paraId="3D7E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8" w:type="dxa"/>
                  <w:vMerge w:val="restart"/>
                  <w:noWrap w:val="0"/>
                  <w:vAlign w:val="center"/>
                </w:tcPr>
                <w:p w14:paraId="35F3D399">
                  <w:pPr>
                    <w:keepNext w:val="0"/>
                    <w:keepLines w:val="0"/>
                    <w:pageBreakBefore w:val="0"/>
                    <w:widowControl w:val="0"/>
                    <w:kinsoku/>
                    <w:wordWrap/>
                    <w:overflowPunct/>
                    <w:topLinePunct w:val="0"/>
                    <w:bidi w:val="0"/>
                    <w:adjustRightInd w:val="0"/>
                    <w:snapToGrid w:val="0"/>
                    <w:spacing w:line="240" w:lineRule="auto"/>
                    <w:ind w:right="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2023.8.15</w:t>
                  </w:r>
                </w:p>
              </w:tc>
              <w:tc>
                <w:tcPr>
                  <w:tcW w:w="2419" w:type="dxa"/>
                  <w:noWrap w:val="0"/>
                  <w:vAlign w:val="center"/>
                </w:tcPr>
                <w:p w14:paraId="42A6393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pH值</w:t>
                  </w:r>
                </w:p>
              </w:tc>
              <w:tc>
                <w:tcPr>
                  <w:tcW w:w="1221" w:type="dxa"/>
                  <w:noWrap w:val="0"/>
                  <w:vAlign w:val="center"/>
                </w:tcPr>
                <w:p w14:paraId="2E04B622">
                  <w:pPr>
                    <w:pStyle w:val="29"/>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无量纲</w:t>
                  </w:r>
                </w:p>
              </w:tc>
              <w:tc>
                <w:tcPr>
                  <w:tcW w:w="1221" w:type="dxa"/>
                  <w:noWrap w:val="0"/>
                  <w:vAlign w:val="center"/>
                </w:tcPr>
                <w:p w14:paraId="541D36D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6.5~9.5</w:t>
                  </w:r>
                </w:p>
              </w:tc>
              <w:tc>
                <w:tcPr>
                  <w:tcW w:w="1221" w:type="dxa"/>
                  <w:noWrap w:val="0"/>
                  <w:vAlign w:val="center"/>
                </w:tcPr>
                <w:p w14:paraId="63381060">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7.48</w:t>
                  </w:r>
                </w:p>
              </w:tc>
              <w:tc>
                <w:tcPr>
                  <w:tcW w:w="1260" w:type="dxa"/>
                  <w:noWrap w:val="0"/>
                  <w:vAlign w:val="center"/>
                </w:tcPr>
                <w:p w14:paraId="29E76DEA">
                  <w:pPr>
                    <w:pStyle w:val="29"/>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478F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5811A7CA">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6B3D28DB">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悬浮物</w:t>
                  </w:r>
                </w:p>
              </w:tc>
              <w:tc>
                <w:tcPr>
                  <w:tcW w:w="1221" w:type="dxa"/>
                  <w:noWrap w:val="0"/>
                  <w:vAlign w:val="center"/>
                </w:tcPr>
                <w:p w14:paraId="7EB7A12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0831017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≤250</w:t>
                  </w:r>
                </w:p>
              </w:tc>
              <w:tc>
                <w:tcPr>
                  <w:tcW w:w="1221" w:type="dxa"/>
                  <w:noWrap w:val="0"/>
                  <w:vAlign w:val="center"/>
                </w:tcPr>
                <w:p w14:paraId="740B38E9">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w:t>
                  </w:r>
                </w:p>
              </w:tc>
              <w:tc>
                <w:tcPr>
                  <w:tcW w:w="1260" w:type="dxa"/>
                  <w:noWrap w:val="0"/>
                  <w:vAlign w:val="center"/>
                </w:tcPr>
                <w:p w14:paraId="3DEEB847">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7F4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5D033697">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DBA174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化学需氧量</w:t>
                  </w:r>
                </w:p>
              </w:tc>
              <w:tc>
                <w:tcPr>
                  <w:tcW w:w="1221" w:type="dxa"/>
                  <w:noWrap w:val="0"/>
                  <w:vAlign w:val="center"/>
                </w:tcPr>
                <w:p w14:paraId="1FCBC4E8">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50F9A633">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≤300</w:t>
                  </w:r>
                </w:p>
              </w:tc>
              <w:tc>
                <w:tcPr>
                  <w:tcW w:w="1221" w:type="dxa"/>
                  <w:noWrap w:val="0"/>
                  <w:vAlign w:val="center"/>
                </w:tcPr>
                <w:p w14:paraId="6BAFE77F">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8</w:t>
                  </w:r>
                </w:p>
              </w:tc>
              <w:tc>
                <w:tcPr>
                  <w:tcW w:w="1260" w:type="dxa"/>
                  <w:noWrap w:val="0"/>
                  <w:vAlign w:val="center"/>
                </w:tcPr>
                <w:p w14:paraId="62CE1D2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0243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1CE9167E">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5DBA283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石油类</w:t>
                  </w:r>
                </w:p>
              </w:tc>
              <w:tc>
                <w:tcPr>
                  <w:tcW w:w="1221" w:type="dxa"/>
                  <w:noWrap w:val="0"/>
                  <w:vAlign w:val="center"/>
                </w:tcPr>
                <w:p w14:paraId="6E87E1E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6B67305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10</w:t>
                  </w:r>
                </w:p>
              </w:tc>
              <w:tc>
                <w:tcPr>
                  <w:tcW w:w="1221" w:type="dxa"/>
                  <w:noWrap w:val="0"/>
                  <w:vAlign w:val="center"/>
                </w:tcPr>
                <w:p w14:paraId="289F25D2">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0.54</w:t>
                  </w:r>
                </w:p>
              </w:tc>
              <w:tc>
                <w:tcPr>
                  <w:tcW w:w="1260" w:type="dxa"/>
                  <w:noWrap w:val="0"/>
                  <w:vAlign w:val="center"/>
                </w:tcPr>
                <w:p w14:paraId="25F0593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329A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27A86C6C">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6F64D38">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氨氮</w:t>
                  </w:r>
                </w:p>
              </w:tc>
              <w:tc>
                <w:tcPr>
                  <w:tcW w:w="1221" w:type="dxa"/>
                  <w:noWrap w:val="0"/>
                  <w:vAlign w:val="center"/>
                </w:tcPr>
                <w:p w14:paraId="4956008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3EECAE58">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25</w:t>
                  </w:r>
                </w:p>
              </w:tc>
              <w:tc>
                <w:tcPr>
                  <w:tcW w:w="1221" w:type="dxa"/>
                  <w:noWrap w:val="0"/>
                  <w:vAlign w:val="center"/>
                </w:tcPr>
                <w:p w14:paraId="4C0F62AD">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0.031</w:t>
                  </w:r>
                </w:p>
              </w:tc>
              <w:tc>
                <w:tcPr>
                  <w:tcW w:w="1260" w:type="dxa"/>
                  <w:noWrap w:val="0"/>
                  <w:vAlign w:val="center"/>
                </w:tcPr>
                <w:p w14:paraId="2C1CAAE1">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5B32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3EF76418">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53058FB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总氮</w:t>
                  </w:r>
                </w:p>
              </w:tc>
              <w:tc>
                <w:tcPr>
                  <w:tcW w:w="1221" w:type="dxa"/>
                  <w:noWrap w:val="0"/>
                  <w:vAlign w:val="center"/>
                </w:tcPr>
                <w:p w14:paraId="4A3B18AC">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614C054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45</w:t>
                  </w:r>
                </w:p>
              </w:tc>
              <w:tc>
                <w:tcPr>
                  <w:tcW w:w="1221" w:type="dxa"/>
                  <w:noWrap w:val="0"/>
                  <w:vAlign w:val="center"/>
                </w:tcPr>
                <w:p w14:paraId="09CC654E">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0.22</w:t>
                  </w:r>
                </w:p>
              </w:tc>
              <w:tc>
                <w:tcPr>
                  <w:tcW w:w="1260" w:type="dxa"/>
                  <w:noWrap w:val="0"/>
                  <w:vAlign w:val="center"/>
                </w:tcPr>
                <w:p w14:paraId="479E7D0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45D5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126E3551">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3E237C0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总磷</w:t>
                  </w:r>
                </w:p>
              </w:tc>
              <w:tc>
                <w:tcPr>
                  <w:tcW w:w="1221" w:type="dxa"/>
                  <w:noWrap w:val="0"/>
                  <w:vAlign w:val="center"/>
                </w:tcPr>
                <w:p w14:paraId="176489C0">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21602B8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5</w:t>
                  </w:r>
                </w:p>
              </w:tc>
              <w:tc>
                <w:tcPr>
                  <w:tcW w:w="1221" w:type="dxa"/>
                  <w:noWrap w:val="0"/>
                  <w:vAlign w:val="center"/>
                </w:tcPr>
                <w:p w14:paraId="4523884D">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0.016</w:t>
                  </w:r>
                </w:p>
              </w:tc>
              <w:tc>
                <w:tcPr>
                  <w:tcW w:w="1260" w:type="dxa"/>
                  <w:noWrap w:val="0"/>
                  <w:vAlign w:val="center"/>
                </w:tcPr>
                <w:p w14:paraId="03F23A8D">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1E2C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2BF731FF">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C443EF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五日化需氧量</w:t>
                  </w:r>
                </w:p>
              </w:tc>
              <w:tc>
                <w:tcPr>
                  <w:tcW w:w="1221" w:type="dxa"/>
                  <w:noWrap w:val="0"/>
                  <w:vAlign w:val="center"/>
                </w:tcPr>
                <w:p w14:paraId="0A401419">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0346F135">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150</w:t>
                  </w:r>
                </w:p>
              </w:tc>
              <w:tc>
                <w:tcPr>
                  <w:tcW w:w="1221" w:type="dxa"/>
                  <w:noWrap w:val="0"/>
                  <w:vAlign w:val="center"/>
                </w:tcPr>
                <w:p w14:paraId="3382BE36">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w:t>
                  </w:r>
                </w:p>
              </w:tc>
              <w:tc>
                <w:tcPr>
                  <w:tcW w:w="1260" w:type="dxa"/>
                  <w:noWrap w:val="0"/>
                  <w:vAlign w:val="center"/>
                </w:tcPr>
                <w:p w14:paraId="5386B36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592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2A2F7E86">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08D210F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总汞</w:t>
                  </w:r>
                </w:p>
              </w:tc>
              <w:tc>
                <w:tcPr>
                  <w:tcW w:w="1221" w:type="dxa"/>
                  <w:noWrap w:val="0"/>
                  <w:vAlign w:val="center"/>
                </w:tcPr>
                <w:p w14:paraId="4FDDBD5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1ED6E95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0.0005</w:t>
                  </w:r>
                </w:p>
              </w:tc>
              <w:tc>
                <w:tcPr>
                  <w:tcW w:w="1221" w:type="dxa"/>
                  <w:noWrap w:val="0"/>
                  <w:vAlign w:val="center"/>
                </w:tcPr>
                <w:p w14:paraId="7A40918F">
                  <w:pPr>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0.0004</w:t>
                  </w:r>
                </w:p>
              </w:tc>
              <w:tc>
                <w:tcPr>
                  <w:tcW w:w="1260" w:type="dxa"/>
                  <w:noWrap w:val="0"/>
                  <w:vAlign w:val="center"/>
                </w:tcPr>
                <w:p w14:paraId="087A42E2">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r w14:paraId="563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8" w:type="dxa"/>
                  <w:vMerge w:val="continue"/>
                  <w:noWrap w:val="0"/>
                  <w:vAlign w:val="center"/>
                </w:tcPr>
                <w:p w14:paraId="7B578C8A">
                  <w:pPr>
                    <w:keepNext w:val="0"/>
                    <w:keepLines w:val="0"/>
                    <w:pageBreakBefore w:val="0"/>
                    <w:widowControl w:val="0"/>
                    <w:kinsoku/>
                    <w:wordWrap/>
                    <w:overflowPunct/>
                    <w:topLinePunct w:val="0"/>
                    <w:bidi w:val="0"/>
                    <w:adjustRightInd w:val="0"/>
                    <w:snapToGrid w:val="0"/>
                    <w:spacing w:line="240" w:lineRule="auto"/>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19" w:type="dxa"/>
                  <w:noWrap w:val="0"/>
                  <w:vAlign w:val="center"/>
                </w:tcPr>
                <w:p w14:paraId="41830376">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总铬</w:t>
                  </w:r>
                </w:p>
              </w:tc>
              <w:tc>
                <w:tcPr>
                  <w:tcW w:w="1221" w:type="dxa"/>
                  <w:noWrap w:val="0"/>
                  <w:vAlign w:val="center"/>
                </w:tcPr>
                <w:p w14:paraId="2D2A176A">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mg/L</w:t>
                  </w:r>
                </w:p>
              </w:tc>
              <w:tc>
                <w:tcPr>
                  <w:tcW w:w="1221" w:type="dxa"/>
                  <w:noWrap w:val="0"/>
                  <w:vAlign w:val="center"/>
                </w:tcPr>
                <w:p w14:paraId="3BF610AF">
                  <w:pPr>
                    <w:keepNext w:val="0"/>
                    <w:keepLines w:val="0"/>
                    <w:pageBreakBefore w:val="0"/>
                    <w:widowControl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w:t>
                  </w:r>
                </w:p>
              </w:tc>
              <w:tc>
                <w:tcPr>
                  <w:tcW w:w="1221" w:type="dxa"/>
                  <w:noWrap w:val="0"/>
                  <w:vAlign w:val="center"/>
                </w:tcPr>
                <w:p w14:paraId="527E72AD">
                  <w:pPr>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未检出</w:t>
                  </w:r>
                </w:p>
              </w:tc>
              <w:tc>
                <w:tcPr>
                  <w:tcW w:w="1260" w:type="dxa"/>
                  <w:noWrap w:val="0"/>
                  <w:vAlign w:val="center"/>
                </w:tcPr>
                <w:p w14:paraId="7FB167BE">
                  <w:pPr>
                    <w:keepNext w:val="0"/>
                    <w:keepLines w:val="0"/>
                    <w:pageBreakBefore w:val="0"/>
                    <w:widowControl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合格</w:t>
                  </w:r>
                </w:p>
              </w:tc>
            </w:tr>
          </w:tbl>
          <w:p w14:paraId="2E479632">
            <w:pPr>
              <w:keepNext w:val="0"/>
              <w:keepLines w:val="0"/>
              <w:pageBreakBefore w:val="0"/>
              <w:widowControl w:val="0"/>
              <w:tabs>
                <w:tab w:val="left" w:pos="1755"/>
              </w:tabs>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根据监测结果分析可知，</w:t>
            </w:r>
            <w:r>
              <w:rPr>
                <w:rFonts w:hint="eastAsia" w:ascii="Times New Roman" w:hAnsi="Times New Roman"/>
                <w:color w:val="000000" w:themeColor="text1"/>
                <w:sz w:val="24"/>
                <w:szCs w:val="24"/>
                <w:lang w:eastAsia="zh-CN"/>
                <w14:textFill>
                  <w14:solidFill>
                    <w14:schemeClr w14:val="tx1"/>
                  </w14:solidFill>
                </w14:textFill>
              </w:rPr>
              <w:t>该项目监测期间废水排放检测结果</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满足</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接管标准限值后排入</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集中处理</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5392D63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object>
                <v:shape id="_x0000_i1027" o:spt="75" type="#_x0000_t75" style="height:336.1pt;width:414.45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图2.</w:t>
            </w:r>
            <w:r>
              <w:rPr>
                <w:rFonts w:hint="eastAsia"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现有</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项目水平衡图 单位：t/d</w:t>
            </w:r>
          </w:p>
          <w:p w14:paraId="2671C841">
            <w:pPr>
              <w:tabs>
                <w:tab w:val="left" w:pos="1755"/>
              </w:tabs>
              <w:adjustRightInd w:val="0"/>
              <w:snapToGrid w:val="0"/>
              <w:spacing w:line="360" w:lineRule="auto"/>
              <w:ind w:firstLine="480" w:firstLineChars="200"/>
              <w:rPr>
                <w:rFonts w:hint="default"/>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（3）噪声</w:t>
            </w:r>
          </w:p>
          <w:p w14:paraId="4F676F88">
            <w:pPr>
              <w:numPr>
                <w:ilvl w:val="0"/>
                <w:numId w:val="0"/>
              </w:numPr>
              <w:spacing w:line="360" w:lineRule="auto"/>
              <w:ind w:firstLine="480" w:firstLineChars="200"/>
              <w:rPr>
                <w:rFonts w:hint="eastAsia"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现有工程</w:t>
            </w:r>
            <w:r>
              <w:rPr>
                <w:rFonts w:hint="eastAsia" w:cs="Times New Roman"/>
                <w:color w:val="000000" w:themeColor="text1"/>
                <w:kern w:val="0"/>
                <w:sz w:val="24"/>
                <w:szCs w:val="24"/>
                <w:lang w:val="en-US" w:eastAsia="zh-CN" w:bidi="ar-SA"/>
                <w14:textFill>
                  <w14:solidFill>
                    <w14:schemeClr w14:val="tx1"/>
                  </w14:solidFill>
                </w14:textFill>
              </w:rPr>
              <w:t>噪声正式运营后，</w:t>
            </w:r>
            <w:r>
              <w:rPr>
                <w:rFonts w:hint="eastAsia"/>
                <w:b w:val="0"/>
                <w:bCs w:val="0"/>
                <w:color w:val="000000" w:themeColor="text1"/>
                <w:sz w:val="24"/>
                <w:szCs w:val="24"/>
                <w:highlight w:val="none"/>
                <w:lang w:val="en-US" w:eastAsia="zh-CN"/>
                <w14:textFill>
                  <w14:solidFill>
                    <w14:schemeClr w14:val="tx1"/>
                  </w14:solidFill>
                </w14:textFill>
              </w:rPr>
              <w:t>项目噪声源主要为冷风机、压缩机、等设备运行时产生的噪声</w:t>
            </w:r>
            <w:r>
              <w:rPr>
                <w:rFonts w:hint="eastAsia" w:ascii="Times New Roman" w:hAnsi="Times New Roman" w:cs="Times New Roman"/>
                <w:b w:val="0"/>
                <w:bCs w:val="0"/>
                <w:color w:val="000000" w:themeColor="text1"/>
                <w:sz w:val="24"/>
                <w:szCs w:val="24"/>
                <w:highlight w:val="none"/>
                <w:shd w:val="clear" w:color="auto" w:fill="auto"/>
                <w:lang w:val="en-US" w:eastAsia="zh-CN"/>
                <w14:textFill>
                  <w14:solidFill>
                    <w14:schemeClr w14:val="tx1"/>
                  </w14:solidFill>
                </w14:textFill>
              </w:rPr>
              <w:t>，噪声</w:t>
            </w:r>
            <w:r>
              <w:rPr>
                <w:rFonts w:hint="default" w:ascii="Times New Roman" w:hAnsi="Times New Roman" w:eastAsia="宋体" w:cs="Times New Roman"/>
                <w:color w:val="000000" w:themeColor="text1"/>
                <w:sz w:val="24"/>
                <w:szCs w:val="24"/>
                <w:highlight w:val="none"/>
                <w14:textFill>
                  <w14:solidFill>
                    <w14:schemeClr w14:val="tx1"/>
                  </w14:solidFill>
                </w14:textFill>
              </w:rPr>
              <w:t>级在</w:t>
            </w:r>
            <w:r>
              <w:rPr>
                <w:rFonts w:hint="eastAsia" w:cs="Times New Roman"/>
                <w:color w:val="000000" w:themeColor="text1"/>
                <w:sz w:val="24"/>
                <w:szCs w:val="24"/>
                <w:highlight w:val="none"/>
                <w:lang w:val="en-US" w:eastAsia="zh-CN"/>
                <w14:textFill>
                  <w14:solidFill>
                    <w14:schemeClr w14:val="tx1"/>
                  </w14:solidFill>
                </w14:textFill>
              </w:rPr>
              <w:t>80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0dB（A）之间</w:t>
            </w:r>
            <w:r>
              <w:rPr>
                <w:rFonts w:hint="eastAsia" w:cs="Times New Roman"/>
                <w:color w:val="000000" w:themeColor="text1"/>
                <w:kern w:val="0"/>
                <w:sz w:val="24"/>
                <w:szCs w:val="24"/>
                <w:lang w:val="en-US" w:eastAsia="zh-CN" w:bidi="ar-SA"/>
                <w14:textFill>
                  <w14:solidFill>
                    <w14:schemeClr w14:val="tx1"/>
                  </w14:solidFill>
                </w14:textFill>
              </w:rPr>
              <w:t>。根据</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cs="Times New Roman"/>
                <w:snapToGrid/>
                <w:color w:val="000000" w:themeColor="text1"/>
                <w:spacing w:val="0"/>
                <w:kern w:val="0"/>
                <w:position w:val="0"/>
                <w:sz w:val="24"/>
                <w:szCs w:val="24"/>
                <w:lang w:eastAsia="zh-CN"/>
                <w14:textFill>
                  <w14:solidFill>
                    <w14:schemeClr w14:val="tx1"/>
                  </w14:solidFill>
                </w14:textFill>
              </w:rPr>
              <w:t>安徽东方果园生物科技有限公司厂界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废气、噪声</w:t>
            </w:r>
            <w:r>
              <w:rPr>
                <w:rFonts w:hint="default" w:ascii="Times New Roman" w:hAnsi="Times New Roman" w:cs="Times New Roman"/>
                <w:color w:val="000000" w:themeColor="text1"/>
                <w:sz w:val="24"/>
                <w:szCs w:val="24"/>
                <w:highlight w:val="none"/>
                <w14:textFill>
                  <w14:solidFill>
                    <w14:schemeClr w14:val="tx1"/>
                  </w14:solidFill>
                </w14:textFill>
              </w:rPr>
              <w:t>检</w:t>
            </w:r>
            <w:r>
              <w:rPr>
                <w:rFonts w:hint="eastAsia"/>
                <w:color w:val="000000" w:themeColor="text1"/>
                <w:sz w:val="24"/>
                <w:szCs w:val="24"/>
                <w:highlight w:val="none"/>
                <w14:textFill>
                  <w14:solidFill>
                    <w14:schemeClr w14:val="tx1"/>
                  </w14:solidFill>
                </w14:textFill>
              </w:rPr>
              <w:t>测》</w:t>
            </w:r>
            <w:r>
              <w:rPr>
                <w:rFonts w:hint="eastAsia"/>
                <w:color w:val="000000" w:themeColor="text1"/>
                <w:sz w:val="24"/>
                <w:szCs w:val="24"/>
                <w:highlight w:val="none"/>
                <w:lang w:eastAsia="zh-CN"/>
                <w14:textFill>
                  <w14:solidFill>
                    <w14:schemeClr w14:val="tx1"/>
                  </w14:solidFill>
                </w14:textFill>
              </w:rPr>
              <w:t>（报告编号：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JJ</w:t>
            </w:r>
            <w:r>
              <w:rPr>
                <w:rFonts w:hint="eastAsia" w:ascii="Times New Roman" w:cs="Times New Roman"/>
                <w:color w:val="000000" w:themeColor="text1"/>
                <w:sz w:val="24"/>
                <w:szCs w:val="24"/>
                <w:highlight w:val="none"/>
                <w:lang w:val="en-US" w:eastAsia="zh-CN"/>
                <w14:textFill>
                  <w14:solidFill>
                    <w14:schemeClr w14:val="tx1"/>
                  </w14:solidFill>
                </w14:textFill>
              </w:rPr>
              <w:t>ZX</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w:t>
            </w:r>
            <w:r>
              <w:rPr>
                <w:rFonts w:hint="eastAsia" w:ascii="Times New Roman" w:cs="Times New Roman"/>
                <w:color w:val="000000" w:themeColor="text1"/>
                <w:sz w:val="24"/>
                <w:szCs w:val="24"/>
                <w:highlight w:val="none"/>
                <w:lang w:val="en-US" w:eastAsia="zh-CN"/>
                <w14:textFill>
                  <w14:solidFill>
                    <w14:schemeClr w14:val="tx1"/>
                  </w14:solidFill>
                </w14:textFill>
              </w:rPr>
              <w:t>1351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，2025年</w:t>
            </w:r>
            <w:r>
              <w:rPr>
                <w:rFonts w:hint="eastAsia" w:ascii="Times New Roman"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cs="Times New Roman"/>
                <w:color w:val="000000" w:themeColor="text1"/>
                <w:sz w:val="24"/>
                <w:szCs w:val="24"/>
                <w:highlight w:val="none"/>
                <w:lang w:val="en-US" w:eastAsia="zh-CN"/>
                <w14:textFill>
                  <w14:solidFill>
                    <w14:schemeClr w14:val="tx1"/>
                  </w14:solidFill>
                </w14:textFill>
              </w:rPr>
              <w:t>29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r>
              <w:rPr>
                <w:rFonts w:hint="eastAsia"/>
                <w:color w:val="000000" w:themeColor="text1"/>
                <w:sz w:val="24"/>
                <w:szCs w:val="24"/>
                <w:highlight w:val="none"/>
                <w:lang w:eastAsia="zh-CN"/>
                <w14:textFill>
                  <w14:solidFill>
                    <w14:schemeClr w14:val="tx1"/>
                  </w14:solidFill>
                </w14:textFill>
              </w:rPr>
              <w:t>）中数据，</w:t>
            </w:r>
            <w:r>
              <w:rPr>
                <w:rFonts w:hint="eastAsia" w:cs="Times New Roman"/>
                <w:color w:val="000000" w:themeColor="text1"/>
                <w:kern w:val="0"/>
                <w:sz w:val="24"/>
                <w:szCs w:val="24"/>
                <w:lang w:val="en-US" w:eastAsia="zh-CN" w:bidi="ar-SA"/>
                <w14:textFill>
                  <w14:solidFill>
                    <w14:schemeClr w14:val="tx1"/>
                  </w14:solidFill>
                </w14:textFill>
              </w:rPr>
              <w:t>噪声监测结果如下：</w:t>
            </w:r>
          </w:p>
          <w:p w14:paraId="3C6EC2A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w:t>
            </w:r>
            <w:r>
              <w:rPr>
                <w:rFonts w:hint="eastAsia" w:cs="Times New Roman"/>
                <w:b/>
                <w:bCs/>
                <w:color w:val="000000" w:themeColor="text1"/>
                <w:sz w:val="24"/>
                <w:szCs w:val="24"/>
                <w:lang w:val="en-US" w:eastAsia="zh-CN"/>
                <w14:textFill>
                  <w14:solidFill>
                    <w14:schemeClr w14:val="tx1"/>
                  </w14:solidFill>
                </w14:textFill>
              </w:rPr>
              <w:t xml:space="preserve">2.15 </w:t>
            </w:r>
            <w:r>
              <w:rPr>
                <w:rFonts w:hint="eastAsia"/>
                <w:b/>
                <w:bCs/>
                <w:color w:val="000000" w:themeColor="text1"/>
                <w:sz w:val="24"/>
                <w:szCs w:val="24"/>
                <w:lang w:val="en-US" w:eastAsia="zh-CN"/>
                <w14:textFill>
                  <w14:solidFill>
                    <w14:schemeClr w14:val="tx1"/>
                  </w14:solidFill>
                </w14:textFill>
              </w:rPr>
              <w:t xml:space="preserve"> 噪声检测结果</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76"/>
              <w:gridCol w:w="2001"/>
              <w:gridCol w:w="2253"/>
            </w:tblGrid>
            <w:tr w14:paraId="5316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vMerge w:val="restart"/>
                  <w:tcBorders>
                    <w:tl2br w:val="nil"/>
                    <w:tr2bl w:val="nil"/>
                  </w:tcBorders>
                  <w:noWrap w:val="0"/>
                  <w:vAlign w:val="center"/>
                </w:tcPr>
                <w:p w14:paraId="7C836C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编码</w:t>
                  </w:r>
                </w:p>
              </w:tc>
              <w:tc>
                <w:tcPr>
                  <w:tcW w:w="1857" w:type="pct"/>
                  <w:vMerge w:val="restart"/>
                  <w:tcBorders>
                    <w:tl2br w:val="nil"/>
                    <w:tr2bl w:val="nil"/>
                  </w:tcBorders>
                  <w:noWrap w:val="0"/>
                  <w:vAlign w:val="center"/>
                </w:tcPr>
                <w:p w14:paraId="04EA93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监测点位</w:t>
                  </w:r>
                </w:p>
              </w:tc>
              <w:tc>
                <w:tcPr>
                  <w:tcW w:w="2568" w:type="pct"/>
                  <w:gridSpan w:val="2"/>
                  <w:tcBorders>
                    <w:tl2br w:val="nil"/>
                    <w:tr2bl w:val="nil"/>
                  </w:tcBorders>
                  <w:noWrap w:val="0"/>
                  <w:vAlign w:val="center"/>
                </w:tcPr>
                <w:p w14:paraId="502592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检测值</w:t>
                  </w:r>
                </w:p>
              </w:tc>
            </w:tr>
            <w:tr w14:paraId="185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vMerge w:val="continue"/>
                  <w:tcBorders>
                    <w:tl2br w:val="nil"/>
                    <w:tr2bl w:val="nil"/>
                  </w:tcBorders>
                  <w:noWrap w:val="0"/>
                  <w:vAlign w:val="center"/>
                </w:tcPr>
                <w:p w14:paraId="6EA2ED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cs="Times New Roman"/>
                      <w:b w:val="0"/>
                      <w:bCs w:val="0"/>
                      <w:color w:val="000000" w:themeColor="text1"/>
                      <w:sz w:val="21"/>
                      <w:szCs w:val="21"/>
                      <w:lang w:val="en-US" w:eastAsia="zh-CN" w:bidi="ar"/>
                      <w14:textFill>
                        <w14:solidFill>
                          <w14:schemeClr w14:val="tx1"/>
                        </w14:solidFill>
                      </w14:textFill>
                    </w:rPr>
                  </w:pPr>
                </w:p>
              </w:tc>
              <w:tc>
                <w:tcPr>
                  <w:tcW w:w="1857" w:type="pct"/>
                  <w:vMerge w:val="continue"/>
                  <w:tcBorders>
                    <w:tl2br w:val="nil"/>
                    <w:tr2bl w:val="nil"/>
                  </w:tcBorders>
                  <w:noWrap w:val="0"/>
                  <w:vAlign w:val="center"/>
                </w:tcPr>
                <w:p w14:paraId="1C2925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bidi="ar"/>
                      <w14:textFill>
                        <w14:solidFill>
                          <w14:schemeClr w14:val="tx1"/>
                        </w14:solidFill>
                      </w14:textFill>
                    </w:rPr>
                  </w:pPr>
                </w:p>
              </w:tc>
              <w:tc>
                <w:tcPr>
                  <w:tcW w:w="2568" w:type="pct"/>
                  <w:gridSpan w:val="2"/>
                  <w:tcBorders>
                    <w:tl2br w:val="nil"/>
                    <w:tr2bl w:val="nil"/>
                  </w:tcBorders>
                  <w:noWrap w:val="0"/>
                  <w:vAlign w:val="center"/>
                </w:tcPr>
                <w:p w14:paraId="0EA4D5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2025年12月19日</w:t>
                  </w:r>
                </w:p>
              </w:tc>
            </w:tr>
            <w:tr w14:paraId="6A48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vMerge w:val="continue"/>
                  <w:tcBorders>
                    <w:tl2br w:val="nil"/>
                    <w:tr2bl w:val="nil"/>
                  </w:tcBorders>
                  <w:noWrap w:val="0"/>
                  <w:vAlign w:val="center"/>
                </w:tcPr>
                <w:p w14:paraId="418869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eastAsia" w:cs="Times New Roman"/>
                      <w:b w:val="0"/>
                      <w:bCs w:val="0"/>
                      <w:color w:val="000000" w:themeColor="text1"/>
                      <w:sz w:val="21"/>
                      <w:szCs w:val="21"/>
                      <w:lang w:val="en-US" w:eastAsia="zh-CN" w:bidi="ar"/>
                      <w14:textFill>
                        <w14:solidFill>
                          <w14:schemeClr w14:val="tx1"/>
                        </w14:solidFill>
                      </w14:textFill>
                    </w:rPr>
                  </w:pPr>
                </w:p>
              </w:tc>
              <w:tc>
                <w:tcPr>
                  <w:tcW w:w="1857" w:type="pct"/>
                  <w:vMerge w:val="continue"/>
                  <w:tcBorders>
                    <w:tl2br w:val="nil"/>
                    <w:tr2bl w:val="nil"/>
                  </w:tcBorders>
                  <w:noWrap w:val="0"/>
                  <w:vAlign w:val="center"/>
                </w:tcPr>
                <w:p w14:paraId="25B975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bidi="ar"/>
                      <w14:textFill>
                        <w14:solidFill>
                          <w14:schemeClr w14:val="tx1"/>
                        </w14:solidFill>
                      </w14:textFill>
                    </w:rPr>
                  </w:pPr>
                </w:p>
              </w:tc>
              <w:tc>
                <w:tcPr>
                  <w:tcW w:w="1208" w:type="pct"/>
                  <w:tcBorders>
                    <w:tl2br w:val="nil"/>
                    <w:tr2bl w:val="nil"/>
                  </w:tcBorders>
                  <w:noWrap w:val="0"/>
                  <w:vAlign w:val="center"/>
                </w:tcPr>
                <w:p w14:paraId="68F7D6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昼间LeqA</w:t>
                  </w:r>
                </w:p>
              </w:tc>
              <w:tc>
                <w:tcPr>
                  <w:tcW w:w="1360" w:type="pct"/>
                  <w:tcBorders>
                    <w:tl2br w:val="nil"/>
                    <w:tr2bl w:val="nil"/>
                  </w:tcBorders>
                  <w:noWrap w:val="0"/>
                  <w:vAlign w:val="center"/>
                </w:tcPr>
                <w:p w14:paraId="71D54E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夜间LeqA</w:t>
                  </w:r>
                </w:p>
              </w:tc>
            </w:tr>
            <w:tr w14:paraId="56A7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45BB677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val="en-US" w:eastAsia="zh-CN" w:bidi="ar"/>
                      <w14:textFill>
                        <w14:solidFill>
                          <w14:schemeClr w14:val="tx1"/>
                        </w14:solidFill>
                      </w14:textFill>
                    </w:rPr>
                    <w:t>N1</w:t>
                  </w:r>
                </w:p>
              </w:tc>
              <w:tc>
                <w:tcPr>
                  <w:tcW w:w="1857" w:type="pct"/>
                  <w:tcBorders>
                    <w:tl2br w:val="nil"/>
                    <w:tr2bl w:val="nil"/>
                  </w:tcBorders>
                  <w:noWrap w:val="0"/>
                  <w:vAlign w:val="center"/>
                </w:tcPr>
                <w:p w14:paraId="481C9A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pPr>
                  <w:r>
                    <w:rPr>
                      <w:rFonts w:hint="eastAsia" w:cs="Times New Roman"/>
                      <w:b w:val="0"/>
                      <w:bCs w:val="0"/>
                      <w:color w:val="000000" w:themeColor="text1"/>
                      <w:sz w:val="21"/>
                      <w:szCs w:val="21"/>
                      <w:lang w:eastAsia="zh-CN" w:bidi="ar"/>
                      <w14:textFill>
                        <w14:solidFill>
                          <w14:schemeClr w14:val="tx1"/>
                        </w14:solidFill>
                      </w14:textFill>
                    </w:rPr>
                    <w:t>东厂界外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371CBA07">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55</w:t>
                  </w:r>
                </w:p>
              </w:tc>
              <w:tc>
                <w:tcPr>
                  <w:tcW w:w="1360" w:type="pct"/>
                  <w:tcBorders>
                    <w:tl2br w:val="nil"/>
                    <w:tr2bl w:val="nil"/>
                  </w:tcBorders>
                  <w:shd w:val="clear" w:color="auto" w:fill="auto"/>
                  <w:noWrap w:val="0"/>
                  <w:vAlign w:val="center"/>
                </w:tcPr>
                <w:p w14:paraId="636F371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21BA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21224F9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N2</w:t>
                  </w:r>
                </w:p>
              </w:tc>
              <w:tc>
                <w:tcPr>
                  <w:tcW w:w="1857" w:type="pct"/>
                  <w:tcBorders>
                    <w:tl2br w:val="nil"/>
                    <w:tr2bl w:val="nil"/>
                  </w:tcBorders>
                  <w:noWrap w:val="0"/>
                  <w:vAlign w:val="center"/>
                </w:tcPr>
                <w:p w14:paraId="0C7FD5D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eastAsia="zh-CN" w:bidi="ar"/>
                      <w14:textFill>
                        <w14:solidFill>
                          <w14:schemeClr w14:val="tx1"/>
                        </w14:solidFill>
                      </w14:textFill>
                    </w:rPr>
                    <w:t>南厂界外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462BCDF2">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58</w:t>
                  </w:r>
                </w:p>
              </w:tc>
              <w:tc>
                <w:tcPr>
                  <w:tcW w:w="1360" w:type="pct"/>
                  <w:tcBorders>
                    <w:tl2br w:val="nil"/>
                    <w:tr2bl w:val="nil"/>
                  </w:tcBorders>
                  <w:shd w:val="clear" w:color="auto" w:fill="auto"/>
                  <w:noWrap w:val="0"/>
                  <w:vAlign w:val="center"/>
                </w:tcPr>
                <w:p w14:paraId="79F4D2E6">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19B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61A6510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N</w:t>
                  </w:r>
                  <w:r>
                    <w:rPr>
                      <w:rFonts w:hint="eastAsia" w:cs="Times New Roman"/>
                      <w:b w:val="0"/>
                      <w:bCs w:val="0"/>
                      <w:color w:val="000000" w:themeColor="text1"/>
                      <w:sz w:val="21"/>
                      <w:szCs w:val="21"/>
                      <w:lang w:val="en-US" w:eastAsia="zh-CN"/>
                      <w14:textFill>
                        <w14:solidFill>
                          <w14:schemeClr w14:val="tx1"/>
                        </w14:solidFill>
                      </w14:textFill>
                    </w:rPr>
                    <w:t>3</w:t>
                  </w:r>
                </w:p>
              </w:tc>
              <w:tc>
                <w:tcPr>
                  <w:tcW w:w="1857" w:type="pct"/>
                  <w:tcBorders>
                    <w:tl2br w:val="nil"/>
                    <w:tr2bl w:val="nil"/>
                  </w:tcBorders>
                  <w:noWrap w:val="0"/>
                  <w:vAlign w:val="center"/>
                </w:tcPr>
                <w:p w14:paraId="7661DFDB">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西</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厂界</w:t>
                  </w:r>
                  <w:r>
                    <w:rPr>
                      <w:rFonts w:hint="eastAsia" w:cs="Times New Roman"/>
                      <w:b w:val="0"/>
                      <w:bCs w:val="0"/>
                      <w:color w:val="000000" w:themeColor="text1"/>
                      <w:sz w:val="21"/>
                      <w:szCs w:val="21"/>
                      <w:lang w:eastAsia="zh-CN" w:bidi="ar"/>
                      <w14:textFill>
                        <w14:solidFill>
                          <w14:schemeClr w14:val="tx1"/>
                        </w14:solidFill>
                      </w14:textFill>
                    </w:rPr>
                    <w:t>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66CC600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61</w:t>
                  </w:r>
                </w:p>
              </w:tc>
              <w:tc>
                <w:tcPr>
                  <w:tcW w:w="1360" w:type="pct"/>
                  <w:tcBorders>
                    <w:tl2br w:val="nil"/>
                    <w:tr2bl w:val="nil"/>
                  </w:tcBorders>
                  <w:shd w:val="clear" w:color="auto" w:fill="auto"/>
                  <w:noWrap w:val="0"/>
                  <w:vAlign w:val="center"/>
                </w:tcPr>
                <w:p w14:paraId="6AC2C3F5">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4B79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Borders>
                    <w:tl2br w:val="nil"/>
                    <w:tr2bl w:val="nil"/>
                  </w:tcBorders>
                  <w:noWrap w:val="0"/>
                  <w:vAlign w:val="center"/>
                </w:tcPr>
                <w:p w14:paraId="75DC20C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N</w:t>
                  </w:r>
                  <w:r>
                    <w:rPr>
                      <w:rFonts w:hint="eastAsia" w:cs="Times New Roman"/>
                      <w:b w:val="0"/>
                      <w:bCs w:val="0"/>
                      <w:color w:val="000000" w:themeColor="text1"/>
                      <w:sz w:val="21"/>
                      <w:szCs w:val="21"/>
                      <w:lang w:val="en-US" w:eastAsia="zh-CN"/>
                      <w14:textFill>
                        <w14:solidFill>
                          <w14:schemeClr w14:val="tx1"/>
                        </w14:solidFill>
                      </w14:textFill>
                    </w:rPr>
                    <w:t>4</w:t>
                  </w:r>
                </w:p>
              </w:tc>
              <w:tc>
                <w:tcPr>
                  <w:tcW w:w="1857" w:type="pct"/>
                  <w:tcBorders>
                    <w:tl2br w:val="nil"/>
                    <w:tr2bl w:val="nil"/>
                  </w:tcBorders>
                  <w:noWrap w:val="0"/>
                  <w:vAlign w:val="center"/>
                </w:tcPr>
                <w:p w14:paraId="1B36F9B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北厂界</w:t>
                  </w:r>
                  <w:r>
                    <w:rPr>
                      <w:rFonts w:hint="eastAsia" w:cs="Times New Roman"/>
                      <w:b w:val="0"/>
                      <w:bCs w:val="0"/>
                      <w:color w:val="000000" w:themeColor="text1"/>
                      <w:sz w:val="21"/>
                      <w:szCs w:val="21"/>
                      <w:lang w:eastAsia="zh-CN" w:bidi="ar"/>
                      <w14:textFill>
                        <w14:solidFill>
                          <w14:schemeClr w14:val="tx1"/>
                        </w14:solidFill>
                      </w14:textFill>
                    </w:rPr>
                    <w:t>外</w:t>
                  </w:r>
                  <w:r>
                    <w:rPr>
                      <w:rFonts w:hint="eastAsia" w:cs="Times New Roman"/>
                      <w:b w:val="0"/>
                      <w:bCs w:val="0"/>
                      <w:color w:val="000000" w:themeColor="text1"/>
                      <w:sz w:val="21"/>
                      <w:szCs w:val="21"/>
                      <w:lang w:val="en-US" w:eastAsia="zh-CN" w:bidi="ar"/>
                      <w14:textFill>
                        <w14:solidFill>
                          <w14:schemeClr w14:val="tx1"/>
                        </w14:solidFill>
                      </w14:textFill>
                    </w:rPr>
                    <w:t>1米</w:t>
                  </w:r>
                </w:p>
              </w:tc>
              <w:tc>
                <w:tcPr>
                  <w:tcW w:w="1208" w:type="pct"/>
                  <w:tcBorders>
                    <w:tl2br w:val="nil"/>
                    <w:tr2bl w:val="nil"/>
                  </w:tcBorders>
                  <w:shd w:val="clear" w:color="auto" w:fill="auto"/>
                  <w:noWrap w:val="0"/>
                  <w:vAlign w:val="center"/>
                </w:tcPr>
                <w:p w14:paraId="0A586FE7">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53</w:t>
                  </w:r>
                </w:p>
              </w:tc>
              <w:tc>
                <w:tcPr>
                  <w:tcW w:w="1360" w:type="pct"/>
                  <w:tcBorders>
                    <w:tl2br w:val="nil"/>
                    <w:tr2bl w:val="nil"/>
                  </w:tcBorders>
                  <w:shd w:val="clear" w:color="auto" w:fill="auto"/>
                  <w:noWrap w:val="0"/>
                  <w:vAlign w:val="center"/>
                </w:tcPr>
                <w:p w14:paraId="4626F0F6">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r>
            <w:tr w14:paraId="68E2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noWrap w:val="0"/>
                  <w:vAlign w:val="center"/>
                </w:tcPr>
                <w:p w14:paraId="71D96F93">
                  <w:pPr>
                    <w:widowControl/>
                    <w:spacing w:line="240" w:lineRule="auto"/>
                    <w:jc w:val="left"/>
                    <w:textAlignment w:val="cente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注：项目</w:t>
                  </w:r>
                  <w:r>
                    <w:rPr>
                      <w:rFonts w:hint="eastAsia" w:cs="Times New Roman"/>
                      <w:b w:val="0"/>
                      <w:bCs w:val="0"/>
                      <w:color w:val="000000" w:themeColor="text1"/>
                      <w:sz w:val="21"/>
                      <w:szCs w:val="21"/>
                      <w:lang w:val="en-US" w:eastAsia="zh-CN" w:bidi="ar"/>
                      <w14:textFill>
                        <w14:solidFill>
                          <w14:schemeClr w14:val="tx1"/>
                        </w14:solidFill>
                      </w14:textFill>
                    </w:rPr>
                    <w:t>夜间不生产。</w:t>
                  </w:r>
                </w:p>
              </w:tc>
            </w:tr>
          </w:tbl>
          <w:p w14:paraId="4DDDBF1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监测期间，运营</w:t>
            </w:r>
            <w:r>
              <w:rPr>
                <w:rFonts w:hint="eastAsia" w:cs="Times New Roman"/>
                <w:color w:val="000000" w:themeColor="text1"/>
                <w:kern w:val="0"/>
                <w:sz w:val="24"/>
                <w:szCs w:val="24"/>
                <w:lang w:val="en-US" w:eastAsia="zh-CN" w:bidi="ar-SA"/>
                <w14:textFill>
                  <w14:solidFill>
                    <w14:schemeClr w14:val="tx1"/>
                  </w14:solidFill>
                </w14:textFill>
              </w:rPr>
              <w:t>期间</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噪声满足</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《工业企业厂界环境噪声排放标准》（GB12348-2008）中</w:t>
            </w:r>
            <w:r>
              <w:rPr>
                <w:rFonts w:hint="eastAsia" w:cs="Times New Roman"/>
                <w:color w:val="000000" w:themeColor="text1"/>
                <w:kern w:val="0"/>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类标准要求</w:t>
            </w: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w:t>
            </w:r>
          </w:p>
          <w:p w14:paraId="0BD44EA0">
            <w:pPr>
              <w:keepLines w:val="0"/>
              <w:pageBreakBefore w:val="0"/>
              <w:widowControl w:val="0"/>
              <w:tabs>
                <w:tab w:val="left" w:pos="1755"/>
              </w:tabs>
              <w:kinsoku/>
              <w:wordWrap/>
              <w:overflowPunct/>
              <w:topLinePunct w:val="0"/>
              <w:bidi w:val="0"/>
              <w:adjustRightInd w:val="0"/>
              <w:snapToGrid w:val="0"/>
              <w:spacing w:line="360" w:lineRule="auto"/>
              <w:ind w:leftChars="0" w:firstLine="480" w:firstLineChars="200"/>
              <w:textAlignment w:val="auto"/>
              <w:rPr>
                <w:rFonts w:hint="default"/>
                <w:color w:val="000000" w:themeColor="text1"/>
                <w:sz w:val="24"/>
                <w:szCs w:val="28"/>
                <w:highlight w:val="none"/>
                <w:lang w:val="zh-CN"/>
                <w14:textFill>
                  <w14:solidFill>
                    <w14:schemeClr w14:val="tx1"/>
                  </w14:solidFill>
                </w14:textFill>
              </w:rPr>
            </w:pPr>
            <w:r>
              <w:rPr>
                <w:rFonts w:hint="eastAsia"/>
                <w:color w:val="000000" w:themeColor="text1"/>
                <w:sz w:val="24"/>
                <w:szCs w:val="28"/>
                <w:highlight w:val="none"/>
                <w14:textFill>
                  <w14:solidFill>
                    <w14:schemeClr w14:val="tx1"/>
                  </w14:solidFill>
                </w14:textFill>
              </w:rPr>
              <w:t>（4</w:t>
            </w:r>
            <w:r>
              <w:rPr>
                <w:rFonts w:hint="eastAsia"/>
                <w:color w:val="000000" w:themeColor="text1"/>
                <w:sz w:val="24"/>
                <w:szCs w:val="28"/>
                <w:highlight w:val="none"/>
                <w:lang w:eastAsia="zh-CN"/>
                <w14:textFill>
                  <w14:solidFill>
                    <w14:schemeClr w14:val="tx1"/>
                  </w14:solidFill>
                </w14:textFill>
              </w:rPr>
              <w:t>）</w:t>
            </w:r>
            <w:r>
              <w:rPr>
                <w:rFonts w:hint="eastAsia"/>
                <w:color w:val="000000" w:themeColor="text1"/>
                <w:sz w:val="24"/>
                <w:szCs w:val="28"/>
                <w:highlight w:val="none"/>
                <w14:textFill>
                  <w14:solidFill>
                    <w14:schemeClr w14:val="tx1"/>
                  </w14:solidFill>
                </w14:textFill>
              </w:rPr>
              <w:t>固体废物处置</w:t>
            </w:r>
          </w:p>
          <w:p w14:paraId="1FF6C544">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本项目固废包括生活垃圾、</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破损、坏烂果蔬、</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废包装材料</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、污水处理站污泥</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0D05C058">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1、生活垃圾：委托交由环卫部门处理。</w:t>
            </w:r>
          </w:p>
          <w:p w14:paraId="62F89658">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2、破损、坏烂果蔬：</w:t>
            </w:r>
            <w: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委托农户将固废作为有机肥处置利用</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3E5F81D1">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、废包装材料：外售物资回收部门。</w:t>
            </w:r>
          </w:p>
          <w:p w14:paraId="098E4FE5">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4、污水处理站污泥</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：委托交由环卫部门处理。</w:t>
            </w:r>
          </w:p>
          <w:p w14:paraId="4A106CC3">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现有工程</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生产产生的各种固体废弃物都能得到有效回收利用或处置，一般固废执行《一般工业固体废物贮存和填埋污染控制标准》（GB18599-2020）中的有关规定。</w:t>
            </w:r>
          </w:p>
          <w:p w14:paraId="2348A968">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jc w:val="center"/>
              <w:textAlignment w:val="auto"/>
              <w:rPr>
                <w:rFonts w:hint="eastAsia"/>
                <w:b w:val="0"/>
                <w:color w:val="000000" w:themeColor="text1"/>
                <w:kern w:val="2"/>
                <w:sz w:val="24"/>
                <w:szCs w:val="24"/>
                <w:highlight w:val="none"/>
                <w:lang w:val="en-US" w:eastAsia="zh-CN" w:bidi="ar-SA"/>
                <w14:textFill>
                  <w14:solidFill>
                    <w14:schemeClr w14:val="tx1"/>
                  </w14:solidFill>
                </w14:textFill>
              </w:rPr>
            </w:pPr>
            <w:r>
              <w:rPr>
                <w:rFonts w:hint="eastAsia"/>
                <w:b/>
                <w:bCs/>
                <w:color w:val="000000" w:themeColor="text1"/>
                <w:kern w:val="2"/>
                <w:sz w:val="24"/>
                <w:szCs w:val="24"/>
                <w:highlight w:val="none"/>
                <w:lang w:val="en-US" w:eastAsia="zh-CN" w:bidi="ar-SA"/>
                <w14:textFill>
                  <w14:solidFill>
                    <w14:schemeClr w14:val="tx1"/>
                  </w14:solidFill>
                </w14:textFill>
              </w:rPr>
              <w:t>表2.16  原有项目污染物排放量的汇总表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912"/>
              <w:gridCol w:w="1459"/>
              <w:gridCol w:w="734"/>
              <w:gridCol w:w="2842"/>
            </w:tblGrid>
            <w:tr w14:paraId="17D8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Align w:val="center"/>
                </w:tcPr>
                <w:p w14:paraId="553FE2DA">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类别</w:t>
                  </w:r>
                </w:p>
              </w:tc>
              <w:tc>
                <w:tcPr>
                  <w:tcW w:w="1154" w:type="pct"/>
                  <w:vAlign w:val="center"/>
                </w:tcPr>
                <w:p w14:paraId="4F5AB701">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污染物名称</w:t>
                  </w:r>
                </w:p>
              </w:tc>
              <w:tc>
                <w:tcPr>
                  <w:tcW w:w="1324" w:type="pct"/>
                  <w:gridSpan w:val="2"/>
                  <w:vAlign w:val="center"/>
                </w:tcPr>
                <w:p w14:paraId="578B0903">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改建</w:t>
                  </w:r>
                  <w:r>
                    <w:rPr>
                      <w:rFonts w:hint="default" w:ascii="Times New Roman" w:hAnsi="Times New Roman" w:eastAsia="宋体" w:cs="Times New Roman"/>
                      <w:color w:val="000000" w:themeColor="text1"/>
                      <w:sz w:val="21"/>
                      <w:szCs w:val="21"/>
                      <w:highlight w:val="none"/>
                      <w14:textFill>
                        <w14:solidFill>
                          <w14:schemeClr w14:val="tx1"/>
                        </w14:solidFill>
                      </w14:textFill>
                    </w:rPr>
                    <w:t>前排放量</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r>
                    <w:rPr>
                      <w:rFonts w:hint="eastAsia" w:cs="Times New Roman"/>
                      <w:color w:val="000000" w:themeColor="text1"/>
                      <w:sz w:val="21"/>
                      <w:szCs w:val="21"/>
                      <w:highlight w:val="none"/>
                      <w:lang w:eastAsia="zh-CN"/>
                      <w14:textFill>
                        <w14:solidFill>
                          <w14:schemeClr w14:val="tx1"/>
                        </w14:solidFill>
                      </w14:textFill>
                    </w:rPr>
                    <w:t>）</w:t>
                  </w:r>
                </w:p>
              </w:tc>
              <w:tc>
                <w:tcPr>
                  <w:tcW w:w="1715" w:type="pct"/>
                  <w:vAlign w:val="center"/>
                </w:tcPr>
                <w:p w14:paraId="3DD2019C">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治理措施</w:t>
                  </w:r>
                </w:p>
              </w:tc>
            </w:tr>
            <w:tr w14:paraId="7921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restart"/>
                  <w:shd w:val="clear" w:color="auto" w:fill="auto"/>
                  <w:vAlign w:val="center"/>
                </w:tcPr>
                <w:p w14:paraId="39E4EB98">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w:t>
                  </w:r>
                </w:p>
              </w:tc>
              <w:tc>
                <w:tcPr>
                  <w:tcW w:w="1154" w:type="pct"/>
                  <w:vMerge w:val="restart"/>
                  <w:shd w:val="clear" w:color="auto" w:fill="auto"/>
                  <w:vAlign w:val="center"/>
                </w:tcPr>
                <w:p w14:paraId="27B15A56">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锅炉</w:t>
                  </w: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废气</w:t>
                  </w:r>
                </w:p>
              </w:tc>
              <w:tc>
                <w:tcPr>
                  <w:tcW w:w="880" w:type="pct"/>
                  <w:shd w:val="clear" w:color="auto" w:fill="auto"/>
                  <w:vAlign w:val="center"/>
                </w:tcPr>
                <w:p w14:paraId="48825239">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cs="Times New Roman"/>
                      <w:color w:val="000000" w:themeColor="text1"/>
                      <w:sz w:val="21"/>
                      <w:szCs w:val="21"/>
                      <w:highlight w:val="none"/>
                      <w:lang w:eastAsia="zh-CN"/>
                      <w14:textFill>
                        <w14:solidFill>
                          <w14:schemeClr w14:val="tx1"/>
                        </w14:solidFill>
                      </w14:textFill>
                    </w:rPr>
                    <w:t>颗粒物</w:t>
                  </w:r>
                </w:p>
              </w:tc>
              <w:tc>
                <w:tcPr>
                  <w:tcW w:w="443" w:type="pct"/>
                  <w:shd w:val="clear" w:color="auto" w:fill="auto"/>
                  <w:vAlign w:val="center"/>
                </w:tcPr>
                <w:p w14:paraId="456BD53F">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0.024</w:t>
                  </w:r>
                </w:p>
              </w:tc>
              <w:tc>
                <w:tcPr>
                  <w:tcW w:w="1715" w:type="pct"/>
                  <w:vMerge w:val="restart"/>
                  <w:shd w:val="clear" w:color="auto" w:fill="auto"/>
                  <w:vAlign w:val="center"/>
                </w:tcPr>
                <w:p w14:paraId="036B8810">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m高排气筒（DA00</w:t>
                  </w: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r>
            <w:tr w14:paraId="2DBB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25CFF47D">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vMerge w:val="continue"/>
                  <w:shd w:val="clear" w:color="auto" w:fill="auto"/>
                  <w:vAlign w:val="center"/>
                </w:tcPr>
                <w:p w14:paraId="7D3AE380">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p>
              </w:tc>
              <w:tc>
                <w:tcPr>
                  <w:tcW w:w="880" w:type="pct"/>
                  <w:shd w:val="clear" w:color="auto" w:fill="auto"/>
                  <w:vAlign w:val="center"/>
                </w:tcPr>
                <w:p w14:paraId="66705613">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000000" w:themeColor="text1"/>
                      <w:sz w:val="21"/>
                      <w:szCs w:val="21"/>
                      <w:highlight w:val="none"/>
                      <w:lang w:eastAsia="zh-CN"/>
                      <w14:textFill>
                        <w14:solidFill>
                          <w14:schemeClr w14:val="tx1"/>
                        </w14:solidFill>
                      </w14:textFill>
                    </w:rPr>
                  </w:pPr>
                  <w:r>
                    <w:rPr>
                      <w:rFonts w:hint="eastAsia" w:ascii="Times New Roman" w:cs="Times New Roman"/>
                      <w:color w:val="000000" w:themeColor="text1"/>
                      <w:sz w:val="21"/>
                      <w:szCs w:val="21"/>
                      <w:highlight w:val="none"/>
                      <w:lang w:eastAsia="zh-CN"/>
                      <w14:textFill>
                        <w14:solidFill>
                          <w14:schemeClr w14:val="tx1"/>
                        </w14:solidFill>
                      </w14:textFill>
                    </w:rPr>
                    <w:t>二氧化硫</w:t>
                  </w:r>
                </w:p>
              </w:tc>
              <w:tc>
                <w:tcPr>
                  <w:tcW w:w="443" w:type="pct"/>
                  <w:shd w:val="clear" w:color="auto" w:fill="auto"/>
                  <w:vAlign w:val="center"/>
                </w:tcPr>
                <w:p w14:paraId="7423FB08">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0.012</w:t>
                  </w:r>
                </w:p>
              </w:tc>
              <w:tc>
                <w:tcPr>
                  <w:tcW w:w="1715" w:type="pct"/>
                  <w:vMerge w:val="continue"/>
                  <w:shd w:val="clear" w:color="auto" w:fill="auto"/>
                  <w:vAlign w:val="center"/>
                </w:tcPr>
                <w:p w14:paraId="4DC95A97">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r>
            <w:tr w14:paraId="6674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60307125">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vMerge w:val="continue"/>
                  <w:shd w:val="clear" w:color="auto" w:fill="auto"/>
                  <w:vAlign w:val="center"/>
                </w:tcPr>
                <w:p w14:paraId="3FB986F7">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p>
              </w:tc>
              <w:tc>
                <w:tcPr>
                  <w:tcW w:w="880" w:type="pct"/>
                  <w:shd w:val="clear" w:color="auto" w:fill="auto"/>
                  <w:vAlign w:val="center"/>
                </w:tcPr>
                <w:p w14:paraId="3A465EA0">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000000" w:themeColor="text1"/>
                      <w:sz w:val="21"/>
                      <w:szCs w:val="21"/>
                      <w:highlight w:val="none"/>
                      <w:lang w:eastAsia="zh-CN"/>
                      <w14:textFill>
                        <w14:solidFill>
                          <w14:schemeClr w14:val="tx1"/>
                        </w14:solidFill>
                      </w14:textFill>
                    </w:rPr>
                  </w:pPr>
                  <w:r>
                    <w:rPr>
                      <w:rFonts w:hint="eastAsia" w:ascii="Times New Roman" w:cs="Times New Roman"/>
                      <w:color w:val="000000" w:themeColor="text1"/>
                      <w:sz w:val="21"/>
                      <w:szCs w:val="21"/>
                      <w:highlight w:val="none"/>
                      <w:lang w:eastAsia="zh-CN"/>
                      <w14:textFill>
                        <w14:solidFill>
                          <w14:schemeClr w14:val="tx1"/>
                        </w14:solidFill>
                      </w14:textFill>
                    </w:rPr>
                    <w:t>氮氧化物</w:t>
                  </w:r>
                </w:p>
              </w:tc>
              <w:tc>
                <w:tcPr>
                  <w:tcW w:w="443" w:type="pct"/>
                  <w:shd w:val="clear" w:color="auto" w:fill="auto"/>
                  <w:vAlign w:val="center"/>
                </w:tcPr>
                <w:p w14:paraId="40423719">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0.254</w:t>
                  </w:r>
                </w:p>
              </w:tc>
              <w:tc>
                <w:tcPr>
                  <w:tcW w:w="1715" w:type="pct"/>
                  <w:vMerge w:val="continue"/>
                  <w:shd w:val="clear" w:color="auto" w:fill="auto"/>
                  <w:vAlign w:val="center"/>
                </w:tcPr>
                <w:p w14:paraId="385E0206">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r>
            <w:tr w14:paraId="02A9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74E28042">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75CB1B4D">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污水处理站恶臭</w:t>
                  </w:r>
                </w:p>
              </w:tc>
              <w:tc>
                <w:tcPr>
                  <w:tcW w:w="1324" w:type="pct"/>
                  <w:gridSpan w:val="2"/>
                  <w:shd w:val="clear" w:color="auto" w:fill="auto"/>
                  <w:vAlign w:val="center"/>
                </w:tcPr>
                <w:p w14:paraId="342F5ED6">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H</w:t>
                  </w:r>
                  <w:r>
                    <w:rPr>
                      <w:rFonts w:hint="eastAsia" w:ascii="Times New Roman" w:cs="Times New Roman"/>
                      <w:color w:val="000000" w:themeColor="text1"/>
                      <w:sz w:val="21"/>
                      <w:szCs w:val="21"/>
                      <w:highlight w:val="none"/>
                      <w:vertAlign w:val="subscript"/>
                      <w:lang w:val="en-US" w:eastAsia="zh-CN"/>
                      <w14:textFill>
                        <w14:solidFill>
                          <w14:schemeClr w14:val="tx1"/>
                        </w14:solidFill>
                      </w14:textFill>
                    </w:rPr>
                    <w:t>2</w:t>
                  </w:r>
                  <w:r>
                    <w:rPr>
                      <w:rFonts w:hint="eastAsia" w:ascii="Times New Roman" w:cs="Times New Roman"/>
                      <w:color w:val="000000" w:themeColor="text1"/>
                      <w:sz w:val="21"/>
                      <w:szCs w:val="21"/>
                      <w:highlight w:val="none"/>
                      <w:lang w:val="en-US" w:eastAsia="zh-CN"/>
                      <w14:textFill>
                        <w14:solidFill>
                          <w14:schemeClr w14:val="tx1"/>
                        </w14:solidFill>
                      </w14:textFill>
                    </w:rPr>
                    <w:t>S、NH</w:t>
                  </w:r>
                  <w:r>
                    <w:rPr>
                      <w:rFonts w:hint="eastAsia" w:ascii="Times New Roman" w:cs="Times New Roman"/>
                      <w:color w:val="000000" w:themeColor="text1"/>
                      <w:sz w:val="21"/>
                      <w:szCs w:val="21"/>
                      <w:highlight w:val="none"/>
                      <w:vertAlign w:val="subscript"/>
                      <w:lang w:val="en-US" w:eastAsia="zh-CN"/>
                      <w14:textFill>
                        <w14:solidFill>
                          <w14:schemeClr w14:val="tx1"/>
                        </w14:solidFill>
                      </w14:textFill>
                    </w:rPr>
                    <w:t>3</w:t>
                  </w:r>
                </w:p>
              </w:tc>
              <w:tc>
                <w:tcPr>
                  <w:tcW w:w="1715" w:type="pct"/>
                  <w:shd w:val="clear" w:color="auto" w:fill="auto"/>
                  <w:vAlign w:val="center"/>
                </w:tcPr>
                <w:p w14:paraId="59FE6A73">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ascii="Times New Roman" w:cs="Times New Roman"/>
                      <w:color w:val="000000" w:themeColor="text1"/>
                      <w:kern w:val="2"/>
                      <w:sz w:val="21"/>
                      <w:szCs w:val="21"/>
                      <w:highlight w:val="none"/>
                      <w:lang w:val="en-US" w:eastAsia="zh-CN"/>
                      <w14:textFill>
                        <w14:solidFill>
                          <w14:schemeClr w14:val="tx1"/>
                        </w14:solidFill>
                      </w14:textFill>
                    </w:rPr>
                    <w:t>加强厂内绿化，无组织排放</w:t>
                  </w:r>
                </w:p>
              </w:tc>
            </w:tr>
            <w:tr w14:paraId="67F7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shd w:val="clear" w:color="auto" w:fill="auto"/>
                  <w:vAlign w:val="center"/>
                </w:tcPr>
                <w:p w14:paraId="3C0FDCF9">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1154" w:type="pct"/>
                  <w:shd w:val="clear" w:color="auto" w:fill="auto"/>
                  <w:vAlign w:val="center"/>
                </w:tcPr>
                <w:p w14:paraId="00FDFB8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废水排放量</w:t>
                  </w:r>
                </w:p>
              </w:tc>
              <w:tc>
                <w:tcPr>
                  <w:tcW w:w="1324" w:type="pct"/>
                  <w:gridSpan w:val="2"/>
                  <w:shd w:val="clear" w:color="auto" w:fill="auto"/>
                  <w:vAlign w:val="center"/>
                </w:tcPr>
                <w:p w14:paraId="6043192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23471.58</w:t>
                  </w:r>
                </w:p>
              </w:tc>
              <w:tc>
                <w:tcPr>
                  <w:tcW w:w="1715" w:type="pct"/>
                  <w:shd w:val="clear" w:color="auto" w:fill="auto"/>
                  <w:vAlign w:val="center"/>
                </w:tcPr>
                <w:p w14:paraId="186A531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厂区采用</w:t>
                  </w:r>
                  <w:r>
                    <w:rPr>
                      <w:rFonts w:hint="default" w:ascii="Times New Roman" w:hAnsi="Times New Roman" w:cs="Times New Roman"/>
                      <w:color w:val="000000" w:themeColor="text1"/>
                      <w:sz w:val="21"/>
                      <w:szCs w:val="21"/>
                      <w14:textFill>
                        <w14:solidFill>
                          <w14:schemeClr w14:val="tx1"/>
                        </w14:solidFill>
                      </w14:textFill>
                    </w:rPr>
                    <w:t>雨、污分流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运营期</w:t>
                  </w:r>
                  <w:r>
                    <w:rPr>
                      <w:rFonts w:hint="default" w:ascii="Times New Roman" w:hAnsi="Times New Roman" w:cs="Times New Roman"/>
                      <w:color w:val="000000" w:themeColor="text1"/>
                      <w:sz w:val="21"/>
                      <w:szCs w:val="21"/>
                      <w:lang w:val="en-US" w:eastAsia="zh-CN"/>
                      <w14:textFill>
                        <w14:solidFill>
                          <w14:schemeClr w14:val="tx1"/>
                        </w14:solidFill>
                      </w14:textFill>
                    </w:rPr>
                    <w:t>生活污水和生产废水经污水处理站（格栅+调节池+沉淀池+A/O池+二沉池）预处理后，经园区污水管网排入</w:t>
                  </w:r>
                  <w:r>
                    <w:rPr>
                      <w:rFonts w:hint="eastAsia" w:ascii="Times New Roman" w:hAnsi="Times New Roman" w:cs="Times New Roman"/>
                      <w:color w:val="000000" w:themeColor="text1"/>
                      <w:sz w:val="21"/>
                      <w:szCs w:val="21"/>
                      <w:lang w:val="en-US" w:eastAsia="zh-CN"/>
                      <w14:textFill>
                        <w14:solidFill>
                          <w14:schemeClr w14:val="tx1"/>
                        </w14:solidFill>
                      </w14:textFill>
                    </w:rPr>
                    <w:t>汴北</w:t>
                  </w:r>
                  <w:r>
                    <w:rPr>
                      <w:rFonts w:hint="default" w:ascii="Times New Roman" w:hAnsi="Times New Roman" w:cs="Times New Roman"/>
                      <w:color w:val="000000" w:themeColor="text1"/>
                      <w:sz w:val="21"/>
                      <w:szCs w:val="21"/>
                      <w:lang w:val="en-US" w:eastAsia="zh-CN"/>
                      <w14:textFill>
                        <w14:solidFill>
                          <w14:schemeClr w14:val="tx1"/>
                        </w14:solidFill>
                      </w14:textFill>
                    </w:rPr>
                    <w:t>污水处理厂统一处理</w:t>
                  </w:r>
                  <w:r>
                    <w:rPr>
                      <w:rFonts w:hint="eastAsia"/>
                      <w:color w:val="000000" w:themeColor="text1"/>
                      <w:sz w:val="21"/>
                      <w:szCs w:val="21"/>
                      <w:lang w:eastAsia="zh-CN"/>
                      <w14:textFill>
                        <w14:solidFill>
                          <w14:schemeClr w14:val="tx1"/>
                        </w14:solidFill>
                      </w14:textFill>
                    </w:rPr>
                    <w:t>。</w:t>
                  </w:r>
                </w:p>
              </w:tc>
            </w:tr>
            <w:tr w14:paraId="546E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shd w:val="clear" w:color="auto" w:fill="auto"/>
                  <w:vAlign w:val="center"/>
                </w:tcPr>
                <w:p w14:paraId="469D8F0C">
                  <w:pPr>
                    <w:pStyle w:val="29"/>
                    <w:keepNext w:val="0"/>
                    <w:keepLines w:val="0"/>
                    <w:pageBreakBefore w:val="0"/>
                    <w:numPr>
                      <w:ilvl w:val="1"/>
                      <w:numId w:val="0"/>
                    </w:numPr>
                    <w:kinsoku/>
                    <w:wordWrap/>
                    <w:overflowPunct/>
                    <w:topLinePunct w:val="0"/>
                    <w:bidi w:val="0"/>
                    <w:snapToGrid w:val="0"/>
                    <w:spacing w:line="240" w:lineRule="auto"/>
                    <w:ind w:left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1154" w:type="pct"/>
                  <w:shd w:val="clear" w:color="auto" w:fill="auto"/>
                  <w:vAlign w:val="center"/>
                </w:tcPr>
                <w:p w14:paraId="01852C9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c>
                <w:tcPr>
                  <w:tcW w:w="1324" w:type="pct"/>
                  <w:gridSpan w:val="2"/>
                  <w:shd w:val="clear" w:color="auto" w:fill="auto"/>
                  <w:vAlign w:val="center"/>
                </w:tcPr>
                <w:p w14:paraId="6A0DC64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715" w:type="pct"/>
                  <w:shd w:val="clear" w:color="auto" w:fill="auto"/>
                  <w:vAlign w:val="center"/>
                </w:tcPr>
                <w:p w14:paraId="66C65F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厂房隔声和距离减震降噪</w:t>
                  </w:r>
                  <w:r>
                    <w:rPr>
                      <w:rFonts w:hint="eastAsia" w:cs="Times New Roman"/>
                      <w:color w:val="000000" w:themeColor="text1"/>
                      <w:sz w:val="21"/>
                      <w:szCs w:val="21"/>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措施</w:t>
                  </w:r>
                </w:p>
              </w:tc>
            </w:tr>
            <w:tr w14:paraId="0D8A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restart"/>
                  <w:shd w:val="clear" w:color="auto" w:fill="auto"/>
                  <w:vAlign w:val="center"/>
                </w:tcPr>
                <w:p w14:paraId="3C0B3C30">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1154" w:type="pct"/>
                  <w:shd w:val="clear" w:color="auto" w:fill="auto"/>
                  <w:vAlign w:val="center"/>
                </w:tcPr>
                <w:p w14:paraId="320389D6">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1324" w:type="pct"/>
                  <w:gridSpan w:val="2"/>
                  <w:shd w:val="clear" w:color="auto" w:fill="auto"/>
                  <w:vAlign w:val="center"/>
                </w:tcPr>
                <w:p w14:paraId="059CDCB6">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en-US"/>
                      <w14:textFill>
                        <w14:solidFill>
                          <w14:schemeClr w14:val="tx1"/>
                        </w14:solidFill>
                      </w14:textFill>
                    </w:rPr>
                    <w:t>45</w:t>
                  </w:r>
                </w:p>
              </w:tc>
              <w:tc>
                <w:tcPr>
                  <w:tcW w:w="1715" w:type="pct"/>
                  <w:shd w:val="clear" w:color="auto" w:fill="auto"/>
                  <w:vAlign w:val="center"/>
                </w:tcPr>
                <w:p w14:paraId="763E0499">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r w14:paraId="3DF4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643C7E12">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09EF68BB">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破损、坏烂果蔬</w:t>
                  </w:r>
                </w:p>
              </w:tc>
              <w:tc>
                <w:tcPr>
                  <w:tcW w:w="1324" w:type="pct"/>
                  <w:gridSpan w:val="2"/>
                  <w:shd w:val="clear" w:color="auto" w:fill="auto"/>
                  <w:vAlign w:val="center"/>
                </w:tcPr>
                <w:p w14:paraId="0F24EBFF">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1000</w:t>
                  </w:r>
                </w:p>
              </w:tc>
              <w:tc>
                <w:tcPr>
                  <w:tcW w:w="1715" w:type="pct"/>
                  <w:shd w:val="clear" w:color="auto" w:fill="auto"/>
                  <w:vAlign w:val="center"/>
                </w:tcPr>
                <w:p w14:paraId="3CF34E13">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委托农户将固废作为有机肥处置利用</w:t>
                  </w:r>
                </w:p>
              </w:tc>
            </w:tr>
            <w:tr w14:paraId="7100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20AF6F99">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20B69B20">
                  <w:pPr>
                    <w:keepNext w:val="0"/>
                    <w:keepLines w:val="0"/>
                    <w:pageBreakBefore w:val="0"/>
                    <w:widowControl/>
                    <w:suppressLineNumbers w:val="0"/>
                    <w:kinsoku/>
                    <w:wordWrap/>
                    <w:overflowPunct/>
                    <w:autoSpaceDE/>
                    <w:autoSpaceDN/>
                    <w:bidi w:val="0"/>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废包装材料</w:t>
                  </w:r>
                </w:p>
              </w:tc>
              <w:tc>
                <w:tcPr>
                  <w:tcW w:w="1324" w:type="pct"/>
                  <w:gridSpan w:val="2"/>
                  <w:shd w:val="clear" w:color="auto" w:fill="auto"/>
                  <w:vAlign w:val="center"/>
                </w:tcPr>
                <w:p w14:paraId="17B727F9">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w:t>
                  </w:r>
                </w:p>
              </w:tc>
              <w:tc>
                <w:tcPr>
                  <w:tcW w:w="1715" w:type="pct"/>
                  <w:shd w:val="clear" w:color="auto" w:fill="auto"/>
                  <w:vAlign w:val="center"/>
                </w:tcPr>
                <w:p w14:paraId="176F3FA2">
                  <w:pPr>
                    <w:keepNext w:val="0"/>
                    <w:keepLines w:val="0"/>
                    <w:pageBreakBefore w:val="0"/>
                    <w:kinsoku/>
                    <w:wordWrap/>
                    <w:overflowPunct/>
                    <w:topLinePunct/>
                    <w:autoSpaceDE/>
                    <w:autoSpaceDN/>
                    <w:bidi w:val="0"/>
                    <w:adjustRightInd w:val="0"/>
                    <w:snapToGrid w:val="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外售物资回收部门</w:t>
                  </w:r>
                </w:p>
              </w:tc>
            </w:tr>
            <w:tr w14:paraId="0F70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444CB2A1">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4C9F978A">
                  <w:pPr>
                    <w:keepNext w:val="0"/>
                    <w:keepLines w:val="0"/>
                    <w:pageBreakBefore w:val="0"/>
                    <w:widowControl/>
                    <w:suppressLineNumbers w:val="0"/>
                    <w:kinsoku/>
                    <w:wordWrap/>
                    <w:overflowPunct/>
                    <w:autoSpaceDE/>
                    <w:autoSpaceDN/>
                    <w:bidi w:val="0"/>
                    <w:jc w:val="center"/>
                    <w:textAlignment w:val="auto"/>
                    <w:rPr>
                      <w:rFonts w:hint="eastAsia"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废反渗透膜</w:t>
                  </w:r>
                </w:p>
              </w:tc>
              <w:tc>
                <w:tcPr>
                  <w:tcW w:w="1324" w:type="pct"/>
                  <w:gridSpan w:val="2"/>
                  <w:shd w:val="clear" w:color="auto" w:fill="auto"/>
                  <w:vAlign w:val="center"/>
                </w:tcPr>
                <w:p w14:paraId="2C50A18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0.05</w:t>
                  </w:r>
                </w:p>
              </w:tc>
              <w:tc>
                <w:tcPr>
                  <w:tcW w:w="1715" w:type="pct"/>
                  <w:shd w:val="clear" w:color="auto" w:fill="auto"/>
                  <w:vAlign w:val="center"/>
                </w:tcPr>
                <w:p w14:paraId="165AFC4F">
                  <w:pPr>
                    <w:keepNext w:val="0"/>
                    <w:keepLines w:val="0"/>
                    <w:pageBreakBefore w:val="0"/>
                    <w:kinsoku/>
                    <w:wordWrap/>
                    <w:overflowPunct/>
                    <w:topLinePunct/>
                    <w:autoSpaceDE/>
                    <w:autoSpaceDN/>
                    <w:bidi w:val="0"/>
                    <w:adjustRightInd w:val="0"/>
                    <w:snapToGrid w:val="0"/>
                    <w:jc w:val="center"/>
                    <w:textAlignment w:val="auto"/>
                    <w:rPr>
                      <w:rFonts w:hint="eastAsia"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由</w:t>
                  </w:r>
                  <w:r>
                    <w:rPr>
                      <w:rFonts w:hint="eastAsia" w:cs="Times New Roman"/>
                      <w:snapToGrid/>
                      <w:color w:val="000000" w:themeColor="text1"/>
                      <w:spacing w:val="0"/>
                      <w:kern w:val="0"/>
                      <w:position w:val="0"/>
                      <w:sz w:val="21"/>
                      <w:szCs w:val="21"/>
                      <w:lang w:val="en-US" w:eastAsia="zh-CN"/>
                      <w14:textFill>
                        <w14:solidFill>
                          <w14:schemeClr w14:val="tx1"/>
                        </w14:solidFill>
                      </w14:textFill>
                    </w:rPr>
                    <w:t>厂家回收</w:t>
                  </w:r>
                </w:p>
              </w:tc>
            </w:tr>
            <w:tr w14:paraId="2A84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pct"/>
                  <w:vMerge w:val="continue"/>
                  <w:shd w:val="clear" w:color="auto" w:fill="auto"/>
                  <w:vAlign w:val="center"/>
                </w:tcPr>
                <w:p w14:paraId="4010DF44">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154" w:type="pct"/>
                  <w:shd w:val="clear" w:color="auto" w:fill="auto"/>
                  <w:vAlign w:val="center"/>
                </w:tcPr>
                <w:p w14:paraId="36809E73">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污水处理站污泥</w:t>
                  </w:r>
                </w:p>
              </w:tc>
              <w:tc>
                <w:tcPr>
                  <w:tcW w:w="1324" w:type="pct"/>
                  <w:gridSpan w:val="2"/>
                  <w:shd w:val="clear" w:color="auto" w:fill="auto"/>
                  <w:vAlign w:val="center"/>
                </w:tcPr>
                <w:p w14:paraId="5F4F1DAF">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2.7</w:t>
                  </w:r>
                </w:p>
              </w:tc>
              <w:tc>
                <w:tcPr>
                  <w:tcW w:w="1715" w:type="pct"/>
                  <w:shd w:val="clear" w:color="auto" w:fill="auto"/>
                  <w:vAlign w:val="center"/>
                </w:tcPr>
                <w:p w14:paraId="51D03B9A">
                  <w:pPr>
                    <w:pStyle w:val="11"/>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交由环卫部门处理</w:t>
                  </w:r>
                </w:p>
              </w:tc>
            </w:tr>
          </w:tbl>
          <w:p w14:paraId="302F834B">
            <w:pPr>
              <w:pStyle w:val="22"/>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0" w:afterAutospacing="0" w:line="360" w:lineRule="auto"/>
              <w:jc w:val="left"/>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原有项目存在</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问题</w:t>
            </w:r>
          </w:p>
          <w:p w14:paraId="5FF50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cs="Times New Roman"/>
                <w:b w:val="0"/>
                <w:color w:val="000000" w:themeColor="text1"/>
                <w:kern w:val="2"/>
                <w:sz w:val="24"/>
                <w:szCs w:val="24"/>
                <w:lang w:val="en-US" w:eastAsia="zh-CN" w:bidi="ar-SA"/>
                <w14:textFill>
                  <w14:solidFill>
                    <w14:schemeClr w14:val="tx1"/>
                  </w14:solidFill>
                </w14:textFill>
              </w:rPr>
              <w:t>现有工程在建设期间和试生产阶段未发生污染事故，从现有工程竣工环保验收调查可知，各项污染物均可达标排放，固废均得到妥善处置。</w:t>
            </w:r>
          </w:p>
        </w:tc>
      </w:tr>
    </w:tbl>
    <w:p w14:paraId="5D97A771">
      <w:pPr>
        <w:pStyle w:val="15"/>
        <w:ind w:left="0" w:leftChars="0" w:firstLine="0" w:firstLineChars="0"/>
        <w:rPr>
          <w:rFonts w:hint="eastAsia"/>
          <w:snapToGrid/>
          <w:color w:val="000000" w:themeColor="text1"/>
          <w:spacing w:val="0"/>
          <w:kern w:val="0"/>
          <w:position w:val="0"/>
          <w:lang w:val="en-US" w:eastAsia="zh-CN"/>
          <w14:textFill>
            <w14:solidFill>
              <w14:schemeClr w14:val="tx1"/>
            </w14:solidFill>
          </w14:textFill>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71AE09F7">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ascii="黑体" w:hAnsi="黑体" w:eastAsia="黑体"/>
          <w:snapToGrid/>
          <w:color w:val="000000" w:themeColor="text1"/>
          <w:spacing w:val="0"/>
          <w:kern w:val="0"/>
          <w:position w:val="0"/>
          <w:sz w:val="30"/>
          <w:szCs w:val="30"/>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三、区域环境质量现状、环境保护目标及评价标准</w:t>
      </w:r>
    </w:p>
    <w:tbl>
      <w:tblPr>
        <w:tblStyle w:val="24"/>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428"/>
      </w:tblGrid>
      <w:tr w14:paraId="02A3C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2" w:hRule="atLeast"/>
          <w:jc w:val="center"/>
        </w:trPr>
        <w:tc>
          <w:tcPr>
            <w:tcW w:w="567" w:type="dxa"/>
            <w:tcBorders>
              <w:tl2br w:val="nil"/>
              <w:tr2bl w:val="nil"/>
            </w:tcBorders>
            <w:noWrap w:val="0"/>
            <w:vAlign w:val="center"/>
          </w:tcPr>
          <w:p w14:paraId="17AA18B2">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区域</w:t>
            </w:r>
          </w:p>
          <w:p w14:paraId="4B54B1E0">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环境</w:t>
            </w:r>
          </w:p>
          <w:p w14:paraId="1B9ED187">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质量</w:t>
            </w:r>
          </w:p>
          <w:p w14:paraId="245871D1">
            <w:pPr>
              <w:adjustRightInd w:val="0"/>
              <w:snapToGrid w:val="0"/>
              <w:jc w:val="center"/>
              <w:rPr>
                <w:rFonts w:hint="eastAsia" w:ascii="宋体" w:hAnsi="宋体" w:eastAsia="宋体" w:cs="宋体"/>
                <w:snapToGrid/>
                <w:color w:val="000000" w:themeColor="text1"/>
                <w:spacing w:val="0"/>
                <w:kern w:val="0"/>
                <w:position w:val="0"/>
                <w:szCs w:val="21"/>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现状</w:t>
            </w:r>
          </w:p>
        </w:tc>
        <w:tc>
          <w:tcPr>
            <w:tcW w:w="8539" w:type="dxa"/>
            <w:tcBorders>
              <w:tl2br w:val="nil"/>
              <w:tr2bl w:val="nil"/>
            </w:tcBorders>
            <w:noWrap w:val="0"/>
            <w:vAlign w:val="center"/>
          </w:tcPr>
          <w:p w14:paraId="46EA9DCB">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1、大气环境</w:t>
            </w:r>
          </w:p>
          <w:p w14:paraId="420414EE">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（1）基本污染物</w:t>
            </w:r>
          </w:p>
          <w:p w14:paraId="77E5CE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根据《环境影响评价技术导则  大气环境》（HJ2.2-2018），项目所在区域达标情况判定优先采用国家或地方生态环境主管部门公开发布的环境质量公告或环境质量报告中的数据或结论。</w:t>
            </w:r>
          </w:p>
          <w:p w14:paraId="1A9E08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本次评价选取</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2024</w:t>
            </w: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年作为评价基准年。根据</w:t>
            </w:r>
            <w:r>
              <w:rPr>
                <w:rFonts w:hint="default" w:ascii="Times New Roman" w:hAnsi="Times New Roman" w:eastAsia="宋体" w:cs="Times New Roman"/>
                <w:color w:val="000000" w:themeColor="text1"/>
                <w:sz w:val="24"/>
                <w:szCs w:val="24"/>
                <w:highlight w:val="none"/>
                <w:shd w:val="clear" w:color="auto" w:fill="auto"/>
                <w:lang w:val="en-US" w:eastAsia="zh-CN"/>
                <w14:textFill>
                  <w14:solidFill>
                    <w14:schemeClr w14:val="tx1"/>
                  </w14:solidFill>
                </w14:textFill>
              </w:rPr>
              <w:t>《宿州市</w:t>
            </w:r>
            <w:r>
              <w:rPr>
                <w:rFonts w:hint="eastAsia" w:cs="Times New Roman"/>
                <w:color w:val="000000" w:themeColor="text1"/>
                <w:sz w:val="24"/>
                <w:szCs w:val="24"/>
                <w:highlight w:val="none"/>
                <w:shd w:val="clear" w:color="auto" w:fill="auto"/>
                <w:lang w:val="en-US" w:eastAsia="zh-CN"/>
                <w14:textFill>
                  <w14:solidFill>
                    <w14:schemeClr w14:val="tx1"/>
                  </w14:solidFill>
                </w14:textFill>
              </w:rPr>
              <w:t>2024</w:t>
            </w:r>
            <w:r>
              <w:rPr>
                <w:rFonts w:hint="default" w:ascii="Times New Roman" w:hAnsi="Times New Roman" w:eastAsia="宋体" w:cs="Times New Roman"/>
                <w:color w:val="000000" w:themeColor="text1"/>
                <w:sz w:val="24"/>
                <w:szCs w:val="24"/>
                <w:highlight w:val="none"/>
                <w:shd w:val="clear" w:color="auto" w:fill="auto"/>
                <w:lang w:val="en-US" w:eastAsia="zh-CN"/>
                <w14:textFill>
                  <w14:solidFill>
                    <w14:schemeClr w14:val="tx1"/>
                  </w14:solidFill>
                </w14:textFill>
              </w:rPr>
              <w:t>年环境质量公报》</w:t>
            </w: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，宿州市</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2024</w:t>
            </w:r>
            <w:r>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t>年环境空气质量基础污染物监测浓度项目区域空气质量达标判定见表3.1。</w:t>
            </w:r>
          </w:p>
          <w:p w14:paraId="551AA8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表3.1  区域空气质量现状评价表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992"/>
              <w:gridCol w:w="1283"/>
              <w:gridCol w:w="1304"/>
              <w:gridCol w:w="1279"/>
              <w:gridCol w:w="1369"/>
            </w:tblGrid>
            <w:tr w14:paraId="0C3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2B95432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污染物</w:t>
                  </w:r>
                </w:p>
              </w:tc>
              <w:tc>
                <w:tcPr>
                  <w:tcW w:w="2004" w:type="dxa"/>
                  <w:noWrap w:val="0"/>
                  <w:vAlign w:val="center"/>
                </w:tcPr>
                <w:p w14:paraId="55BE68B6">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评价标准</w:t>
                  </w:r>
                </w:p>
              </w:tc>
              <w:tc>
                <w:tcPr>
                  <w:tcW w:w="1291" w:type="dxa"/>
                  <w:noWrap w:val="0"/>
                  <w:vAlign w:val="center"/>
                </w:tcPr>
                <w:p w14:paraId="4C4BA9CF">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年均浓度（μg/m</w:t>
                  </w:r>
                  <w:r>
                    <w:rPr>
                      <w:rFonts w:hint="eastAsia"/>
                      <w:color w:val="000000" w:themeColor="text1"/>
                      <w:sz w:val="21"/>
                      <w:szCs w:val="21"/>
                      <w:vertAlign w:val="superscript"/>
                      <w:lang w:val="en-US" w:eastAsia="zh-CN"/>
                      <w14:textFill>
                        <w14:solidFill>
                          <w14:schemeClr w14:val="tx1"/>
                        </w14:solidFill>
                      </w14:textFill>
                    </w:rPr>
                    <w:t>3</w:t>
                  </w:r>
                  <w:r>
                    <w:rPr>
                      <w:rFonts w:hint="default"/>
                      <w:color w:val="000000" w:themeColor="text1"/>
                      <w:sz w:val="21"/>
                      <w:szCs w:val="21"/>
                      <w:lang w:val="en-US" w:eastAsia="zh-CN"/>
                      <w14:textFill>
                        <w14:solidFill>
                          <w14:schemeClr w14:val="tx1"/>
                        </w14:solidFill>
                      </w14:textFill>
                    </w:rPr>
                    <w:t>）</w:t>
                  </w:r>
                </w:p>
              </w:tc>
              <w:tc>
                <w:tcPr>
                  <w:tcW w:w="1312" w:type="dxa"/>
                  <w:noWrap w:val="0"/>
                  <w:vAlign w:val="center"/>
                </w:tcPr>
                <w:p w14:paraId="10790AEB">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标准值（μg/m</w:t>
                  </w:r>
                  <w:r>
                    <w:rPr>
                      <w:rFonts w:hint="eastAsia"/>
                      <w:color w:val="000000" w:themeColor="text1"/>
                      <w:sz w:val="21"/>
                      <w:szCs w:val="21"/>
                      <w:vertAlign w:val="superscript"/>
                      <w:lang w:val="en-US" w:eastAsia="zh-CN"/>
                      <w14:textFill>
                        <w14:solidFill>
                          <w14:schemeClr w14:val="tx1"/>
                        </w14:solidFill>
                      </w14:textFill>
                    </w:rPr>
                    <w:t>3</w:t>
                  </w:r>
                  <w:r>
                    <w:rPr>
                      <w:rFonts w:hint="default"/>
                      <w:color w:val="000000" w:themeColor="text1"/>
                      <w:sz w:val="21"/>
                      <w:szCs w:val="21"/>
                      <w:lang w:val="en-US" w:eastAsia="zh-CN"/>
                      <w14:textFill>
                        <w14:solidFill>
                          <w14:schemeClr w14:val="tx1"/>
                        </w14:solidFill>
                      </w14:textFill>
                    </w:rPr>
                    <w:t>）</w:t>
                  </w:r>
                </w:p>
              </w:tc>
              <w:tc>
                <w:tcPr>
                  <w:tcW w:w="1286" w:type="dxa"/>
                  <w:noWrap w:val="0"/>
                  <w:vAlign w:val="center"/>
                </w:tcPr>
                <w:p w14:paraId="01AFD851">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占标率%</w:t>
                  </w:r>
                </w:p>
              </w:tc>
              <w:tc>
                <w:tcPr>
                  <w:tcW w:w="1377" w:type="dxa"/>
                  <w:noWrap w:val="0"/>
                  <w:vAlign w:val="center"/>
                </w:tcPr>
                <w:p w14:paraId="394BCDD3">
                  <w:pPr>
                    <w:adjustRightInd w:val="0"/>
                    <w:snapToGrid w:val="0"/>
                    <w:jc w:val="center"/>
                    <w:rPr>
                      <w:rFonts w:ascii="Times New Roman" w:hAnsi="Times New Roman" w:eastAsia="宋体" w:cs="Times New Roman"/>
                      <w:color w:val="000000" w:themeColor="text1"/>
                      <w:kern w:val="0"/>
                      <w:szCs w:val="21"/>
                      <w:highlight w:val="none"/>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达标情况</w:t>
                  </w:r>
                </w:p>
              </w:tc>
            </w:tr>
            <w:tr w14:paraId="75C4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38CB75F6">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PM</w:t>
                  </w:r>
                  <w:r>
                    <w:rPr>
                      <w:rFonts w:hint="eastAsia"/>
                      <w:color w:val="000000" w:themeColor="text1"/>
                      <w:sz w:val="21"/>
                      <w:szCs w:val="21"/>
                      <w:vertAlign w:val="subscript"/>
                      <w:lang w:val="en-US" w:eastAsia="zh-CN"/>
                      <w14:textFill>
                        <w14:solidFill>
                          <w14:schemeClr w14:val="tx1"/>
                        </w14:solidFill>
                      </w14:textFill>
                    </w:rPr>
                    <w:t>10</w:t>
                  </w:r>
                </w:p>
              </w:tc>
              <w:tc>
                <w:tcPr>
                  <w:tcW w:w="2004" w:type="dxa"/>
                  <w:noWrap w:val="0"/>
                  <w:vAlign w:val="center"/>
                </w:tcPr>
                <w:p w14:paraId="03F1F17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7E97177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71</w:t>
                  </w:r>
                </w:p>
              </w:tc>
              <w:tc>
                <w:tcPr>
                  <w:tcW w:w="1312" w:type="dxa"/>
                  <w:noWrap w:val="0"/>
                  <w:vAlign w:val="center"/>
                </w:tcPr>
                <w:p w14:paraId="325DA66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70</w:t>
                  </w:r>
                </w:p>
              </w:tc>
              <w:tc>
                <w:tcPr>
                  <w:tcW w:w="1286" w:type="dxa"/>
                  <w:noWrap w:val="0"/>
                  <w:vAlign w:val="center"/>
                </w:tcPr>
                <w:p w14:paraId="18D1D32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101.4</w:t>
                  </w:r>
                </w:p>
              </w:tc>
              <w:tc>
                <w:tcPr>
                  <w:tcW w:w="1377" w:type="dxa"/>
                  <w:noWrap w:val="0"/>
                  <w:vAlign w:val="center"/>
                </w:tcPr>
                <w:p w14:paraId="2C62B967">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不达标</w:t>
                  </w:r>
                </w:p>
              </w:tc>
            </w:tr>
            <w:tr w14:paraId="3B48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01F15430">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PM</w:t>
                  </w:r>
                  <w:r>
                    <w:rPr>
                      <w:rFonts w:hint="eastAsia"/>
                      <w:color w:val="000000" w:themeColor="text1"/>
                      <w:sz w:val="21"/>
                      <w:szCs w:val="21"/>
                      <w:vertAlign w:val="subscript"/>
                      <w:lang w:val="en-US" w:eastAsia="zh-CN"/>
                      <w14:textFill>
                        <w14:solidFill>
                          <w14:schemeClr w14:val="tx1"/>
                        </w14:solidFill>
                      </w14:textFill>
                    </w:rPr>
                    <w:t>2.5</w:t>
                  </w:r>
                </w:p>
              </w:tc>
              <w:tc>
                <w:tcPr>
                  <w:tcW w:w="2004" w:type="dxa"/>
                  <w:noWrap w:val="0"/>
                  <w:vAlign w:val="center"/>
                </w:tcPr>
                <w:p w14:paraId="5E064AA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6B47E3F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43</w:t>
                  </w:r>
                </w:p>
              </w:tc>
              <w:tc>
                <w:tcPr>
                  <w:tcW w:w="1312" w:type="dxa"/>
                  <w:noWrap w:val="0"/>
                  <w:vAlign w:val="center"/>
                </w:tcPr>
                <w:p w14:paraId="5E45EBFB">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w:t>
                  </w:r>
                </w:p>
              </w:tc>
              <w:tc>
                <w:tcPr>
                  <w:tcW w:w="1286" w:type="dxa"/>
                  <w:noWrap w:val="0"/>
                  <w:vAlign w:val="center"/>
                </w:tcPr>
                <w:p w14:paraId="1DAE53D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122.9</w:t>
                  </w:r>
                </w:p>
              </w:tc>
              <w:tc>
                <w:tcPr>
                  <w:tcW w:w="1377" w:type="dxa"/>
                  <w:noWrap w:val="0"/>
                  <w:vAlign w:val="center"/>
                </w:tcPr>
                <w:p w14:paraId="092DDC0C">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不达标</w:t>
                  </w:r>
                </w:p>
              </w:tc>
            </w:tr>
            <w:tr w14:paraId="767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7712716F">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SO</w:t>
                  </w:r>
                  <w:r>
                    <w:rPr>
                      <w:rFonts w:hint="eastAsia"/>
                      <w:color w:val="000000" w:themeColor="text1"/>
                      <w:sz w:val="21"/>
                      <w:szCs w:val="21"/>
                      <w:vertAlign w:val="subscript"/>
                      <w:lang w:val="en-US" w:eastAsia="zh-CN"/>
                      <w14:textFill>
                        <w14:solidFill>
                          <w14:schemeClr w14:val="tx1"/>
                        </w14:solidFill>
                      </w14:textFill>
                    </w:rPr>
                    <w:t>2</w:t>
                  </w:r>
                </w:p>
              </w:tc>
              <w:tc>
                <w:tcPr>
                  <w:tcW w:w="2004" w:type="dxa"/>
                  <w:noWrap w:val="0"/>
                  <w:vAlign w:val="center"/>
                </w:tcPr>
                <w:p w14:paraId="4C282B49">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275B55F7">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6</w:t>
                  </w:r>
                </w:p>
              </w:tc>
              <w:tc>
                <w:tcPr>
                  <w:tcW w:w="1312" w:type="dxa"/>
                  <w:noWrap w:val="0"/>
                  <w:vAlign w:val="center"/>
                </w:tcPr>
                <w:p w14:paraId="4EA80EC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60</w:t>
                  </w:r>
                </w:p>
              </w:tc>
              <w:tc>
                <w:tcPr>
                  <w:tcW w:w="1286" w:type="dxa"/>
                  <w:noWrap w:val="0"/>
                  <w:vAlign w:val="center"/>
                </w:tcPr>
                <w:p w14:paraId="0A0799E1">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10.0</w:t>
                  </w:r>
                </w:p>
              </w:tc>
              <w:tc>
                <w:tcPr>
                  <w:tcW w:w="1377" w:type="dxa"/>
                  <w:noWrap w:val="0"/>
                  <w:vAlign w:val="center"/>
                </w:tcPr>
                <w:p w14:paraId="7E1EB08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w:t>
                  </w:r>
                </w:p>
              </w:tc>
            </w:tr>
            <w:tr w14:paraId="4330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1F91735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NO</w:t>
                  </w:r>
                  <w:r>
                    <w:rPr>
                      <w:rFonts w:hint="eastAsia"/>
                      <w:color w:val="000000" w:themeColor="text1"/>
                      <w:sz w:val="21"/>
                      <w:szCs w:val="21"/>
                      <w:vertAlign w:val="subscript"/>
                      <w:lang w:val="en-US" w:eastAsia="zh-CN"/>
                      <w14:textFill>
                        <w14:solidFill>
                          <w14:schemeClr w14:val="tx1"/>
                        </w14:solidFill>
                      </w14:textFill>
                    </w:rPr>
                    <w:t>2</w:t>
                  </w:r>
                </w:p>
              </w:tc>
              <w:tc>
                <w:tcPr>
                  <w:tcW w:w="2004" w:type="dxa"/>
                  <w:noWrap w:val="0"/>
                  <w:vAlign w:val="center"/>
                </w:tcPr>
                <w:p w14:paraId="66D5C788">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年平均浓度</w:t>
                  </w:r>
                </w:p>
              </w:tc>
              <w:tc>
                <w:tcPr>
                  <w:tcW w:w="1291" w:type="dxa"/>
                  <w:noWrap w:val="0"/>
                  <w:vAlign w:val="center"/>
                </w:tcPr>
                <w:p w14:paraId="0075E90C">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0"/>
                      <w:sz w:val="21"/>
                      <w:szCs w:val="21"/>
                      <w:highlight w:val="none"/>
                      <w:lang w:val="en-US" w:eastAsia="zh-CN" w:bidi="ar-SA"/>
                      <w14:textFill>
                        <w14:solidFill>
                          <w14:schemeClr w14:val="tx1"/>
                        </w14:solidFill>
                      </w14:textFill>
                    </w:rPr>
                    <w:t>18</w:t>
                  </w:r>
                </w:p>
              </w:tc>
              <w:tc>
                <w:tcPr>
                  <w:tcW w:w="1312" w:type="dxa"/>
                  <w:noWrap w:val="0"/>
                  <w:vAlign w:val="center"/>
                </w:tcPr>
                <w:p w14:paraId="773B4670">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p>
              </w:tc>
              <w:tc>
                <w:tcPr>
                  <w:tcW w:w="1286" w:type="dxa"/>
                  <w:noWrap w:val="0"/>
                  <w:vAlign w:val="center"/>
                </w:tcPr>
                <w:p w14:paraId="2047A13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45.0</w:t>
                  </w:r>
                </w:p>
              </w:tc>
              <w:tc>
                <w:tcPr>
                  <w:tcW w:w="1377" w:type="dxa"/>
                  <w:noWrap w:val="0"/>
                  <w:vAlign w:val="center"/>
                </w:tcPr>
                <w:p w14:paraId="5241EEBD">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w:t>
                  </w:r>
                </w:p>
              </w:tc>
            </w:tr>
            <w:tr w14:paraId="384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37480775">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CO</w:t>
                  </w:r>
                </w:p>
              </w:tc>
              <w:tc>
                <w:tcPr>
                  <w:tcW w:w="2004" w:type="dxa"/>
                  <w:noWrap w:val="0"/>
                  <w:vAlign w:val="center"/>
                </w:tcPr>
                <w:p w14:paraId="34F87E5A">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日平均第95百分位质量浓度</w:t>
                  </w:r>
                </w:p>
              </w:tc>
              <w:tc>
                <w:tcPr>
                  <w:tcW w:w="1291" w:type="dxa"/>
                  <w:noWrap w:val="0"/>
                  <w:vAlign w:val="center"/>
                </w:tcPr>
                <w:p w14:paraId="5A3D69C3">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0.9mg/m</w:t>
                  </w:r>
                  <w:r>
                    <w:rPr>
                      <w:rFonts w:hint="eastAsia"/>
                      <w:color w:val="000000" w:themeColor="text1"/>
                      <w:sz w:val="21"/>
                      <w:szCs w:val="21"/>
                      <w:vertAlign w:val="superscript"/>
                      <w:lang w:val="en-US" w:eastAsia="zh-CN"/>
                      <w14:textFill>
                        <w14:solidFill>
                          <w14:schemeClr w14:val="tx1"/>
                        </w14:solidFill>
                      </w14:textFill>
                    </w:rPr>
                    <w:t>3</w:t>
                  </w:r>
                </w:p>
              </w:tc>
              <w:tc>
                <w:tcPr>
                  <w:tcW w:w="1312" w:type="dxa"/>
                  <w:noWrap w:val="0"/>
                  <w:vAlign w:val="center"/>
                </w:tcPr>
                <w:p w14:paraId="66FA570B">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4mg/m</w:t>
                  </w:r>
                  <w:r>
                    <w:rPr>
                      <w:rFonts w:hint="eastAsia"/>
                      <w:color w:val="000000" w:themeColor="text1"/>
                      <w:sz w:val="21"/>
                      <w:szCs w:val="21"/>
                      <w:vertAlign w:val="superscript"/>
                      <w:lang w:val="en-US" w:eastAsia="zh-CN"/>
                      <w14:textFill>
                        <w14:solidFill>
                          <w14:schemeClr w14:val="tx1"/>
                        </w14:solidFill>
                      </w14:textFill>
                    </w:rPr>
                    <w:t>3</w:t>
                  </w:r>
                </w:p>
              </w:tc>
              <w:tc>
                <w:tcPr>
                  <w:tcW w:w="1286" w:type="dxa"/>
                  <w:noWrap w:val="0"/>
                  <w:vAlign w:val="center"/>
                </w:tcPr>
                <w:p w14:paraId="35C776CD">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22.5</w:t>
                  </w:r>
                </w:p>
              </w:tc>
              <w:tc>
                <w:tcPr>
                  <w:tcW w:w="1377" w:type="dxa"/>
                  <w:noWrap w:val="0"/>
                  <w:vAlign w:val="center"/>
                </w:tcPr>
                <w:p w14:paraId="7081721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达标</w:t>
                  </w:r>
                </w:p>
              </w:tc>
            </w:tr>
            <w:tr w14:paraId="1E3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5BBAC191">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O</w:t>
                  </w:r>
                  <w:r>
                    <w:rPr>
                      <w:rFonts w:hint="eastAsia"/>
                      <w:color w:val="000000" w:themeColor="text1"/>
                      <w:sz w:val="21"/>
                      <w:szCs w:val="21"/>
                      <w:vertAlign w:val="subscript"/>
                      <w:lang w:val="en-US" w:eastAsia="zh-CN"/>
                      <w14:textFill>
                        <w14:solidFill>
                          <w14:schemeClr w14:val="tx1"/>
                        </w14:solidFill>
                      </w14:textFill>
                    </w:rPr>
                    <w:t>3</w:t>
                  </w:r>
                </w:p>
              </w:tc>
              <w:tc>
                <w:tcPr>
                  <w:tcW w:w="2004" w:type="dxa"/>
                  <w:noWrap w:val="0"/>
                  <w:vAlign w:val="center"/>
                </w:tcPr>
                <w:p w14:paraId="5CFDA85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日最大8小时平均第90百分位质量浓度</w:t>
                  </w:r>
                </w:p>
              </w:tc>
              <w:tc>
                <w:tcPr>
                  <w:tcW w:w="1291" w:type="dxa"/>
                  <w:noWrap w:val="0"/>
                  <w:vAlign w:val="center"/>
                </w:tcPr>
                <w:p w14:paraId="078F7072">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170</w:t>
                  </w:r>
                </w:p>
              </w:tc>
              <w:tc>
                <w:tcPr>
                  <w:tcW w:w="1312" w:type="dxa"/>
                  <w:noWrap w:val="0"/>
                  <w:vAlign w:val="center"/>
                </w:tcPr>
                <w:p w14:paraId="0D6F73A4">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160</w:t>
                  </w:r>
                </w:p>
              </w:tc>
              <w:tc>
                <w:tcPr>
                  <w:tcW w:w="1286" w:type="dxa"/>
                  <w:noWrap w:val="0"/>
                  <w:vAlign w:val="center"/>
                </w:tcPr>
                <w:p w14:paraId="62B58CC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106.3</w:t>
                  </w:r>
                </w:p>
              </w:tc>
              <w:tc>
                <w:tcPr>
                  <w:tcW w:w="1377" w:type="dxa"/>
                  <w:noWrap w:val="0"/>
                  <w:vAlign w:val="center"/>
                </w:tcPr>
                <w:p w14:paraId="1D2FEF8B">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w:t>
                  </w:r>
                  <w:r>
                    <w:rPr>
                      <w:rFonts w:hint="default"/>
                      <w:color w:val="000000" w:themeColor="text1"/>
                      <w:sz w:val="21"/>
                      <w:szCs w:val="21"/>
                      <w:lang w:val="en-US" w:eastAsia="zh-CN"/>
                      <w14:textFill>
                        <w14:solidFill>
                          <w14:schemeClr w14:val="tx1"/>
                        </w14:solidFill>
                      </w14:textFill>
                    </w:rPr>
                    <w:t>达标</w:t>
                  </w:r>
                </w:p>
              </w:tc>
            </w:tr>
          </w:tbl>
          <w:p w14:paraId="10614B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宿州市</w:t>
            </w:r>
            <w:r>
              <w:rPr>
                <w:rFonts w:hint="eastAsia" w:cs="Times New Roman"/>
                <w:color w:val="000000" w:themeColor="text1"/>
                <w:kern w:val="0"/>
                <w:sz w:val="24"/>
                <w:szCs w:val="24"/>
                <w:lang w:val="en-US" w:eastAsia="zh-CN"/>
                <w14:textFill>
                  <w14:solidFill>
                    <w14:schemeClr w14:val="tx1"/>
                  </w14:solidFill>
                </w14:textFill>
              </w:rPr>
              <w:t>2024</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年PM</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2.5</w:t>
            </w:r>
            <w:r>
              <w:rPr>
                <w:rFonts w:hint="eastAsia" w:cs="Times New Roman"/>
                <w:color w:val="000000" w:themeColor="text1"/>
                <w:kern w:val="0"/>
                <w:sz w:val="24"/>
                <w:szCs w:val="24"/>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SO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年均浓度分别为</w:t>
            </w:r>
            <w:r>
              <w:rPr>
                <w:rFonts w:hint="eastAsia" w:cs="Times New Roman"/>
                <w:color w:val="000000" w:themeColor="text1"/>
                <w:kern w:val="0"/>
                <w:sz w:val="24"/>
                <w:szCs w:val="24"/>
                <w:lang w:val="en-US" w:eastAsia="zh-CN"/>
                <w14:textFill>
                  <w14:solidFill>
                    <w14:schemeClr w14:val="tx1"/>
                  </w14:solidFill>
                </w14:textFill>
              </w:rPr>
              <w:t>71</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43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；CO24小时平均第95百分位数为</w:t>
            </w:r>
            <w:r>
              <w:rPr>
                <w:rFonts w:hint="eastAsia" w:cs="Times New Roman"/>
                <w:color w:val="000000" w:themeColor="text1"/>
                <w:kern w:val="0"/>
                <w:sz w:val="24"/>
                <w:szCs w:val="24"/>
                <w:lang w:val="en-US" w:eastAsia="zh-CN"/>
                <w14:textFill>
                  <w14:solidFill>
                    <w14:schemeClr w14:val="tx1"/>
                  </w14:solidFill>
                </w14:textFill>
              </w:rPr>
              <w:t>0.9</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mg/m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日最大8小时平均第90百分位数为</w:t>
            </w:r>
            <w:r>
              <w:rPr>
                <w:rFonts w:hint="eastAsia" w:cs="Times New Roman"/>
                <w:color w:val="000000" w:themeColor="text1"/>
                <w:kern w:val="0"/>
                <w:sz w:val="24"/>
                <w:szCs w:val="24"/>
                <w:lang w:val="en-US" w:eastAsia="zh-CN"/>
                <w14:textFill>
                  <w14:solidFill>
                    <w14:schemeClr w14:val="tx1"/>
                  </w14:solidFill>
                </w14:textFill>
              </w:rPr>
              <w:t>170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μg/m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；超过《环境空气质量标准》（GB3095-2012）中二级标准限值的污染物为O</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、PM</w:t>
            </w:r>
            <w:r>
              <w:rPr>
                <w:rFonts w:hint="default"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、PM</w:t>
            </w:r>
            <w:r>
              <w:rPr>
                <w:rFonts w:hint="eastAsia" w:ascii="Times New Roman" w:hAnsi="Times New Roman" w:eastAsia="宋体" w:cs="Times New Roman"/>
                <w:color w:val="000000" w:themeColor="text1"/>
                <w:kern w:val="0"/>
                <w:sz w:val="24"/>
                <w:szCs w:val="24"/>
                <w:vertAlign w:val="subscript"/>
                <w:lang w:val="en-US" w:eastAsia="zh-CN"/>
                <w14:textFill>
                  <w14:solidFill>
                    <w14:schemeClr w14:val="tx1"/>
                  </w14:solidFill>
                </w14:textFill>
              </w:rPr>
              <w:t>10</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所以项目所在地为大气环境空气质量不达标区。</w:t>
            </w:r>
          </w:p>
          <w:p w14:paraId="2107F368">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b w:val="0"/>
                <w:bCs w:val="0"/>
                <w:color w:val="000000" w:themeColor="text1"/>
                <w:kern w:val="2"/>
                <w:sz w:val="24"/>
                <w:szCs w:val="24"/>
                <w:lang w:val="en-US" w:eastAsia="zh-CN" w:bidi="ar-SA"/>
                <w14:textFill>
                  <w14:solidFill>
                    <w14:schemeClr w14:val="tx1"/>
                  </w14:solidFill>
                </w14:textFill>
              </w:rPr>
            </w:pPr>
            <w:r>
              <w:rPr>
                <w:rFonts w:hint="eastAsia" w:cs="Times New Roman"/>
                <w:b w:val="0"/>
                <w:bCs w:val="0"/>
                <w:color w:val="000000" w:themeColor="text1"/>
                <w:kern w:val="2"/>
                <w:sz w:val="24"/>
                <w:szCs w:val="24"/>
                <w:lang w:val="en-US" w:eastAsia="zh-CN" w:bidi="ar-SA"/>
                <w14:textFill>
                  <w14:solidFill>
                    <w14:schemeClr w14:val="tx1"/>
                  </w14:solidFill>
                </w14:textFill>
              </w:rPr>
              <w:t>特征污染物</w:t>
            </w:r>
          </w:p>
          <w:p w14:paraId="7836C6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《建设项目环境影响报告表编制技术指南（污染影响类）（试行）》中提到“排放国家、地方环境空气质量标准中有标准限值要求的特征污染物”，其中环境空气质量标准指《环境空气质量标准》</w:t>
            </w:r>
            <w:r>
              <w:rPr>
                <w:rFonts w:hint="default" w:ascii="Times New Roman" w:hAnsi="Times New Roman" w:cs="Times New Roman"/>
                <w:color w:val="000000" w:themeColor="text1"/>
                <w:sz w:val="24"/>
                <w:szCs w:val="24"/>
                <w:highlight w:val="none"/>
                <w14:textFill>
                  <w14:solidFill>
                    <w14:schemeClr w14:val="tx1"/>
                  </w14:solidFill>
                </w14:textFill>
              </w:rPr>
              <w:t>（GB3095</w:t>
            </w:r>
            <w:r>
              <w:rPr>
                <w:rFonts w:cs="Times New Roman"/>
                <w:color w:val="000000" w:themeColor="text1"/>
                <w:sz w:val="24"/>
                <w:szCs w:val="24"/>
                <w:highlight w:val="none"/>
                <w14:textFill>
                  <w14:solidFill>
                    <w14:schemeClr w14:val="tx1"/>
                  </w14:solidFill>
                </w14:textFill>
              </w:rPr>
              <w:t>-2012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和地方的环境空气质量标准，不包括《环境影响评价技术导则 大气环境》</w:t>
            </w:r>
            <w:r>
              <w:rPr>
                <w:rFonts w:hint="default" w:ascii="Times New Roman" w:hAnsi="Times New Roman" w:cs="Times New Roman"/>
                <w:color w:val="000000" w:themeColor="text1"/>
                <w:sz w:val="24"/>
                <w:szCs w:val="24"/>
                <w:highlight w:val="none"/>
                <w14:textFill>
                  <w14:solidFill>
                    <w14:schemeClr w14:val="tx1"/>
                  </w14:solidFill>
                </w14:textFill>
              </w:rPr>
              <w:t>（HJ2.2-2018）</w:t>
            </w:r>
            <w:r>
              <w:rPr>
                <w:rFonts w:hint="eastAsia" w:ascii="宋体" w:hAnsi="宋体"/>
                <w:color w:val="000000" w:themeColor="text1"/>
                <w:sz w:val="24"/>
                <w:szCs w:val="24"/>
                <w:highlight w:val="none"/>
                <w14:textFill>
                  <w14:solidFill>
                    <w14:schemeClr w14:val="tx1"/>
                  </w14:solidFill>
                </w14:textFill>
              </w:rPr>
              <w:t>附录</w:t>
            </w:r>
            <w:r>
              <w:rPr>
                <w:rFonts w:hint="default" w:ascii="Times New Roman" w:hAnsi="Times New Roman" w:cs="Times New Roman"/>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等技术导则。</w:t>
            </w:r>
            <w:r>
              <w:rPr>
                <w:rFonts w:hint="eastAsia" w:ascii="宋体" w:hAnsi="宋体"/>
                <w:color w:val="000000" w:themeColor="text1"/>
                <w:sz w:val="24"/>
                <w:szCs w:val="24"/>
                <w:highlight w:val="none"/>
                <w:lang w:eastAsia="zh-CN"/>
                <w14:textFill>
                  <w14:solidFill>
                    <w14:schemeClr w14:val="tx1"/>
                  </w14:solidFill>
                </w14:textFill>
              </w:rPr>
              <w:t>且根据《</w:t>
            </w:r>
            <w:r>
              <w:rPr>
                <w:rFonts w:hint="eastAsia" w:ascii="宋体" w:hAnsi="宋体"/>
                <w:color w:val="000000" w:themeColor="text1"/>
                <w:sz w:val="24"/>
                <w:szCs w:val="24"/>
                <w:highlight w:val="none"/>
                <w14:textFill>
                  <w14:solidFill>
                    <w14:schemeClr w14:val="tx1"/>
                  </w14:solidFill>
                </w14:textFill>
              </w:rPr>
              <w:t>关于加强重点行业涉新污染物建设项目环境影响评价工作的意见</w:t>
            </w:r>
            <w:r>
              <w:rPr>
                <w:rFonts w:hint="eastAsia" w:ascii="宋体" w:hAnsi="宋体"/>
                <w:color w:val="000000" w:themeColor="text1"/>
                <w:sz w:val="24"/>
                <w:szCs w:val="24"/>
                <w:highlight w:val="none"/>
                <w:lang w:eastAsia="zh-CN"/>
                <w14:textFill>
                  <w14:solidFill>
                    <w14:schemeClr w14:val="tx1"/>
                  </w14:solidFill>
                </w14:textFill>
              </w:rPr>
              <w:t>》，对环境质量标准规定的新污染物，根据相关环境质量标准进行现状评价，环境质量标准未规定但已有环境监测方法标准的，应给出监测值。</w:t>
            </w:r>
            <w:r>
              <w:rPr>
                <w:rFonts w:hint="eastAsia" w:ascii="宋体" w:hAnsi="宋体"/>
                <w:color w:val="000000" w:themeColor="text1"/>
                <w:sz w:val="24"/>
                <w:szCs w:val="24"/>
                <w:highlight w:val="none"/>
                <w14:textFill>
                  <w14:solidFill>
                    <w14:schemeClr w14:val="tx1"/>
                  </w14:solidFill>
                </w14:textFill>
              </w:rPr>
              <w:t>因此，项目排放的特征污染物</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NH</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、H</w:t>
            </w:r>
            <w:r>
              <w:rPr>
                <w:rFonts w:hint="eastAsia" w:cs="Times New Roman"/>
                <w:color w:val="000000" w:themeColor="text1"/>
                <w:sz w:val="24"/>
                <w:szCs w:val="24"/>
                <w:highlight w:val="none"/>
                <w:vertAlign w:val="subscript"/>
                <w:lang w:val="en-US" w:eastAsia="zh-CN"/>
                <w14:textFill>
                  <w14:solidFill>
                    <w14:schemeClr w14:val="tx1"/>
                  </w14:solidFill>
                </w14:textFill>
              </w:rPr>
              <w:t>2</w:t>
            </w:r>
            <w:r>
              <w:rPr>
                <w:rFonts w:hint="eastAsia" w:cs="Times New Roman"/>
                <w:color w:val="000000" w:themeColor="text1"/>
                <w:sz w:val="24"/>
                <w:szCs w:val="24"/>
                <w:highlight w:val="none"/>
                <w:vertAlign w:val="baseline"/>
                <w:lang w:val="en-US" w:eastAsia="zh-CN"/>
                <w14:textFill>
                  <w14:solidFill>
                    <w14:schemeClr w14:val="tx1"/>
                  </w14:solidFill>
                </w14:textFill>
              </w:rPr>
              <w:t>S</w:t>
            </w:r>
            <w:r>
              <w:rPr>
                <w:rFonts w:hint="eastAsia" w:ascii="宋体" w:hAnsi="宋体"/>
                <w:color w:val="000000" w:themeColor="text1"/>
                <w:sz w:val="24"/>
                <w:szCs w:val="24"/>
                <w:highlight w:val="none"/>
                <w14:textFill>
                  <w14:solidFill>
                    <w14:schemeClr w14:val="tx1"/>
                  </w14:solidFill>
                </w14:textFill>
              </w:rPr>
              <w:t>无国家、地方环境空气质量标准限值要求，</w:t>
            </w:r>
            <w:r>
              <w:rPr>
                <w:rFonts w:hint="eastAsia" w:ascii="宋体" w:hAnsi="宋体"/>
                <w:color w:val="000000" w:themeColor="text1"/>
                <w:sz w:val="24"/>
                <w:szCs w:val="24"/>
                <w:highlight w:val="none"/>
                <w:lang w:eastAsia="zh-CN"/>
                <w14:textFill>
                  <w14:solidFill>
                    <w14:schemeClr w14:val="tx1"/>
                  </w14:solidFill>
                </w14:textFill>
              </w:rPr>
              <w:t>且</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NH</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3</w:t>
            </w:r>
            <w:r>
              <w:rPr>
                <w:rFonts w:hint="eastAsia" w:cs="Times New Roman"/>
                <w:color w:val="000000" w:themeColor="text1"/>
                <w:sz w:val="24"/>
                <w:szCs w:val="24"/>
                <w:highlight w:val="none"/>
                <w:vertAlign w:val="baseline"/>
                <w:lang w:val="en-US" w:eastAsia="zh-CN"/>
                <w14:textFill>
                  <w14:solidFill>
                    <w14:schemeClr w14:val="tx1"/>
                  </w14:solidFill>
                </w14:textFill>
              </w:rPr>
              <w:t>、H</w:t>
            </w:r>
            <w:r>
              <w:rPr>
                <w:rFonts w:hint="eastAsia" w:cs="Times New Roman"/>
                <w:color w:val="000000" w:themeColor="text1"/>
                <w:sz w:val="24"/>
                <w:szCs w:val="24"/>
                <w:highlight w:val="none"/>
                <w:vertAlign w:val="subscript"/>
                <w:lang w:val="en-US" w:eastAsia="zh-CN"/>
                <w14:textFill>
                  <w14:solidFill>
                    <w14:schemeClr w14:val="tx1"/>
                  </w14:solidFill>
                </w14:textFill>
              </w:rPr>
              <w:t>2</w:t>
            </w:r>
            <w:r>
              <w:rPr>
                <w:rFonts w:hint="eastAsia" w:cs="Times New Roman"/>
                <w:color w:val="000000" w:themeColor="text1"/>
                <w:sz w:val="24"/>
                <w:szCs w:val="24"/>
                <w:highlight w:val="none"/>
                <w:vertAlign w:val="baseline"/>
                <w:lang w:val="en-US" w:eastAsia="zh-CN"/>
                <w14:textFill>
                  <w14:solidFill>
                    <w14:schemeClr w14:val="tx1"/>
                  </w14:solidFill>
                </w14:textFill>
              </w:rPr>
              <w:t>S</w:t>
            </w:r>
            <w:r>
              <w:rPr>
                <w:rFonts w:hint="eastAsia" w:ascii="宋体" w:hAnsi="宋体"/>
                <w:color w:val="000000" w:themeColor="text1"/>
                <w:sz w:val="24"/>
                <w:szCs w:val="24"/>
                <w:highlight w:val="none"/>
                <w:lang w:eastAsia="zh-CN"/>
                <w14:textFill>
                  <w14:solidFill>
                    <w14:schemeClr w14:val="tx1"/>
                  </w14:solidFill>
                </w14:textFill>
              </w:rPr>
              <w:t>不是新增污染物种类，</w:t>
            </w:r>
            <w:r>
              <w:rPr>
                <w:rFonts w:hint="eastAsia" w:ascii="宋体" w:hAnsi="宋体"/>
                <w:color w:val="000000" w:themeColor="text1"/>
                <w:sz w:val="24"/>
                <w:szCs w:val="24"/>
                <w:highlight w:val="none"/>
                <w14:textFill>
                  <w14:solidFill>
                    <w14:schemeClr w14:val="tx1"/>
                  </w14:solidFill>
                </w14:textFill>
              </w:rPr>
              <w:t>不涉及现状监测。</w:t>
            </w:r>
          </w:p>
          <w:p w14:paraId="54D61E5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地表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水环境</w:t>
            </w:r>
          </w:p>
          <w:p w14:paraId="0AE13556">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snapToGrid/>
                <w:color w:val="000000" w:themeColor="text1"/>
                <w:spacing w:val="0"/>
                <w:kern w:val="0"/>
                <w:position w:val="0"/>
                <w:sz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根据宿州市</w:t>
            </w:r>
            <w:r>
              <w:rPr>
                <w:rFonts w:hint="eastAsia" w:cs="Times New Roman"/>
                <w:color w:val="000000" w:themeColor="text1"/>
                <w:sz w:val="24"/>
                <w:szCs w:val="24"/>
                <w:lang w:val="en-US" w:eastAsia="zh-CN"/>
                <w14:textFill>
                  <w14:solidFill>
                    <w14:schemeClr w14:val="tx1"/>
                  </w14:solidFill>
                </w14:textFill>
              </w:rPr>
              <w:t>2024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年环境质量状况：</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水环境质量：2024年，宿州市水环境质量稳中向好、稳中趋优。全市13个地表水国家考核断面中10个水质达到Ⅲ类，水质优良比例为76.9%，较上一年同比提升7.7个百分点，超额完成省厅下达的年度力争考核目标；10个地表水省考核断面中5个断面水质为Ⅲ类，水质优良比例为50%，超出省年度考核目标20个百分点。9个县级及以上集中式饮用水水源地水质达标率保持100%，切实保障了市</w:t>
            </w:r>
            <w:r>
              <w:rPr>
                <w:rFonts w:hint="eastAsia" w:ascii="宋体" w:hAnsi="宋体" w:eastAsia="宋体" w:cs="宋体"/>
                <w:color w:val="000000" w:themeColor="text1"/>
                <w:kern w:val="0"/>
                <w:sz w:val="24"/>
                <w:szCs w:val="24"/>
                <w:lang w:val="en-US" w:eastAsia="zh-CN"/>
                <w14:textFill>
                  <w14:solidFill>
                    <w14:schemeClr w14:val="tx1"/>
                  </w14:solidFill>
                </w14:textFill>
              </w:rPr>
              <w:t>民“水缸子”的安</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全，让群众喝上放心水。</w:t>
            </w:r>
            <w:r>
              <w:rPr>
                <w:rFonts w:hint="eastAsia" w:cs="Times New Roman"/>
                <w:b w:val="0"/>
                <w:bCs w:val="0"/>
                <w:color w:val="000000" w:themeColor="text1"/>
                <w:kern w:val="0"/>
                <w:sz w:val="24"/>
                <w:szCs w:val="24"/>
                <w:lang w:val="en-US" w:eastAsia="zh-CN"/>
                <w14:textFill>
                  <w14:solidFill>
                    <w14:schemeClr w14:val="tx1"/>
                  </w14:solidFill>
                </w14:textFill>
              </w:rPr>
              <w:t>环城河</w:t>
            </w:r>
            <w:r>
              <w:rPr>
                <w:rFonts w:hint="default" w:ascii="Times New Roman" w:hAnsi="Times New Roman" w:eastAsia="宋体" w:cs="Times New Roman"/>
                <w:color w:val="000000" w:themeColor="text1"/>
                <w:sz w:val="24"/>
                <w:szCs w:val="24"/>
                <w14:textFill>
                  <w14:solidFill>
                    <w14:schemeClr w14:val="tx1"/>
                  </w14:solidFill>
                </w14:textFill>
              </w:rPr>
              <w:t>满足《地表水环境质量标准》（GB3838-2002）中Ⅳ类标准要求。</w:t>
            </w:r>
          </w:p>
          <w:p w14:paraId="22EA74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3、声环境</w:t>
            </w:r>
          </w:p>
          <w:p w14:paraId="027291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项目位于</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宿州市高新技术产业开发区</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根据《建设项目环境影响报告表编制技术指南（污染影响类）（试行）》规定</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50m范围内没有声环境保护目标，无需进行声环境现状监测。</w:t>
            </w:r>
          </w:p>
          <w:p w14:paraId="61B548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4、生态环境</w:t>
            </w:r>
          </w:p>
          <w:p w14:paraId="602516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本项目位于</w:t>
            </w:r>
            <w:r>
              <w:rPr>
                <w:rFonts w:hint="default" w:ascii="Times New Roman" w:hAnsi="Times New Roman" w:cs="Times New Roman"/>
                <w:color w:val="000000" w:themeColor="text1"/>
                <w:sz w:val="24"/>
                <w:szCs w:val="24"/>
                <w:lang w:eastAsia="zh-CN"/>
                <w14:textFill>
                  <w14:solidFill>
                    <w14:schemeClr w14:val="tx1"/>
                  </w14:solidFill>
                </w14:textFill>
              </w:rPr>
              <w:t>宿州市高新技术产业开发区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不新增用地，用地范围内不含生态环境保护目标，因此无需进行生态现状调查。</w:t>
            </w:r>
          </w:p>
          <w:p w14:paraId="20B2C2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5、电磁辐射</w:t>
            </w:r>
          </w:p>
          <w:p w14:paraId="510E85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本项目</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为</w:t>
            </w:r>
            <w:r>
              <w:rPr>
                <w:rFonts w:hint="eastAsia" w:cs="Times New Roman"/>
                <w:snapToGrid/>
                <w:color w:val="000000" w:themeColor="text1"/>
                <w:spacing w:val="0"/>
                <w:kern w:val="0"/>
                <w:position w:val="0"/>
                <w:sz w:val="24"/>
                <w:lang w:val="en-US" w:eastAsia="zh-CN"/>
                <w14:textFill>
                  <w14:solidFill>
                    <w14:schemeClr w14:val="tx1"/>
                  </w14:solidFill>
                </w14:textFill>
              </w:rPr>
              <w:t>蔬菜、菌类、水果和坚果加工</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olor w:val="000000" w:themeColor="text1"/>
                <w:sz w:val="24"/>
                <w:lang w:eastAsia="zh-CN"/>
                <w14:textFill>
                  <w14:solidFill>
                    <w14:schemeClr w14:val="tx1"/>
                  </w14:solidFill>
                </w14:textFill>
              </w:rPr>
              <w:t>不涉及</w:t>
            </w:r>
            <w:r>
              <w:rPr>
                <w:rFonts w:hint="eastAsia"/>
                <w:color w:val="000000" w:themeColor="text1"/>
                <w:sz w:val="24"/>
                <w:lang w:val="en-US" w:eastAsia="zh-CN"/>
                <w14:textFill>
                  <w14:solidFill>
                    <w14:schemeClr w14:val="tx1"/>
                  </w14:solidFill>
                </w14:textFill>
              </w:rPr>
              <w:t>电磁辐射类项目</w:t>
            </w:r>
            <w:r>
              <w:rPr>
                <w:rFonts w:hint="eastAsia"/>
                <w:color w:val="000000" w:themeColor="text1"/>
                <w:kern w:val="0"/>
                <w:sz w:val="24"/>
                <w14:textFill>
                  <w14:solidFill>
                    <w14:schemeClr w14:val="tx1"/>
                  </w14:solidFill>
                </w14:textFill>
              </w:rPr>
              <w:t>。</w:t>
            </w:r>
          </w:p>
          <w:p w14:paraId="0F0F488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6、地下水环境</w:t>
            </w:r>
          </w:p>
          <w:p w14:paraId="0B870B03">
            <w:pPr>
              <w:adjustRightInd w:val="0"/>
              <w:snapToGrid w:val="0"/>
              <w:spacing w:line="360" w:lineRule="auto"/>
              <w:ind w:firstLine="480" w:firstLineChars="200"/>
              <w:jc w:val="left"/>
              <w:rPr>
                <w:rFonts w:hint="default" w:ascii="Times New Roman" w:hAnsi="Times New Roman" w:eastAsia="宋体" w:cs="Times New Roman"/>
                <w:snapToGrid/>
                <w:color w:val="000000" w:themeColor="text1"/>
                <w:spacing w:val="0"/>
                <w:kern w:val="0"/>
                <w:position w:val="0"/>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根据《建设项目环境影响评价报告表编制技术指南</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污染影响类</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试行</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》要求，报告表项目原则上不开展地下水、土壤环境质量现状调查。本项目租用已建成厂房进行生产，厂区地面已采用水泥硬化。本项目建成后，</w:t>
            </w:r>
            <w:r>
              <w:rPr>
                <w:rFonts w:hint="eastAsia" w:cs="Times New Roman"/>
                <w:color w:val="000000" w:themeColor="text1"/>
                <w:sz w:val="24"/>
                <w:szCs w:val="24"/>
                <w:lang w:eastAsia="zh-CN"/>
                <w14:textFill>
                  <w14:solidFill>
                    <w14:schemeClr w14:val="tx1"/>
                  </w14:solidFill>
                </w14:textFill>
              </w:rPr>
              <w:t>生产车间</w:t>
            </w:r>
            <w:r>
              <w:rPr>
                <w:rFonts w:hint="default" w:ascii="Times New Roman" w:hAnsi="Times New Roman" w:eastAsia="宋体" w:cs="Times New Roman"/>
                <w:color w:val="000000" w:themeColor="text1"/>
                <w:sz w:val="24"/>
                <w:szCs w:val="24"/>
                <w14:textFill>
                  <w14:solidFill>
                    <w14:schemeClr w14:val="tx1"/>
                  </w14:solidFill>
                </w14:textFill>
              </w:rPr>
              <w:t>将按照有关规范进行防腐防渗设计，可防止</w:t>
            </w:r>
            <w:r>
              <w:rPr>
                <w:rFonts w:hint="eastAsia" w:cs="Times New Roman"/>
                <w:color w:val="000000" w:themeColor="text1"/>
                <w:sz w:val="24"/>
                <w:szCs w:val="24"/>
                <w:lang w:eastAsia="zh-CN"/>
                <w14:textFill>
                  <w14:solidFill>
                    <w14:schemeClr w14:val="tx1"/>
                  </w14:solidFill>
                </w14:textFill>
              </w:rPr>
              <w:t>物料</w:t>
            </w:r>
            <w:r>
              <w:rPr>
                <w:rFonts w:hint="default" w:ascii="Times New Roman" w:hAnsi="Times New Roman" w:eastAsia="宋体" w:cs="Times New Roman"/>
                <w:color w:val="000000" w:themeColor="text1"/>
                <w:sz w:val="24"/>
                <w:szCs w:val="24"/>
                <w14:textFill>
                  <w14:solidFill>
                    <w14:schemeClr w14:val="tx1"/>
                  </w14:solidFill>
                </w14:textFill>
              </w:rPr>
              <w:t>泄漏对地下水和土壤产生污染。因此本项目不存在地下水、土壤污染途径，无需开展地下水、土壤环境质量现状评价。</w:t>
            </w:r>
          </w:p>
        </w:tc>
      </w:tr>
      <w:tr w14:paraId="21A30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7" w:type="dxa"/>
            <w:tcBorders>
              <w:tl2br w:val="nil"/>
              <w:tr2bl w:val="nil"/>
            </w:tcBorders>
            <w:noWrap w:val="0"/>
            <w:vAlign w:val="center"/>
          </w:tcPr>
          <w:p w14:paraId="73D1F43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环境</w:t>
            </w:r>
          </w:p>
          <w:p w14:paraId="3A9D2B6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774BAF88">
            <w:pPr>
              <w:adjustRightInd w:val="0"/>
              <w:snapToGrid w:val="0"/>
              <w:jc w:val="cente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目标</w:t>
            </w:r>
          </w:p>
        </w:tc>
        <w:tc>
          <w:tcPr>
            <w:tcW w:w="8539" w:type="dxa"/>
            <w:tcBorders>
              <w:tl2br w:val="nil"/>
              <w:tr2bl w:val="nil"/>
            </w:tcBorders>
            <w:noWrap w:val="0"/>
            <w:vAlign w:val="center"/>
          </w:tcPr>
          <w:p w14:paraId="4D5236A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1、大气环境</w:t>
            </w:r>
          </w:p>
          <w:p w14:paraId="1CB851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表3</w:t>
            </w:r>
            <w:r>
              <w:rPr>
                <w:rFonts w:hint="eastAsia" w:cs="Times New Roman"/>
                <w:b/>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val="0"/>
                <w:color w:val="000000" w:themeColor="text1"/>
                <w:sz w:val="24"/>
                <w:szCs w:val="24"/>
                <w:highlight w:val="none"/>
                <w:lang w:val="en-US" w:eastAsia="zh-CN"/>
                <w14:textFill>
                  <w14:solidFill>
                    <w14:schemeClr w14:val="tx1"/>
                  </w14:solidFill>
                </w14:textFill>
              </w:rPr>
              <w:t xml:space="preserve"> </w:t>
            </w:r>
            <w:r>
              <w:rPr>
                <w:rFonts w:hint="eastAsia" w:cs="Times New Roman"/>
                <w:b/>
                <w:bCs w:val="0"/>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14:textFill>
                  <w14:solidFill>
                    <w14:schemeClr w14:val="tx1"/>
                  </w14:solidFill>
                </w14:textFill>
              </w:rPr>
              <w:t>主要环境保护目标一览表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72"/>
              <w:gridCol w:w="675"/>
              <w:gridCol w:w="750"/>
              <w:gridCol w:w="885"/>
              <w:gridCol w:w="1035"/>
              <w:gridCol w:w="1590"/>
              <w:gridCol w:w="855"/>
              <w:gridCol w:w="997"/>
            </w:tblGrid>
            <w:tr w14:paraId="7983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vMerge w:val="restart"/>
                  <w:noWrap w:val="0"/>
                  <w:vAlign w:val="center"/>
                </w:tcPr>
                <w:p w14:paraId="52459B52">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972" w:type="dxa"/>
                  <w:vMerge w:val="restart"/>
                  <w:noWrap w:val="0"/>
                  <w:vAlign w:val="center"/>
                </w:tcPr>
                <w:p w14:paraId="4EAAC4BD">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1425" w:type="dxa"/>
                  <w:gridSpan w:val="2"/>
                  <w:noWrap w:val="0"/>
                  <w:vAlign w:val="center"/>
                </w:tcPr>
                <w:p w14:paraId="4055A88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坐标/m</w:t>
                  </w:r>
                </w:p>
              </w:tc>
              <w:tc>
                <w:tcPr>
                  <w:tcW w:w="885" w:type="dxa"/>
                  <w:vMerge w:val="restart"/>
                  <w:noWrap w:val="0"/>
                  <w:vAlign w:val="center"/>
                </w:tcPr>
                <w:p w14:paraId="75D4935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保护对象</w:t>
                  </w:r>
                </w:p>
              </w:tc>
              <w:tc>
                <w:tcPr>
                  <w:tcW w:w="1035" w:type="dxa"/>
                  <w:vMerge w:val="restart"/>
                  <w:noWrap w:val="0"/>
                  <w:vAlign w:val="center"/>
                </w:tcPr>
                <w:p w14:paraId="6870FAB6">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保护内容</w:t>
                  </w:r>
                </w:p>
              </w:tc>
              <w:tc>
                <w:tcPr>
                  <w:tcW w:w="1590" w:type="dxa"/>
                  <w:vMerge w:val="restart"/>
                  <w:noWrap w:val="0"/>
                  <w:vAlign w:val="center"/>
                </w:tcPr>
                <w:p w14:paraId="054CD626">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环境功能区</w:t>
                  </w:r>
                </w:p>
              </w:tc>
              <w:tc>
                <w:tcPr>
                  <w:tcW w:w="855" w:type="dxa"/>
                  <w:vMerge w:val="restart"/>
                  <w:noWrap w:val="0"/>
                  <w:vAlign w:val="center"/>
                </w:tcPr>
                <w:p w14:paraId="2DE835A1">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相对厂址方位</w:t>
                  </w:r>
                </w:p>
              </w:tc>
              <w:tc>
                <w:tcPr>
                  <w:tcW w:w="997" w:type="dxa"/>
                  <w:vMerge w:val="restart"/>
                  <w:noWrap w:val="0"/>
                  <w:vAlign w:val="center"/>
                </w:tcPr>
                <w:p w14:paraId="701D19E0">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相对厂界距离/m</w:t>
                  </w:r>
                </w:p>
              </w:tc>
            </w:tr>
            <w:tr w14:paraId="18F5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vMerge w:val="continue"/>
                  <w:noWrap w:val="0"/>
                  <w:vAlign w:val="center"/>
                </w:tcPr>
                <w:p w14:paraId="4FB49E54">
                  <w:pPr>
                    <w:adjustRightInd w:val="0"/>
                    <w:snapToGrid w:val="0"/>
                    <w:jc w:val="center"/>
                    <w:rPr>
                      <w:color w:val="000000" w:themeColor="text1"/>
                      <w:sz w:val="21"/>
                      <w:szCs w:val="21"/>
                      <w14:textFill>
                        <w14:solidFill>
                          <w14:schemeClr w14:val="tx1"/>
                        </w14:solidFill>
                      </w14:textFill>
                    </w:rPr>
                  </w:pPr>
                </w:p>
              </w:tc>
              <w:tc>
                <w:tcPr>
                  <w:tcW w:w="972" w:type="dxa"/>
                  <w:vMerge w:val="continue"/>
                  <w:noWrap w:val="0"/>
                  <w:vAlign w:val="center"/>
                </w:tcPr>
                <w:p w14:paraId="129C1844">
                  <w:pPr>
                    <w:adjustRightInd w:val="0"/>
                    <w:snapToGrid w:val="0"/>
                    <w:jc w:val="center"/>
                    <w:rPr>
                      <w:color w:val="000000" w:themeColor="text1"/>
                      <w:sz w:val="21"/>
                      <w:szCs w:val="21"/>
                      <w14:textFill>
                        <w14:solidFill>
                          <w14:schemeClr w14:val="tx1"/>
                        </w14:solidFill>
                      </w14:textFill>
                    </w:rPr>
                  </w:pPr>
                </w:p>
              </w:tc>
              <w:tc>
                <w:tcPr>
                  <w:tcW w:w="675" w:type="dxa"/>
                  <w:noWrap w:val="0"/>
                  <w:vAlign w:val="center"/>
                </w:tcPr>
                <w:p w14:paraId="33662DD8">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X</w:t>
                  </w:r>
                </w:p>
              </w:tc>
              <w:tc>
                <w:tcPr>
                  <w:tcW w:w="750" w:type="dxa"/>
                  <w:noWrap w:val="0"/>
                  <w:vAlign w:val="center"/>
                </w:tcPr>
                <w:p w14:paraId="1030155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Y</w:t>
                  </w:r>
                </w:p>
              </w:tc>
              <w:tc>
                <w:tcPr>
                  <w:tcW w:w="885" w:type="dxa"/>
                  <w:vMerge w:val="continue"/>
                  <w:noWrap w:val="0"/>
                  <w:vAlign w:val="center"/>
                </w:tcPr>
                <w:p w14:paraId="61E52661">
                  <w:pPr>
                    <w:adjustRightInd w:val="0"/>
                    <w:snapToGrid w:val="0"/>
                    <w:jc w:val="center"/>
                    <w:rPr>
                      <w:color w:val="000000" w:themeColor="text1"/>
                      <w:sz w:val="21"/>
                      <w:szCs w:val="21"/>
                      <w14:textFill>
                        <w14:solidFill>
                          <w14:schemeClr w14:val="tx1"/>
                        </w14:solidFill>
                      </w14:textFill>
                    </w:rPr>
                  </w:pPr>
                </w:p>
              </w:tc>
              <w:tc>
                <w:tcPr>
                  <w:tcW w:w="1035" w:type="dxa"/>
                  <w:vMerge w:val="continue"/>
                  <w:noWrap w:val="0"/>
                  <w:vAlign w:val="center"/>
                </w:tcPr>
                <w:p w14:paraId="279857B5">
                  <w:pPr>
                    <w:adjustRightInd w:val="0"/>
                    <w:snapToGrid w:val="0"/>
                    <w:jc w:val="center"/>
                    <w:rPr>
                      <w:color w:val="000000" w:themeColor="text1"/>
                      <w:sz w:val="21"/>
                      <w:szCs w:val="21"/>
                      <w14:textFill>
                        <w14:solidFill>
                          <w14:schemeClr w14:val="tx1"/>
                        </w14:solidFill>
                      </w14:textFill>
                    </w:rPr>
                  </w:pPr>
                </w:p>
              </w:tc>
              <w:tc>
                <w:tcPr>
                  <w:tcW w:w="1590" w:type="dxa"/>
                  <w:vMerge w:val="continue"/>
                  <w:noWrap w:val="0"/>
                  <w:vAlign w:val="center"/>
                </w:tcPr>
                <w:p w14:paraId="5157875F">
                  <w:pPr>
                    <w:adjustRightInd w:val="0"/>
                    <w:snapToGrid w:val="0"/>
                    <w:jc w:val="center"/>
                    <w:rPr>
                      <w:color w:val="000000" w:themeColor="text1"/>
                      <w:sz w:val="21"/>
                      <w:szCs w:val="21"/>
                      <w14:textFill>
                        <w14:solidFill>
                          <w14:schemeClr w14:val="tx1"/>
                        </w14:solidFill>
                      </w14:textFill>
                    </w:rPr>
                  </w:pPr>
                </w:p>
              </w:tc>
              <w:tc>
                <w:tcPr>
                  <w:tcW w:w="855" w:type="dxa"/>
                  <w:vMerge w:val="continue"/>
                  <w:noWrap w:val="0"/>
                  <w:vAlign w:val="center"/>
                </w:tcPr>
                <w:p w14:paraId="37E660BE">
                  <w:pPr>
                    <w:adjustRightInd w:val="0"/>
                    <w:snapToGrid w:val="0"/>
                    <w:jc w:val="center"/>
                    <w:rPr>
                      <w:color w:val="000000" w:themeColor="text1"/>
                      <w:sz w:val="21"/>
                      <w:szCs w:val="21"/>
                      <w14:textFill>
                        <w14:solidFill>
                          <w14:schemeClr w14:val="tx1"/>
                        </w14:solidFill>
                      </w14:textFill>
                    </w:rPr>
                  </w:pPr>
                </w:p>
              </w:tc>
              <w:tc>
                <w:tcPr>
                  <w:tcW w:w="997" w:type="dxa"/>
                  <w:vMerge w:val="continue"/>
                  <w:noWrap w:val="0"/>
                  <w:vAlign w:val="center"/>
                </w:tcPr>
                <w:p w14:paraId="42674155">
                  <w:pPr>
                    <w:adjustRightInd w:val="0"/>
                    <w:snapToGrid w:val="0"/>
                    <w:jc w:val="center"/>
                    <w:rPr>
                      <w:color w:val="000000" w:themeColor="text1"/>
                      <w:sz w:val="21"/>
                      <w:szCs w:val="21"/>
                      <w14:textFill>
                        <w14:solidFill>
                          <w14:schemeClr w14:val="tx1"/>
                        </w14:solidFill>
                      </w14:textFill>
                    </w:rPr>
                  </w:pPr>
                </w:p>
              </w:tc>
            </w:tr>
            <w:tr w14:paraId="7610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noWrap w:val="0"/>
                  <w:vAlign w:val="center"/>
                </w:tcPr>
                <w:p w14:paraId="192BA3D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972" w:type="dxa"/>
                  <w:noWrap w:val="0"/>
                  <w:vAlign w:val="center"/>
                </w:tcPr>
                <w:p w14:paraId="0D2B8971">
                  <w:pPr>
                    <w:pStyle w:val="2"/>
                    <w:keepNext w:val="0"/>
                    <w:keepLines w:val="0"/>
                    <w:pageBreakBefore w:val="0"/>
                    <w:kinsoku/>
                    <w:wordWrap/>
                    <w:overflowPunct/>
                    <w:topLinePunct w:val="0"/>
                    <w:bidi w:val="0"/>
                    <w:snapToGrid/>
                    <w:jc w:val="center"/>
                    <w:textAlignment w:val="auto"/>
                    <w:rPr>
                      <w:rFonts w:hint="eastAsia"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bidi="ar-SA"/>
                      <w14:textFill>
                        <w14:solidFill>
                          <w14:schemeClr w14:val="tx1"/>
                        </w14:solidFill>
                      </w14:textFill>
                    </w:rPr>
                    <w:t>观云郡</w:t>
                  </w:r>
                </w:p>
              </w:tc>
              <w:tc>
                <w:tcPr>
                  <w:tcW w:w="675" w:type="dxa"/>
                  <w:noWrap w:val="0"/>
                  <w:vAlign w:val="center"/>
                </w:tcPr>
                <w:p w14:paraId="7F1C5627">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750" w:type="dxa"/>
                  <w:noWrap w:val="0"/>
                  <w:vAlign w:val="center"/>
                </w:tcPr>
                <w:p w14:paraId="6081EEB9">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323</w:t>
                  </w:r>
                </w:p>
              </w:tc>
              <w:tc>
                <w:tcPr>
                  <w:tcW w:w="885" w:type="dxa"/>
                  <w:noWrap w:val="0"/>
                  <w:vAlign w:val="center"/>
                </w:tcPr>
                <w:p w14:paraId="2D7BD04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居民区</w:t>
                  </w:r>
                </w:p>
              </w:tc>
              <w:tc>
                <w:tcPr>
                  <w:tcW w:w="1035" w:type="dxa"/>
                  <w:noWrap w:val="0"/>
                  <w:vAlign w:val="center"/>
                </w:tcPr>
                <w:p w14:paraId="7538B6B5">
                  <w:pPr>
                    <w:pStyle w:val="2"/>
                    <w:keepNext w:val="0"/>
                    <w:keepLines w:val="0"/>
                    <w:pageBreakBefore w:val="0"/>
                    <w:kinsoku/>
                    <w:wordWrap/>
                    <w:overflowPunct/>
                    <w:topLinePunct w:val="0"/>
                    <w:bidi w:val="0"/>
                    <w:snapToGrid/>
                    <w:jc w:val="center"/>
                    <w:textAlignment w:val="auto"/>
                    <w:rPr>
                      <w:rFonts w:hint="default"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160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户</w:t>
                  </w:r>
                  <w:r>
                    <w:rPr>
                      <w:rFonts w:hint="eastAsia" w:cs="Times New Roman"/>
                      <w:color w:val="000000" w:themeColor="text1"/>
                      <w:sz w:val="21"/>
                      <w:szCs w:val="21"/>
                      <w:vertAlign w:val="baseline"/>
                      <w:lang w:val="en-US" w:eastAsia="zh-CN"/>
                      <w14:textFill>
                        <w14:solidFill>
                          <w14:schemeClr w14:val="tx1"/>
                        </w14:solidFill>
                      </w14:textFill>
                    </w:rPr>
                    <w:t>/480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人</w:t>
                  </w:r>
                </w:p>
              </w:tc>
              <w:tc>
                <w:tcPr>
                  <w:tcW w:w="1590" w:type="dxa"/>
                  <w:vMerge w:val="restart"/>
                  <w:noWrap w:val="0"/>
                  <w:vAlign w:val="center"/>
                </w:tcPr>
                <w:p w14:paraId="69EA7DFF">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（GB3095-2012）及其修改单中二级标准</w:t>
                  </w:r>
                </w:p>
              </w:tc>
              <w:tc>
                <w:tcPr>
                  <w:tcW w:w="855" w:type="dxa"/>
                  <w:noWrap w:val="0"/>
                  <w:vAlign w:val="center"/>
                </w:tcPr>
                <w:p w14:paraId="3170C0BC">
                  <w:pPr>
                    <w:pStyle w:val="2"/>
                    <w:keepNext w:val="0"/>
                    <w:keepLines w:val="0"/>
                    <w:pageBreakBefore w:val="0"/>
                    <w:kinsoku/>
                    <w:wordWrap/>
                    <w:overflowPunct/>
                    <w:topLinePunct w:val="0"/>
                    <w:bidi w:val="0"/>
                    <w:snapToGrid/>
                    <w:jc w:val="center"/>
                    <w:textAlignment w:val="auto"/>
                    <w:rPr>
                      <w:rFonts w:hint="default"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S</w:t>
                  </w:r>
                </w:p>
              </w:tc>
              <w:tc>
                <w:tcPr>
                  <w:tcW w:w="997" w:type="dxa"/>
                  <w:noWrap w:val="0"/>
                  <w:vAlign w:val="center"/>
                </w:tcPr>
                <w:p w14:paraId="5179CF6B">
                  <w:pPr>
                    <w:pStyle w:val="2"/>
                    <w:keepNext w:val="0"/>
                    <w:keepLines w:val="0"/>
                    <w:pageBreakBefore w:val="0"/>
                    <w:kinsoku/>
                    <w:wordWrap/>
                    <w:overflowPunct/>
                    <w:topLinePunct w:val="0"/>
                    <w:bidi w:val="0"/>
                    <w:snapToGrid/>
                    <w:jc w:val="center"/>
                    <w:textAlignment w:val="auto"/>
                    <w:rPr>
                      <w:rFonts w:hint="default" w:ascii="Times New Roman" w:hAnsi="Times New Roman" w:eastAsia="宋体" w:cs="Times New Roman"/>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197</w:t>
                  </w:r>
                </w:p>
              </w:tc>
            </w:tr>
            <w:tr w14:paraId="795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dxa"/>
                  <w:noWrap w:val="0"/>
                  <w:vAlign w:val="center"/>
                </w:tcPr>
                <w:p w14:paraId="667BDDA8">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972" w:type="dxa"/>
                  <w:noWrap w:val="0"/>
                  <w:vAlign w:val="center"/>
                </w:tcPr>
                <w:p w14:paraId="62ED6BEA">
                  <w:pPr>
                    <w:pStyle w:val="2"/>
                    <w:keepNext w:val="0"/>
                    <w:keepLines w:val="0"/>
                    <w:pageBreakBefore w:val="0"/>
                    <w:kinsoku/>
                    <w:wordWrap/>
                    <w:overflowPunct/>
                    <w:topLinePunct w:val="0"/>
                    <w:bidi w:val="0"/>
                    <w:snapToGrid/>
                    <w:jc w:val="center"/>
                    <w:textAlignment w:val="auto"/>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临东安置区</w:t>
                  </w:r>
                </w:p>
              </w:tc>
              <w:tc>
                <w:tcPr>
                  <w:tcW w:w="675" w:type="dxa"/>
                  <w:noWrap w:val="0"/>
                  <w:vAlign w:val="center"/>
                </w:tcPr>
                <w:p w14:paraId="0B56AF78">
                  <w:pPr>
                    <w:adjustRightInd w:val="0"/>
                    <w:snapToGrid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750" w:type="dxa"/>
                  <w:noWrap w:val="0"/>
                  <w:vAlign w:val="center"/>
                </w:tcPr>
                <w:p w14:paraId="4E3EEB52">
                  <w:pPr>
                    <w:adjustRightInd w:val="0"/>
                    <w:snapToGrid w:val="0"/>
                    <w:jc w:val="center"/>
                    <w:rPr>
                      <w:rFonts w:hint="eastAsia"/>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-550</w:t>
                  </w:r>
                </w:p>
              </w:tc>
              <w:tc>
                <w:tcPr>
                  <w:tcW w:w="885" w:type="dxa"/>
                  <w:noWrap w:val="0"/>
                  <w:vAlign w:val="center"/>
                </w:tcPr>
                <w:p w14:paraId="3ED8CED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居民区</w:t>
                  </w:r>
                </w:p>
              </w:tc>
              <w:tc>
                <w:tcPr>
                  <w:tcW w:w="1035" w:type="dxa"/>
                  <w:noWrap w:val="0"/>
                  <w:vAlign w:val="center"/>
                </w:tcPr>
                <w:p w14:paraId="63BA7A94">
                  <w:pPr>
                    <w:pStyle w:val="2"/>
                    <w:keepNext w:val="0"/>
                    <w:keepLines w:val="0"/>
                    <w:pageBreakBefore w:val="0"/>
                    <w:kinsoku/>
                    <w:wordWrap/>
                    <w:overflowPunct/>
                    <w:topLinePunct w:val="0"/>
                    <w:bidi w:val="0"/>
                    <w:snapToGrid/>
                    <w:jc w:val="center"/>
                    <w:textAlignment w:val="auto"/>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120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户</w:t>
                  </w:r>
                  <w:r>
                    <w:rPr>
                      <w:rFonts w:hint="eastAsia" w:cs="Times New Roman"/>
                      <w:color w:val="000000" w:themeColor="text1"/>
                      <w:sz w:val="21"/>
                      <w:szCs w:val="21"/>
                      <w:vertAlign w:val="baseline"/>
                      <w:lang w:val="en-US" w:eastAsia="zh-CN"/>
                      <w14:textFill>
                        <w14:solidFill>
                          <w14:schemeClr w14:val="tx1"/>
                        </w14:solidFill>
                      </w14:textFill>
                    </w:rPr>
                    <w:t>/360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人</w:t>
                  </w:r>
                </w:p>
              </w:tc>
              <w:tc>
                <w:tcPr>
                  <w:tcW w:w="1590" w:type="dxa"/>
                  <w:vMerge w:val="continue"/>
                  <w:noWrap w:val="0"/>
                  <w:vAlign w:val="center"/>
                </w:tcPr>
                <w:p w14:paraId="2E46283A">
                  <w:pPr>
                    <w:adjustRightInd w:val="0"/>
                    <w:snapToGrid w:val="0"/>
                    <w:jc w:val="center"/>
                    <w:rPr>
                      <w:color w:val="000000" w:themeColor="text1"/>
                      <w:sz w:val="21"/>
                      <w:szCs w:val="21"/>
                      <w14:textFill>
                        <w14:solidFill>
                          <w14:schemeClr w14:val="tx1"/>
                        </w14:solidFill>
                      </w14:textFill>
                    </w:rPr>
                  </w:pPr>
                </w:p>
              </w:tc>
              <w:tc>
                <w:tcPr>
                  <w:tcW w:w="855" w:type="dxa"/>
                  <w:noWrap w:val="0"/>
                  <w:vAlign w:val="center"/>
                </w:tcPr>
                <w:p w14:paraId="0DB09CC6">
                  <w:pPr>
                    <w:pStyle w:val="2"/>
                    <w:keepNext w:val="0"/>
                    <w:keepLines w:val="0"/>
                    <w:pageBreakBefore w:val="0"/>
                    <w:kinsoku/>
                    <w:wordWrap/>
                    <w:overflowPunct/>
                    <w:topLinePunct w:val="0"/>
                    <w:bidi w:val="0"/>
                    <w:snapToGrid/>
                    <w:jc w:val="center"/>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S</w:t>
                  </w:r>
                </w:p>
              </w:tc>
              <w:tc>
                <w:tcPr>
                  <w:tcW w:w="997" w:type="dxa"/>
                  <w:noWrap w:val="0"/>
                  <w:vAlign w:val="center"/>
                </w:tcPr>
                <w:p w14:paraId="611F3ADD">
                  <w:pPr>
                    <w:pStyle w:val="2"/>
                    <w:keepNext w:val="0"/>
                    <w:keepLines w:val="0"/>
                    <w:pageBreakBefore w:val="0"/>
                    <w:kinsoku/>
                    <w:wordWrap/>
                    <w:overflowPunct/>
                    <w:topLinePunct w:val="0"/>
                    <w:bidi w:val="0"/>
                    <w:snapToGrid/>
                    <w:jc w:val="center"/>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424</w:t>
                  </w:r>
                </w:p>
              </w:tc>
            </w:tr>
            <w:tr w14:paraId="33E8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1" w:type="dxa"/>
                  <w:gridSpan w:val="9"/>
                  <w:noWrap w:val="0"/>
                  <w:vAlign w:val="center"/>
                </w:tcPr>
                <w:p w14:paraId="7A8A931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注：以企业所在区域对角线交点为坐标原点，以东西方向为X坐标轴（东方向为正方向），以南北方向为Y坐标轴（北方向为正方向）</w:t>
                  </w:r>
                </w:p>
              </w:tc>
            </w:tr>
          </w:tbl>
          <w:p w14:paraId="02F5A93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cs="Times New Roman"/>
                <w:b/>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2、声环境</w:t>
            </w:r>
          </w:p>
          <w:p w14:paraId="575BFD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eastAsia="zh-CN"/>
                <w14:textFill>
                  <w14:solidFill>
                    <w14:schemeClr w14:val="tx1"/>
                  </w14:solidFill>
                </w14:textFill>
              </w:rPr>
              <w:t>厂界外</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50m范围内没有声环境保护目标。</w:t>
            </w:r>
          </w:p>
          <w:p w14:paraId="56EC4D1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color w:val="000000" w:themeColor="text1"/>
                <w:kern w:val="0"/>
                <w:sz w:val="24"/>
                <w:szCs w:val="24"/>
                <w:lang w:val="en-US" w:eastAsia="zh-CN"/>
                <w14:textFill>
                  <w14:solidFill>
                    <w14:schemeClr w14:val="tx1"/>
                  </w14:solidFill>
                </w14:textFill>
              </w:rPr>
            </w:pPr>
            <w:r>
              <w:rPr>
                <w:rFonts w:hint="eastAsia" w:cs="Times New Roman"/>
                <w:b/>
                <w:bCs/>
                <w:snapToGrid w:val="0"/>
                <w:color w:val="000000" w:themeColor="text1"/>
                <w:sz w:val="24"/>
                <w:szCs w:val="24"/>
                <w:vertAlign w:val="baseline"/>
                <w:lang w:val="en-US" w:eastAsia="zh-CN"/>
                <w14:textFill>
                  <w14:solidFill>
                    <w14:schemeClr w14:val="tx1"/>
                  </w14:solidFill>
                </w14:textFill>
              </w:rPr>
              <w:t>3</w:t>
            </w:r>
            <w:r>
              <w:rPr>
                <w:rFonts w:hint="default"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t>、</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地下水环境</w:t>
            </w:r>
          </w:p>
          <w:p w14:paraId="41057F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厂界外</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500m范围内无地下水集中式</w:t>
            </w:r>
            <w:r>
              <w:rPr>
                <w:rFonts w:hint="eastAsia" w:cs="Times New Roman"/>
                <w:color w:val="000000" w:themeColor="text1"/>
                <w:kern w:val="0"/>
                <w:sz w:val="24"/>
                <w:szCs w:val="24"/>
                <w:lang w:val="en-US" w:eastAsia="zh-CN"/>
                <w14:textFill>
                  <w14:solidFill>
                    <w14:schemeClr w14:val="tx1"/>
                  </w14:solidFill>
                </w14:textFill>
              </w:rPr>
              <w:t>饮用水</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水源和热水、矿泉水、温泉等特殊地下水资源。</w:t>
            </w:r>
          </w:p>
          <w:p w14:paraId="4F252E00">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outlineLvl w:val="0"/>
              <w:rPr>
                <w:rFonts w:hint="eastAsia"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b/>
                <w:bCs/>
                <w:snapToGrid w:val="0"/>
                <w:color w:val="000000" w:themeColor="text1"/>
                <w:sz w:val="24"/>
                <w:szCs w:val="24"/>
                <w:vertAlign w:val="baseline"/>
                <w:lang w:val="en-US" w:eastAsia="zh-CN"/>
                <w14:textFill>
                  <w14:solidFill>
                    <w14:schemeClr w14:val="tx1"/>
                  </w14:solidFill>
                </w14:textFill>
              </w:rPr>
              <w:t>4</w:t>
            </w:r>
            <w:r>
              <w:rPr>
                <w:rFonts w:hint="eastAsia" w:ascii="Times New Roman" w:hAnsi="Times New Roman" w:eastAsia="宋体" w:cs="Times New Roman"/>
                <w:b/>
                <w:bCs/>
                <w:snapToGrid w:val="0"/>
                <w:color w:val="000000" w:themeColor="text1"/>
                <w:sz w:val="24"/>
                <w:szCs w:val="24"/>
                <w:vertAlign w:val="baseline"/>
                <w:lang w:val="en-US" w:eastAsia="zh-CN"/>
                <w14:textFill>
                  <w14:solidFill>
                    <w14:schemeClr w14:val="tx1"/>
                  </w14:solidFill>
                </w14:textFill>
              </w:rPr>
              <w:t>、生态环境</w:t>
            </w:r>
          </w:p>
          <w:p w14:paraId="27D78A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val="0"/>
                <w:color w:val="000000" w:themeColor="text1"/>
                <w:sz w:val="24"/>
                <w:szCs w:val="24"/>
                <w:vertAlign w:val="baseline"/>
                <w:lang w:val="en-US" w:eastAsia="zh-CN"/>
                <w14:textFill>
                  <w14:solidFill>
                    <w14:schemeClr w14:val="tx1"/>
                  </w14:solidFill>
                </w14:textFill>
              </w:rPr>
              <w:t>本项目位于</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宿州市高新技术产业开发区</w:t>
            </w:r>
            <w:r>
              <w:rPr>
                <w:rFonts w:hint="eastAsia" w:ascii="Times New Roman" w:hAnsi="Times New Roman" w:eastAsia="宋体" w:cs="Times New Roman"/>
                <w:snapToGrid w:val="0"/>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根据《宿州市高新技术产业开发区总体规划（2023-2035年）——用地产业布局规划图》可知，</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属于工业用地，不涉及新增用地，无生态环境保护目标。</w:t>
            </w:r>
          </w:p>
          <w:p w14:paraId="22D04E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p w14:paraId="072F69D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7FC0791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609FD7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1FB42C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0BC4B1B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A6B3F7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71126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445883E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569490A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7050336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2AC5CFA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p>
          <w:p w14:paraId="309B1B3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r>
      <w:tr w14:paraId="04BB1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67" w:type="dxa"/>
            <w:tcBorders>
              <w:tl2br w:val="nil"/>
              <w:tr2bl w:val="nil"/>
            </w:tcBorders>
            <w:noWrap w:val="0"/>
            <w:tcMar>
              <w:left w:w="28" w:type="dxa"/>
              <w:right w:w="28" w:type="dxa"/>
            </w:tcMar>
            <w:vAlign w:val="center"/>
          </w:tcPr>
          <w:p w14:paraId="31406B5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污</w:t>
            </w:r>
          </w:p>
          <w:p w14:paraId="6F45CD6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染</w:t>
            </w:r>
          </w:p>
          <w:p w14:paraId="1797B6D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物</w:t>
            </w:r>
          </w:p>
          <w:p w14:paraId="7A72B95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排</w:t>
            </w:r>
          </w:p>
          <w:p w14:paraId="31D51C8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放</w:t>
            </w:r>
          </w:p>
          <w:p w14:paraId="05E7CB3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控</w:t>
            </w:r>
          </w:p>
          <w:p w14:paraId="05560A5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制</w:t>
            </w:r>
          </w:p>
          <w:p w14:paraId="0A9D727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标</w:t>
            </w:r>
          </w:p>
          <w:p w14:paraId="2CD067A5">
            <w:pPr>
              <w:adjustRightInd w:val="0"/>
              <w:snapToGrid w:val="0"/>
              <w:jc w:val="cente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准</w:t>
            </w:r>
          </w:p>
        </w:tc>
        <w:tc>
          <w:tcPr>
            <w:tcW w:w="8539" w:type="dxa"/>
            <w:tcBorders>
              <w:tl2br w:val="nil"/>
              <w:tr2bl w:val="nil"/>
            </w:tcBorders>
            <w:noWrap w:val="0"/>
            <w:vAlign w:val="center"/>
          </w:tcPr>
          <w:p w14:paraId="70BC209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1、废水排放标准</w:t>
            </w:r>
          </w:p>
          <w:p w14:paraId="31F732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生活污水</w:t>
            </w:r>
            <w:r>
              <w:rPr>
                <w:rFonts w:hint="eastAsia" w:cs="Times New Roman"/>
                <w:color w:val="000000" w:themeColor="text1"/>
                <w:sz w:val="24"/>
                <w:szCs w:val="24"/>
                <w:highlight w:val="none"/>
                <w:lang w:val="en-US" w:eastAsia="zh-CN"/>
                <w14:textFill>
                  <w14:solidFill>
                    <w14:schemeClr w14:val="tx1"/>
                  </w14:solidFill>
                </w14:textFill>
              </w:rPr>
              <w:t>和生产废水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经</w:t>
            </w:r>
            <w:r>
              <w:rPr>
                <w:rFonts w:hint="eastAsia" w:cs="Times New Roman"/>
                <w:color w:val="000000" w:themeColor="text1"/>
                <w:sz w:val="24"/>
                <w:szCs w:val="24"/>
                <w:highlight w:val="none"/>
                <w:lang w:val="en-US" w:eastAsia="zh-CN"/>
                <w14:textFill>
                  <w14:solidFill>
                    <w14:schemeClr w14:val="tx1"/>
                  </w14:solidFill>
                </w14:textFill>
              </w:rPr>
              <w:t>污水处理站</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预处理后</w:t>
            </w:r>
            <w:r>
              <w:rPr>
                <w:rFonts w:hint="default" w:ascii="Times New Roman" w:hAnsi="Times New Roman" w:eastAsia="宋体" w:cs="Times New Roman"/>
                <w:color w:val="000000" w:themeColor="text1"/>
                <w:sz w:val="24"/>
                <w:szCs w:val="24"/>
                <w14:textFill>
                  <w14:solidFill>
                    <w14:schemeClr w14:val="tx1"/>
                  </w14:solidFill>
                </w14:textFill>
              </w:rPr>
              <w:t>达</w:t>
            </w:r>
            <w:r>
              <w:rPr>
                <w:rFonts w:hint="eastAsia" w:cs="Times New Roman"/>
                <w:color w:val="000000" w:themeColor="text1"/>
                <w:sz w:val="24"/>
                <w:szCs w:val="24"/>
                <w:lang w:eastAsia="zh-CN"/>
                <w14:textFill>
                  <w14:solidFill>
                    <w14:schemeClr w14:val="tx1"/>
                  </w14:solidFill>
                </w14:textFill>
              </w:rPr>
              <w:t>到</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接管标准限值后排入</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集中处理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。其标准限值见表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B554C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w:t>
            </w:r>
            <w:r>
              <w:rPr>
                <w:rFonts w:hint="eastAsia" w:cs="Times New Roman"/>
                <w:b/>
                <w:bCs/>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项目废水排放标准 单位：mg/L（pH除外）</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999"/>
              <w:gridCol w:w="1004"/>
              <w:gridCol w:w="1035"/>
              <w:gridCol w:w="1045"/>
              <w:gridCol w:w="1152"/>
            </w:tblGrid>
            <w:tr w14:paraId="410D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noWrap w:val="0"/>
                  <w:vAlign w:val="center"/>
                </w:tcPr>
                <w:p w14:paraId="4A48706B">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标准名称</w:t>
                  </w:r>
                </w:p>
              </w:tc>
              <w:tc>
                <w:tcPr>
                  <w:tcW w:w="609" w:type="pct"/>
                  <w:noWrap w:val="0"/>
                  <w:vAlign w:val="center"/>
                </w:tcPr>
                <w:p w14:paraId="52C83A06">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pH</w:t>
                  </w:r>
                </w:p>
              </w:tc>
              <w:tc>
                <w:tcPr>
                  <w:tcW w:w="612" w:type="pct"/>
                  <w:noWrap w:val="0"/>
                  <w:vAlign w:val="center"/>
                </w:tcPr>
                <w:p w14:paraId="065A9D35">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w:t>
                  </w:r>
                </w:p>
              </w:tc>
              <w:tc>
                <w:tcPr>
                  <w:tcW w:w="631" w:type="pct"/>
                  <w:noWrap w:val="0"/>
                  <w:vAlign w:val="center"/>
                </w:tcPr>
                <w:p w14:paraId="044EBF60">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637" w:type="pct"/>
                  <w:noWrap w:val="0"/>
                  <w:vAlign w:val="center"/>
                </w:tcPr>
                <w:p w14:paraId="097CB830">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702" w:type="pct"/>
                  <w:noWrap w:val="0"/>
                  <w:vAlign w:val="center"/>
                </w:tcPr>
                <w:p w14:paraId="1CF6C9C4">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w:t>
                  </w:r>
                </w:p>
              </w:tc>
            </w:tr>
            <w:tr w14:paraId="1DF0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shd w:val="clear" w:color="auto" w:fill="auto"/>
                  <w:noWrap w:val="0"/>
                  <w:vAlign w:val="center"/>
                </w:tcPr>
                <w:p w14:paraId="47330969">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《食品加工制造业水污染物排放标准》（GB 46817-2025）表1中水污染物排放限值</w:t>
                  </w:r>
                </w:p>
              </w:tc>
              <w:tc>
                <w:tcPr>
                  <w:tcW w:w="609" w:type="pct"/>
                  <w:shd w:val="clear" w:color="auto" w:fill="auto"/>
                  <w:noWrap w:val="0"/>
                  <w:vAlign w:val="center"/>
                </w:tcPr>
                <w:p w14:paraId="6D50C581">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6~9</w:t>
                  </w:r>
                </w:p>
              </w:tc>
              <w:tc>
                <w:tcPr>
                  <w:tcW w:w="612" w:type="pct"/>
                  <w:shd w:val="clear" w:color="auto" w:fill="auto"/>
                  <w:noWrap w:val="0"/>
                  <w:vAlign w:val="center"/>
                </w:tcPr>
                <w:p w14:paraId="64639B6B">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400</w:t>
                  </w:r>
                </w:p>
              </w:tc>
              <w:tc>
                <w:tcPr>
                  <w:tcW w:w="631" w:type="pct"/>
                  <w:shd w:val="clear" w:color="auto" w:fill="auto"/>
                  <w:noWrap w:val="0"/>
                  <w:vAlign w:val="center"/>
                </w:tcPr>
                <w:p w14:paraId="599A186E">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350</w:t>
                  </w:r>
                </w:p>
              </w:tc>
              <w:tc>
                <w:tcPr>
                  <w:tcW w:w="637" w:type="pct"/>
                  <w:shd w:val="clear" w:color="auto" w:fill="auto"/>
                  <w:noWrap w:val="0"/>
                  <w:vAlign w:val="center"/>
                </w:tcPr>
                <w:p w14:paraId="4112B7C6">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400</w:t>
                  </w:r>
                </w:p>
              </w:tc>
              <w:tc>
                <w:tcPr>
                  <w:tcW w:w="702" w:type="pct"/>
                  <w:shd w:val="clear" w:color="auto" w:fill="auto"/>
                  <w:noWrap w:val="0"/>
                  <w:vAlign w:val="center"/>
                </w:tcPr>
                <w:p w14:paraId="31F1C165">
                  <w:pPr>
                    <w:pStyle w:val="29"/>
                    <w:keepNext w:val="0"/>
                    <w:keepLines w:val="0"/>
                    <w:pageBreakBefore w:val="0"/>
                    <w:widowControl w:val="0"/>
                    <w:kinsoku/>
                    <w:wordWrap/>
                    <w:overflowPunct/>
                    <w:topLinePunct w:val="0"/>
                    <w:autoSpaceDE w:val="0"/>
                    <w:autoSpaceDN w:val="0"/>
                    <w:bidi w:val="0"/>
                    <w:adjustRightInd w:val="0"/>
                    <w:snapToGrid w:val="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45</w:t>
                  </w:r>
                </w:p>
              </w:tc>
            </w:tr>
            <w:tr w14:paraId="2B9D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noWrap w:val="0"/>
                  <w:vAlign w:val="center"/>
                </w:tcPr>
                <w:p w14:paraId="20139542">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汴北污水处理厂接管</w:t>
                  </w:r>
                  <w:r>
                    <w:rPr>
                      <w:rFonts w:hint="eastAsia"/>
                      <w:color w:val="000000" w:themeColor="text1"/>
                      <w:sz w:val="21"/>
                      <w:szCs w:val="21"/>
                      <w14:textFill>
                        <w14:solidFill>
                          <w14:schemeClr w14:val="tx1"/>
                        </w14:solidFill>
                      </w14:textFill>
                    </w:rPr>
                    <w:t>限值</w:t>
                  </w:r>
                </w:p>
              </w:tc>
              <w:tc>
                <w:tcPr>
                  <w:tcW w:w="609" w:type="pct"/>
                  <w:noWrap w:val="0"/>
                  <w:vAlign w:val="center"/>
                </w:tcPr>
                <w:p w14:paraId="0169617C">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6~9</w:t>
                  </w:r>
                </w:p>
              </w:tc>
              <w:tc>
                <w:tcPr>
                  <w:tcW w:w="612" w:type="pct"/>
                  <w:noWrap w:val="0"/>
                  <w:vAlign w:val="center"/>
                </w:tcPr>
                <w:p w14:paraId="146108E7">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631" w:type="pct"/>
                  <w:noWrap w:val="0"/>
                  <w:vAlign w:val="center"/>
                </w:tcPr>
                <w:p w14:paraId="77560542">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637" w:type="pct"/>
                  <w:noWrap w:val="0"/>
                  <w:vAlign w:val="center"/>
                </w:tcPr>
                <w:p w14:paraId="10C6FEC3">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702" w:type="pct"/>
                  <w:noWrap w:val="0"/>
                  <w:vAlign w:val="center"/>
                </w:tcPr>
                <w:p w14:paraId="2C41CDFC">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35</w:t>
                  </w:r>
                </w:p>
              </w:tc>
            </w:tr>
            <w:tr w14:paraId="0DAF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6" w:type="pct"/>
                  <w:noWrap w:val="0"/>
                  <w:vAlign w:val="center"/>
                </w:tcPr>
                <w:p w14:paraId="5D2DAC31">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本项目执行</w:t>
                  </w:r>
                </w:p>
              </w:tc>
              <w:tc>
                <w:tcPr>
                  <w:tcW w:w="609" w:type="pct"/>
                  <w:noWrap w:val="0"/>
                  <w:vAlign w:val="center"/>
                </w:tcPr>
                <w:p w14:paraId="2E0CCB15">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6~9</w:t>
                  </w:r>
                </w:p>
              </w:tc>
              <w:tc>
                <w:tcPr>
                  <w:tcW w:w="612" w:type="pct"/>
                  <w:noWrap w:val="0"/>
                  <w:vAlign w:val="center"/>
                </w:tcPr>
                <w:p w14:paraId="303D956D">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631" w:type="pct"/>
                  <w:noWrap w:val="0"/>
                  <w:vAlign w:val="center"/>
                </w:tcPr>
                <w:p w14:paraId="602C70BB">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637" w:type="pct"/>
                  <w:noWrap w:val="0"/>
                  <w:vAlign w:val="center"/>
                </w:tcPr>
                <w:p w14:paraId="3907C2E7">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702" w:type="pct"/>
                  <w:noWrap w:val="0"/>
                  <w:vAlign w:val="center"/>
                </w:tcPr>
                <w:p w14:paraId="17A335CB">
                  <w:pPr>
                    <w:pStyle w:val="29"/>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35</w:t>
                  </w:r>
                </w:p>
              </w:tc>
            </w:tr>
          </w:tbl>
          <w:p w14:paraId="5AB416A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2、大气污染物排放标准</w:t>
            </w:r>
          </w:p>
          <w:p w14:paraId="344035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施工期项目执行《施工场地颗粒物排放标准》（DB34/4811-2024）中相关标准的规定。</w:t>
            </w:r>
          </w:p>
          <w:p w14:paraId="1F0969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表3.4  监测点颗粒物排放要求</w:t>
            </w:r>
          </w:p>
          <w:tbl>
            <w:tblPr>
              <w:tblStyle w:val="24"/>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
              <w:gridCol w:w="1075"/>
              <w:gridCol w:w="1081"/>
              <w:gridCol w:w="2492"/>
              <w:gridCol w:w="3467"/>
              <w:gridCol w:w="5"/>
            </w:tblGrid>
            <w:tr w14:paraId="05A8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454" w:hRule="atLeast"/>
                <w:jc w:val="center"/>
              </w:trPr>
              <w:tc>
                <w:tcPr>
                  <w:tcW w:w="1080" w:type="dxa"/>
                  <w:gridSpan w:val="2"/>
                  <w:shd w:val="clear" w:color="auto" w:fill="auto"/>
                  <w:vAlign w:val="center"/>
                </w:tcPr>
                <w:p w14:paraId="47DE46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控制项目</w:t>
                  </w:r>
                </w:p>
              </w:tc>
              <w:tc>
                <w:tcPr>
                  <w:tcW w:w="1081" w:type="dxa"/>
                  <w:shd w:val="clear" w:color="auto" w:fill="auto"/>
                  <w:vAlign w:val="center"/>
                </w:tcPr>
                <w:p w14:paraId="46FFD5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单位</w:t>
                  </w:r>
                </w:p>
              </w:tc>
              <w:tc>
                <w:tcPr>
                  <w:tcW w:w="2492" w:type="dxa"/>
                  <w:shd w:val="clear" w:color="auto" w:fill="auto"/>
                  <w:noWrap/>
                  <w:vAlign w:val="center"/>
                </w:tcPr>
                <w:p w14:paraId="031B11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监测点浓度限值</w:t>
                  </w:r>
                </w:p>
              </w:tc>
              <w:tc>
                <w:tcPr>
                  <w:tcW w:w="3467" w:type="dxa"/>
                  <w:shd w:val="clear" w:color="auto" w:fill="auto"/>
                  <w:noWrap/>
                  <w:vAlign w:val="center"/>
                </w:tcPr>
                <w:p w14:paraId="71630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达标判定依据</w:t>
                  </w:r>
                </w:p>
              </w:tc>
            </w:tr>
            <w:tr w14:paraId="66AD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080" w:type="dxa"/>
                  <w:gridSpan w:val="2"/>
                  <w:vMerge w:val="restart"/>
                  <w:shd w:val="clear" w:color="auto" w:fill="auto"/>
                  <w:vAlign w:val="center"/>
                </w:tcPr>
                <w:p w14:paraId="6A90EB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TSP</w:t>
                  </w:r>
                </w:p>
              </w:tc>
              <w:tc>
                <w:tcPr>
                  <w:tcW w:w="1081" w:type="dxa"/>
                  <w:vMerge w:val="restart"/>
                  <w:shd w:val="clear" w:color="auto" w:fill="auto"/>
                  <w:vAlign w:val="center"/>
                </w:tcPr>
                <w:p w14:paraId="785EA7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50"/>
                      <w:rFonts w:hint="default" w:ascii="Times New Roman" w:hAnsi="Times New Roman" w:eastAsia="微软雅黑" w:cs="Times New Roman"/>
                      <w:b w:val="0"/>
                      <w:bCs w:val="0"/>
                      <w:color w:val="000000" w:themeColor="text1"/>
                      <w:sz w:val="21"/>
                      <w:szCs w:val="21"/>
                      <w:lang w:val="en-US" w:eastAsia="zh-CN" w:bidi="ar"/>
                      <w14:textFill>
                        <w14:solidFill>
                          <w14:schemeClr w14:val="tx1"/>
                        </w14:solidFill>
                      </w14:textFill>
                    </w:rPr>
                    <w:t>μ</w:t>
                  </w:r>
                  <w:r>
                    <w:rPr>
                      <w:rStyle w:val="50"/>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g/m</w:t>
                  </w:r>
                  <w:r>
                    <w:rPr>
                      <w:rStyle w:val="51"/>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3</w:t>
                  </w:r>
                </w:p>
              </w:tc>
              <w:tc>
                <w:tcPr>
                  <w:tcW w:w="2492" w:type="dxa"/>
                  <w:shd w:val="clear" w:color="auto" w:fill="auto"/>
                  <w:noWrap/>
                  <w:vAlign w:val="center"/>
                </w:tcPr>
                <w:p w14:paraId="706E5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1000</w:t>
                  </w:r>
                </w:p>
              </w:tc>
              <w:tc>
                <w:tcPr>
                  <w:tcW w:w="3467" w:type="dxa"/>
                  <w:shd w:val="clear" w:color="auto" w:fill="auto"/>
                  <w:noWrap/>
                  <w:vAlign w:val="center"/>
                </w:tcPr>
                <w:p w14:paraId="0844B5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52"/>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超标次数≤1次/日</w:t>
                  </w:r>
                </w:p>
              </w:tc>
            </w:tr>
            <w:tr w14:paraId="327D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jc w:val="center"/>
              </w:trPr>
              <w:tc>
                <w:tcPr>
                  <w:tcW w:w="1080" w:type="dxa"/>
                  <w:gridSpan w:val="2"/>
                  <w:vMerge w:val="continue"/>
                  <w:shd w:val="clear" w:color="auto" w:fill="auto"/>
                  <w:vAlign w:val="center"/>
                </w:tcPr>
                <w:p w14:paraId="71DD649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1081" w:type="dxa"/>
                  <w:vMerge w:val="continue"/>
                  <w:shd w:val="clear" w:color="auto" w:fill="auto"/>
                  <w:vAlign w:val="center"/>
                </w:tcPr>
                <w:p w14:paraId="63354FE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p>
              </w:tc>
              <w:tc>
                <w:tcPr>
                  <w:tcW w:w="2492" w:type="dxa"/>
                  <w:shd w:val="clear" w:color="auto" w:fill="auto"/>
                  <w:noWrap/>
                  <w:vAlign w:val="center"/>
                </w:tcPr>
                <w:p w14:paraId="284544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500</w:t>
                  </w:r>
                </w:p>
              </w:tc>
              <w:tc>
                <w:tcPr>
                  <w:tcW w:w="3467" w:type="dxa"/>
                  <w:shd w:val="clear" w:color="auto" w:fill="auto"/>
                  <w:noWrap/>
                  <w:vAlign w:val="center"/>
                </w:tcPr>
                <w:p w14:paraId="0E7E4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Style w:val="52"/>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超标次数≤6次/日</w:t>
                  </w:r>
                </w:p>
              </w:tc>
            </w:tr>
            <w:tr w14:paraId="78AA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8120" w:type="dxa"/>
                  <w:gridSpan w:val="5"/>
                  <w:shd w:val="clear" w:color="auto" w:fill="auto"/>
                  <w:vAlign w:val="center"/>
                </w:tcPr>
                <w:p w14:paraId="51E289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任一监测点自整时起依次顺延15分钟的TSP浓度平均值不得超过的限值。超标次数指一个日历日96个TSP15分钟浓度平均值超过监测点浓度限值的次数。</w:t>
                  </w:r>
                </w:p>
                <w:p w14:paraId="4753C9DF">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center"/>
                    <w:rPr>
                      <w:rFonts w:hint="default" w:ascii="Times New Roman" w:hAnsi="Times New Roman" w:eastAsia="宋体" w:cs="Times New Roman"/>
                      <w:b w:val="0"/>
                      <w:bCs w:val="0"/>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根据HJ633判定设区市A</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Q</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I在200~300之间且首要污染物为PM</w:t>
                  </w:r>
                  <w:r>
                    <w:rPr>
                      <w:rFonts w:hint="eastAsia" w:ascii="Times New Roman" w:hAnsi="Times New Roman" w:eastAsia="宋体" w:cs="Times New Roman"/>
                      <w:b w:val="0"/>
                      <w:bCs w:val="0"/>
                      <w:i w:val="0"/>
                      <w:iCs w:val="0"/>
                      <w:color w:val="000000" w:themeColor="text1"/>
                      <w:kern w:val="0"/>
                      <w:sz w:val="21"/>
                      <w:szCs w:val="21"/>
                      <w:u w:val="none"/>
                      <w:vertAlign w:val="subscript"/>
                      <w:lang w:val="en-US" w:eastAsia="zh-CN" w:bidi="ar"/>
                      <w14:textFill>
                        <w14:solidFill>
                          <w14:schemeClr w14:val="tx1"/>
                        </w14:solidFill>
                      </w14:textFill>
                    </w:rPr>
                    <w:t>1</w:t>
                  </w:r>
                  <w:r>
                    <w:rPr>
                      <w:rFonts w:hint="eastAsia"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0</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或PM</w:t>
                  </w:r>
                  <w:r>
                    <w:rPr>
                      <w:rFonts w:hint="eastAsia" w:ascii="Times New Roman" w:hAnsi="Times New Roman" w:eastAsia="宋体" w:cs="Times New Roman"/>
                      <w:b w:val="0"/>
                      <w:bCs w:val="0"/>
                      <w:i w:val="0"/>
                      <w:iCs w:val="0"/>
                      <w:color w:val="000000" w:themeColor="text1"/>
                      <w:kern w:val="0"/>
                      <w:sz w:val="21"/>
                      <w:szCs w:val="21"/>
                      <w:u w:val="none"/>
                      <w:vertAlign w:val="subscript"/>
                      <w:lang w:val="en-US" w:eastAsia="zh-CN" w:bidi="ar"/>
                      <w14:textFill>
                        <w14:solidFill>
                          <w14:schemeClr w14:val="tx1"/>
                        </w14:solidFill>
                      </w14:textFill>
                    </w:rPr>
                    <w:t>2.5</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时，TSP实测值扣除200</w:t>
                  </w:r>
                  <w:r>
                    <w:rPr>
                      <w:rStyle w:val="50"/>
                      <w:rFonts w:hint="default" w:ascii="Times New Roman" w:hAnsi="Times New Roman" w:eastAsia="微软雅黑" w:cs="Times New Roman"/>
                      <w:b w:val="0"/>
                      <w:bCs w:val="0"/>
                      <w:color w:val="000000" w:themeColor="text1"/>
                      <w:sz w:val="21"/>
                      <w:szCs w:val="21"/>
                      <w:lang w:val="en-US" w:eastAsia="zh-CN" w:bidi="ar"/>
                      <w14:textFill>
                        <w14:solidFill>
                          <w14:schemeClr w14:val="tx1"/>
                        </w14:solidFill>
                      </w14:textFill>
                    </w:rPr>
                    <w:t>μ</w:t>
                  </w:r>
                  <w:r>
                    <w:rPr>
                      <w:rStyle w:val="50"/>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g/m</w:t>
                  </w:r>
                  <w:r>
                    <w:rPr>
                      <w:rStyle w:val="51"/>
                      <w:rFonts w:hint="default" w:ascii="Times New Roman" w:hAnsi="Times New Roman" w:eastAsia="宋体" w:cs="Times New Roman"/>
                      <w:b w:val="0"/>
                      <w:bCs w:val="0"/>
                      <w:color w:val="000000" w:themeColor="text1"/>
                      <w:sz w:val="21"/>
                      <w:szCs w:val="21"/>
                      <w:lang w:val="en-US" w:eastAsia="zh-CN" w:bidi="ar"/>
                      <w14:textFill>
                        <w14:solidFill>
                          <w14:schemeClr w14:val="tx1"/>
                        </w14:solidFill>
                      </w14:textFill>
                    </w:rPr>
                    <w:t>3</w:t>
                  </w:r>
                  <w:r>
                    <w:rPr>
                      <w:rFonts w:hint="default" w:ascii="Times New Roman" w:hAnsi="Times New Roman" w:eastAsia="宋体" w:cs="Times New Roman"/>
                      <w:b w:val="0"/>
                      <w:bCs w:val="0"/>
                      <w:i w:val="0"/>
                      <w:iCs w:val="0"/>
                      <w:color w:val="000000" w:themeColor="text1"/>
                      <w:kern w:val="0"/>
                      <w:sz w:val="21"/>
                      <w:szCs w:val="21"/>
                      <w:u w:val="none"/>
                      <w:lang w:val="en-US" w:eastAsia="zh-CN" w:bidi="ar"/>
                      <w14:textFill>
                        <w14:solidFill>
                          <w14:schemeClr w14:val="tx1"/>
                        </w14:solidFill>
                      </w14:textFill>
                    </w:rPr>
                    <w:t>后再进行评价。</w:t>
                  </w:r>
                </w:p>
              </w:tc>
            </w:tr>
          </w:tbl>
          <w:p w14:paraId="52E6EAA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运营期</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项目锅炉</w:t>
            </w:r>
            <w:r>
              <w:rPr>
                <w:rFonts w:hint="eastAsia" w:cs="Times New Roman"/>
                <w:snapToGrid/>
                <w:color w:val="000000" w:themeColor="text1"/>
                <w:spacing w:val="0"/>
                <w:kern w:val="0"/>
                <w:position w:val="0"/>
                <w:sz w:val="24"/>
                <w:szCs w:val="24"/>
                <w:lang w:val="en-US" w:eastAsia="zh-CN"/>
                <w14:textFill>
                  <w14:solidFill>
                    <w14:schemeClr w14:val="tx1"/>
                  </w14:solidFill>
                </w14:textFill>
              </w:rPr>
              <w:t>废气</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排放执行《锅炉大气污染物排放标准》（GB13271-2014）表3中燃气锅炉特别排放限值要求，其中氮氧化物排放浓度执行“安徽省大气办关于印发《安徽省2020年大气污染防治重点工作任务》的通知”（皖大气办【2020】2号）中氮氧化物排放浓度不高于50毫克/立方米的限值要求，标准值见</w:t>
            </w:r>
            <w:r>
              <w:rPr>
                <w:rFonts w:hint="eastAsia" w:cs="Times New Roman"/>
                <w:snapToGrid/>
                <w:color w:val="000000" w:themeColor="text1"/>
                <w:spacing w:val="0"/>
                <w:kern w:val="0"/>
                <w:position w:val="0"/>
                <w:sz w:val="24"/>
                <w:szCs w:val="24"/>
                <w:lang w:val="en-US" w:eastAsia="zh-CN"/>
                <w14:textFill>
                  <w14:solidFill>
                    <w14:schemeClr w14:val="tx1"/>
                  </w14:solidFill>
                </w14:textFill>
              </w:rPr>
              <w:t>下表。</w:t>
            </w:r>
          </w:p>
          <w:p w14:paraId="22CAC21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b/>
                <w:color w:val="000000" w:themeColor="text1"/>
                <w:kern w:val="0"/>
                <w:sz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.5</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ascii="Times New Roman" w:hAnsi="Times New Roman"/>
                <w:b/>
                <w:color w:val="000000" w:themeColor="text1"/>
                <w:kern w:val="0"/>
                <w:sz w:val="24"/>
                <w:lang w:val="en-US" w:eastAsia="zh-CN"/>
                <w14:textFill>
                  <w14:solidFill>
                    <w14:schemeClr w14:val="tx1"/>
                  </w14:solidFill>
                </w14:textFill>
              </w:rPr>
              <w:t>锅炉</w:t>
            </w:r>
            <w:r>
              <w:rPr>
                <w:rFonts w:ascii="Times New Roman" w:hAnsi="Times New Roman"/>
                <w:b/>
                <w:color w:val="000000" w:themeColor="text1"/>
                <w:kern w:val="0"/>
                <w:sz w:val="24"/>
                <w14:textFill>
                  <w14:solidFill>
                    <w14:schemeClr w14:val="tx1"/>
                  </w14:solidFill>
                </w14:textFill>
              </w:rPr>
              <w:t>大气污染物</w:t>
            </w:r>
            <w:r>
              <w:rPr>
                <w:rFonts w:hint="eastAsia" w:ascii="Times New Roman" w:hAnsi="Times New Roman"/>
                <w:b/>
                <w:color w:val="000000" w:themeColor="text1"/>
                <w:kern w:val="0"/>
                <w:sz w:val="24"/>
                <w:lang w:eastAsia="zh-CN"/>
                <w14:textFill>
                  <w14:solidFill>
                    <w14:schemeClr w14:val="tx1"/>
                  </w14:solidFill>
                </w14:textFill>
              </w:rPr>
              <w:t>特别</w:t>
            </w:r>
            <w:r>
              <w:rPr>
                <w:rFonts w:ascii="Times New Roman" w:hAnsi="Times New Roman"/>
                <w:b/>
                <w:color w:val="000000" w:themeColor="text1"/>
                <w:kern w:val="0"/>
                <w:sz w:val="24"/>
                <w14:textFill>
                  <w14:solidFill>
                    <w14:schemeClr w14:val="tx1"/>
                  </w14:solidFill>
                </w14:textFill>
              </w:rPr>
              <w:t>排放标准</w:t>
            </w:r>
            <w:r>
              <w:rPr>
                <w:rFonts w:hint="eastAsia" w:ascii="Times New Roman" w:hAnsi="Times New Roman"/>
                <w:b/>
                <w:color w:val="000000" w:themeColor="text1"/>
                <w:kern w:val="0"/>
                <w:sz w:val="24"/>
                <w14:textFill>
                  <w14:solidFill>
                    <w14:schemeClr w14:val="tx1"/>
                  </w14:solidFill>
                </w14:textFill>
              </w:rPr>
              <w:t xml:space="preserve"> </w:t>
            </w:r>
            <w:r>
              <w:rPr>
                <w:rFonts w:hint="eastAsia"/>
                <w:b/>
                <w:color w:val="000000" w:themeColor="text1"/>
                <w:kern w:val="0"/>
                <w:sz w:val="24"/>
                <w:lang w:val="en-US" w:eastAsia="zh-CN"/>
                <w14:textFill>
                  <w14:solidFill>
                    <w14:schemeClr w14:val="tx1"/>
                  </w14:solidFill>
                </w14:textFill>
              </w:rPr>
              <w:t xml:space="preserve"> </w:t>
            </w:r>
            <w:r>
              <w:rPr>
                <w:rFonts w:ascii="Times New Roman" w:hAnsi="Times New Roman"/>
                <w:b/>
                <w:color w:val="000000" w:themeColor="text1"/>
                <w:kern w:val="0"/>
                <w:sz w:val="24"/>
                <w14:textFill>
                  <w14:solidFill>
                    <w14:schemeClr w14:val="tx1"/>
                  </w14:solidFill>
                </w14:textFill>
              </w:rPr>
              <w:t>单位：mg/m³</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40"/>
              <w:gridCol w:w="1641"/>
              <w:gridCol w:w="1641"/>
              <w:gridCol w:w="1642"/>
            </w:tblGrid>
            <w:tr w14:paraId="09C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vMerge w:val="restart"/>
                  <w:noWrap w:val="0"/>
                  <w:vAlign w:val="center"/>
                </w:tcPr>
                <w:p w14:paraId="0C0F2034">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污染物项目</w:t>
                  </w:r>
                </w:p>
              </w:tc>
              <w:tc>
                <w:tcPr>
                  <w:tcW w:w="5272" w:type="dxa"/>
                  <w:gridSpan w:val="3"/>
                  <w:noWrap w:val="0"/>
                  <w:vAlign w:val="center"/>
                </w:tcPr>
                <w:p w14:paraId="2A41B56E">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限值</w:t>
                  </w:r>
                </w:p>
              </w:tc>
              <w:tc>
                <w:tcPr>
                  <w:tcW w:w="1758" w:type="dxa"/>
                  <w:vMerge w:val="restart"/>
                  <w:noWrap w:val="0"/>
                  <w:vAlign w:val="center"/>
                </w:tcPr>
                <w:p w14:paraId="7DEB6CA4">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污染物排放监控位置</w:t>
                  </w:r>
                </w:p>
              </w:tc>
            </w:tr>
            <w:tr w14:paraId="1D9E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vMerge w:val="continue"/>
                  <w:shd w:val="clear" w:color="auto" w:fill="auto"/>
                  <w:noWrap w:val="0"/>
                  <w:vAlign w:val="center"/>
                </w:tcPr>
                <w:p w14:paraId="1C04331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c>
                <w:tcPr>
                  <w:tcW w:w="1757" w:type="dxa"/>
                  <w:shd w:val="clear" w:color="auto" w:fill="auto"/>
                  <w:noWrap w:val="0"/>
                  <w:vAlign w:val="center"/>
                </w:tcPr>
                <w:p w14:paraId="38E7D5E1">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燃煤锅炉</w:t>
                  </w:r>
                </w:p>
              </w:tc>
              <w:tc>
                <w:tcPr>
                  <w:tcW w:w="1758" w:type="dxa"/>
                  <w:shd w:val="clear" w:color="auto" w:fill="auto"/>
                  <w:noWrap w:val="0"/>
                  <w:vAlign w:val="center"/>
                </w:tcPr>
                <w:p w14:paraId="7D5F2206">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燃油锅炉</w:t>
                  </w:r>
                </w:p>
              </w:tc>
              <w:tc>
                <w:tcPr>
                  <w:tcW w:w="1757" w:type="dxa"/>
                  <w:shd w:val="clear" w:color="auto" w:fill="7F7F7F"/>
                  <w:noWrap w:val="0"/>
                  <w:vAlign w:val="center"/>
                </w:tcPr>
                <w:p w14:paraId="0FAEA96F">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燃气锅炉</w:t>
                  </w:r>
                </w:p>
              </w:tc>
              <w:tc>
                <w:tcPr>
                  <w:tcW w:w="1758" w:type="dxa"/>
                  <w:vMerge w:val="continue"/>
                  <w:noWrap w:val="0"/>
                  <w:vAlign w:val="center"/>
                </w:tcPr>
                <w:p w14:paraId="55C05EC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0BB9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37CE014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颗粒物</w:t>
                  </w:r>
                </w:p>
              </w:tc>
              <w:tc>
                <w:tcPr>
                  <w:tcW w:w="1757" w:type="dxa"/>
                  <w:shd w:val="clear" w:color="auto" w:fill="auto"/>
                  <w:noWrap w:val="0"/>
                  <w:vAlign w:val="center"/>
                </w:tcPr>
                <w:p w14:paraId="4400D6BB">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30</w:t>
                  </w:r>
                </w:p>
              </w:tc>
              <w:tc>
                <w:tcPr>
                  <w:tcW w:w="1758" w:type="dxa"/>
                  <w:shd w:val="clear" w:color="auto" w:fill="auto"/>
                  <w:noWrap w:val="0"/>
                  <w:vAlign w:val="center"/>
                </w:tcPr>
                <w:p w14:paraId="6445939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30</w:t>
                  </w:r>
                </w:p>
              </w:tc>
              <w:tc>
                <w:tcPr>
                  <w:tcW w:w="1757" w:type="dxa"/>
                  <w:shd w:val="clear" w:color="auto" w:fill="7F7F7F"/>
                  <w:noWrap w:val="0"/>
                  <w:vAlign w:val="center"/>
                </w:tcPr>
                <w:p w14:paraId="7AF0F47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w:t>
                  </w:r>
                </w:p>
              </w:tc>
              <w:tc>
                <w:tcPr>
                  <w:tcW w:w="1758" w:type="dxa"/>
                  <w:vMerge w:val="restart"/>
                  <w:noWrap w:val="0"/>
                  <w:vAlign w:val="center"/>
                </w:tcPr>
                <w:p w14:paraId="12ABFFF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烟囱或烟道</w:t>
                  </w:r>
                </w:p>
              </w:tc>
            </w:tr>
            <w:tr w14:paraId="7AA2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0854EA7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二氧化硫</w:t>
                  </w:r>
                </w:p>
              </w:tc>
              <w:tc>
                <w:tcPr>
                  <w:tcW w:w="1757" w:type="dxa"/>
                  <w:shd w:val="clear" w:color="auto" w:fill="auto"/>
                  <w:noWrap w:val="0"/>
                  <w:vAlign w:val="center"/>
                </w:tcPr>
                <w:p w14:paraId="783D8502">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200</w:t>
                  </w:r>
                </w:p>
              </w:tc>
              <w:tc>
                <w:tcPr>
                  <w:tcW w:w="1758" w:type="dxa"/>
                  <w:shd w:val="clear" w:color="auto" w:fill="auto"/>
                  <w:noWrap w:val="0"/>
                  <w:vAlign w:val="center"/>
                </w:tcPr>
                <w:p w14:paraId="31644021">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100</w:t>
                  </w:r>
                </w:p>
              </w:tc>
              <w:tc>
                <w:tcPr>
                  <w:tcW w:w="1757" w:type="dxa"/>
                  <w:shd w:val="clear" w:color="auto" w:fill="7F7F7F"/>
                  <w:noWrap w:val="0"/>
                  <w:vAlign w:val="center"/>
                </w:tcPr>
                <w:p w14:paraId="45D46A1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50</w:t>
                  </w:r>
                </w:p>
              </w:tc>
              <w:tc>
                <w:tcPr>
                  <w:tcW w:w="1758" w:type="dxa"/>
                  <w:vMerge w:val="continue"/>
                  <w:noWrap w:val="0"/>
                  <w:vAlign w:val="center"/>
                </w:tcPr>
                <w:p w14:paraId="2C8DA2BD">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0FF9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04988367">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氮氧化物</w:t>
                  </w:r>
                </w:p>
              </w:tc>
              <w:tc>
                <w:tcPr>
                  <w:tcW w:w="1757" w:type="dxa"/>
                  <w:shd w:val="clear" w:color="auto" w:fill="auto"/>
                  <w:noWrap w:val="0"/>
                  <w:vAlign w:val="center"/>
                </w:tcPr>
                <w:p w14:paraId="365ACA41">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200</w:t>
                  </w:r>
                </w:p>
              </w:tc>
              <w:tc>
                <w:tcPr>
                  <w:tcW w:w="1758" w:type="dxa"/>
                  <w:shd w:val="clear" w:color="auto" w:fill="auto"/>
                  <w:noWrap w:val="0"/>
                  <w:vAlign w:val="center"/>
                </w:tcPr>
                <w:p w14:paraId="42F3650C">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200</w:t>
                  </w:r>
                </w:p>
              </w:tc>
              <w:tc>
                <w:tcPr>
                  <w:tcW w:w="1757" w:type="dxa"/>
                  <w:shd w:val="clear" w:color="auto" w:fill="7F7F7F"/>
                  <w:noWrap w:val="0"/>
                  <w:vAlign w:val="center"/>
                </w:tcPr>
                <w:p w14:paraId="70EAB35D">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50</w:t>
                  </w:r>
                </w:p>
              </w:tc>
              <w:tc>
                <w:tcPr>
                  <w:tcW w:w="1758" w:type="dxa"/>
                  <w:vMerge w:val="continue"/>
                  <w:noWrap w:val="0"/>
                  <w:vAlign w:val="center"/>
                </w:tcPr>
                <w:p w14:paraId="3F5964FF">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0042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72F33BEE">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汞及其化合物</w:t>
                  </w:r>
                </w:p>
              </w:tc>
              <w:tc>
                <w:tcPr>
                  <w:tcW w:w="1757" w:type="dxa"/>
                  <w:shd w:val="clear" w:color="auto" w:fill="auto"/>
                  <w:noWrap w:val="0"/>
                  <w:vAlign w:val="center"/>
                </w:tcPr>
                <w:p w14:paraId="37D4097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0.05</w:t>
                  </w:r>
                </w:p>
              </w:tc>
              <w:tc>
                <w:tcPr>
                  <w:tcW w:w="1758" w:type="dxa"/>
                  <w:shd w:val="clear" w:color="auto" w:fill="auto"/>
                  <w:noWrap w:val="0"/>
                  <w:vAlign w:val="center"/>
                </w:tcPr>
                <w:p w14:paraId="0D7A06CD">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c>
                <w:tcPr>
                  <w:tcW w:w="1757" w:type="dxa"/>
                  <w:shd w:val="clear" w:color="auto" w:fill="7F7F7F"/>
                  <w:noWrap w:val="0"/>
                  <w:vAlign w:val="center"/>
                </w:tcPr>
                <w:p w14:paraId="51EF15E7">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p>
              </w:tc>
              <w:tc>
                <w:tcPr>
                  <w:tcW w:w="1758" w:type="dxa"/>
                  <w:vMerge w:val="continue"/>
                  <w:noWrap w:val="0"/>
                  <w:vAlign w:val="center"/>
                </w:tcPr>
                <w:p w14:paraId="17F21065">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r w14:paraId="30A1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7" w:type="dxa"/>
                  <w:shd w:val="clear" w:color="auto" w:fill="auto"/>
                  <w:noWrap w:val="0"/>
                  <w:vAlign w:val="center"/>
                </w:tcPr>
                <w:p w14:paraId="70DEFF90">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烟气黑度</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（林格曼黑度，级）</w:t>
                  </w:r>
                </w:p>
              </w:tc>
              <w:tc>
                <w:tcPr>
                  <w:tcW w:w="5272" w:type="dxa"/>
                  <w:gridSpan w:val="3"/>
                  <w:shd w:val="clear" w:color="auto" w:fill="7F7F7F"/>
                  <w:noWrap w:val="0"/>
                  <w:vAlign w:val="center"/>
                </w:tcPr>
                <w:p w14:paraId="3731FA4B">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≤1</w:t>
                  </w:r>
                </w:p>
              </w:tc>
              <w:tc>
                <w:tcPr>
                  <w:tcW w:w="1758" w:type="dxa"/>
                  <w:noWrap w:val="0"/>
                  <w:vAlign w:val="center"/>
                </w:tcPr>
                <w:p w14:paraId="440979E3">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default" w:ascii="Times New Roman" w:hAnsi="Times New Roman" w:cs="Times New Roman"/>
                      <w:b w:val="0"/>
                      <w:bCs/>
                      <w:color w:val="000000" w:themeColor="text1"/>
                      <w:sz w:val="21"/>
                      <w:szCs w:val="21"/>
                      <w:lang w:val="en-US" w:eastAsia="zh-CN"/>
                      <w14:textFill>
                        <w14:solidFill>
                          <w14:schemeClr w14:val="tx1"/>
                        </w14:solidFill>
                      </w14:textFill>
                    </w:rPr>
                    <w:t>烟囱排放口</w:t>
                  </w:r>
                </w:p>
              </w:tc>
            </w:tr>
            <w:tr w14:paraId="0542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7" w:type="dxa"/>
                  <w:gridSpan w:val="5"/>
                  <w:noWrap w:val="0"/>
                  <w:vAlign w:val="center"/>
                </w:tcPr>
                <w:p w14:paraId="2F9BF5EF">
                  <w:pPr>
                    <w:pStyle w:val="34"/>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注：氮氧化物</w:t>
                  </w:r>
                  <w:r>
                    <w:rPr>
                      <w:rFonts w:hint="eastAsia" w:cs="Times New Roman"/>
                      <w:b w:val="0"/>
                      <w:bCs/>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50mg/m</w:t>
                  </w:r>
                  <w:r>
                    <w:rPr>
                      <w:rFonts w:hint="eastAsia" w:ascii="Times New Roman" w:hAnsi="Times New Roman" w:cs="Times New Roman"/>
                      <w:b w:val="0"/>
                      <w:bCs/>
                      <w:color w:val="000000" w:themeColor="text1"/>
                      <w:sz w:val="21"/>
                      <w:szCs w:val="21"/>
                      <w:vertAlign w:val="superscript"/>
                      <w:lang w:val="en-US" w:eastAsia="zh-CN"/>
                      <w14:textFill>
                        <w14:solidFill>
                          <w14:schemeClr w14:val="tx1"/>
                        </w14:solidFill>
                      </w14:textFill>
                    </w:rPr>
                    <w:t>3</w:t>
                  </w:r>
                </w:p>
              </w:tc>
            </w:tr>
          </w:tbl>
          <w:p w14:paraId="1A2C749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3、噪声排放标准</w:t>
            </w:r>
          </w:p>
          <w:p w14:paraId="4B472C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b/>
                <w:snapToGrid/>
                <w:color w:val="000000" w:themeColor="text1"/>
                <w:spacing w:val="0"/>
                <w:kern w:val="0"/>
                <w:position w:val="0"/>
                <w:sz w:val="24"/>
                <w14:textFill>
                  <w14:solidFill>
                    <w14:schemeClr w14:val="tx1"/>
                  </w14:solidFill>
                </w14:textFill>
              </w:rPr>
            </w:pPr>
            <w:r>
              <w:rPr>
                <w:rFonts w:hint="eastAsia" w:ascii="Times New Roman" w:hAnsi="Times New Roman" w:eastAsia="宋体"/>
                <w:color w:val="000000" w:themeColor="text1"/>
                <w:sz w:val="24"/>
                <w:lang w:val="en-US" w:eastAsia="zh-CN"/>
                <w14:textFill>
                  <w14:solidFill>
                    <w14:schemeClr w14:val="tx1"/>
                  </w14:solidFill>
                </w14:textFill>
              </w:rPr>
              <w:t>评级区域</w:t>
            </w:r>
            <w:r>
              <w:rPr>
                <w:rFonts w:hint="eastAsia"/>
                <w:color w:val="000000" w:themeColor="text1"/>
                <w:sz w:val="24"/>
                <w:lang w:val="en-US" w:eastAsia="zh-CN"/>
                <w14:textFill>
                  <w14:solidFill>
                    <w14:schemeClr w14:val="tx1"/>
                  </w14:solidFill>
                </w14:textFill>
              </w:rPr>
              <w:t>内</w:t>
            </w:r>
            <w:r>
              <w:rPr>
                <w:rFonts w:hint="eastAsia" w:ascii="Times New Roman" w:hAnsi="Times New Roman" w:eastAsia="宋体"/>
                <w:color w:val="000000" w:themeColor="text1"/>
                <w:sz w:val="24"/>
                <w:lang w:val="en-US" w:eastAsia="zh-CN"/>
                <w14:textFill>
                  <w14:solidFill>
                    <w14:schemeClr w14:val="tx1"/>
                  </w14:solidFill>
                </w14:textFill>
              </w:rPr>
              <w:t>施工期噪声执行《建筑施工场界环境噪声排放标准》 （GB12523-20</w:t>
            </w:r>
            <w:r>
              <w:rPr>
                <w:rFonts w:hint="eastAsia"/>
                <w:color w:val="000000" w:themeColor="text1"/>
                <w:sz w:val="24"/>
                <w:lang w:val="en-US" w:eastAsia="zh-CN"/>
                <w14:textFill>
                  <w14:solidFill>
                    <w14:schemeClr w14:val="tx1"/>
                  </w14:solidFill>
                </w14:textFill>
              </w:rPr>
              <w:t>25</w:t>
            </w:r>
            <w:r>
              <w:rPr>
                <w:rFonts w:hint="eastAsia" w:ascii="Times New Roman" w:hAnsi="Times New Roman" w:eastAsia="宋体"/>
                <w:color w:val="000000" w:themeColor="text1"/>
                <w:sz w:val="24"/>
                <w:lang w:val="en-US" w:eastAsia="zh-CN"/>
                <w14:textFill>
                  <w14:solidFill>
                    <w14:schemeClr w14:val="tx1"/>
                  </w14:solidFill>
                </w14:textFill>
              </w:rPr>
              <w:t>）中标准限值要求；</w:t>
            </w:r>
            <w:r>
              <w:rPr>
                <w:rFonts w:hint="default" w:ascii="Times New Roman" w:hAnsi="Times New Roman" w:eastAsia="宋体" w:cs="Times New Roman"/>
                <w:snapToGrid/>
                <w:color w:val="000000" w:themeColor="text1"/>
                <w:spacing w:val="0"/>
                <w:kern w:val="0"/>
                <w:position w:val="0"/>
                <w:sz w:val="24"/>
                <w14:textFill>
                  <w14:solidFill>
                    <w14:schemeClr w14:val="tx1"/>
                  </w14:solidFill>
                </w14:textFill>
              </w:rPr>
              <w:t>评价区域</w:t>
            </w:r>
            <w:r>
              <w:rPr>
                <w:rFonts w:hint="eastAsia" w:ascii="Times New Roman" w:hAnsi="Times New Roman"/>
                <w:snapToGrid/>
                <w:color w:val="000000" w:themeColor="text1"/>
                <w:spacing w:val="0"/>
                <w:kern w:val="0"/>
                <w:position w:val="0"/>
                <w:sz w:val="24"/>
                <w14:textFill>
                  <w14:solidFill>
                    <w14:schemeClr w14:val="tx1"/>
                  </w14:solidFill>
                </w14:textFill>
              </w:rPr>
              <w:t>运营</w:t>
            </w:r>
            <w:r>
              <w:rPr>
                <w:rFonts w:ascii="Times New Roman" w:hAnsi="Times New Roman"/>
                <w:snapToGrid/>
                <w:color w:val="000000" w:themeColor="text1"/>
                <w:spacing w:val="0"/>
                <w:kern w:val="0"/>
                <w:position w:val="0"/>
                <w:sz w:val="24"/>
                <w14:textFill>
                  <w14:solidFill>
                    <w14:schemeClr w14:val="tx1"/>
                  </w14:solidFill>
                </w14:textFill>
              </w:rPr>
              <w:t>期噪声执行《工业企业厂界环境噪声排放标准》（GB12348-2008）中</w:t>
            </w:r>
            <w:r>
              <w:rPr>
                <w:rFonts w:hint="eastAsia"/>
                <w:snapToGrid/>
                <w:color w:val="000000" w:themeColor="text1"/>
                <w:spacing w:val="0"/>
                <w:kern w:val="0"/>
                <w:position w:val="0"/>
                <w:sz w:val="24"/>
                <w:lang w:val="en-US" w:eastAsia="zh-CN"/>
                <w14:textFill>
                  <w14:solidFill>
                    <w14:schemeClr w14:val="tx1"/>
                  </w14:solidFill>
                </w14:textFill>
              </w:rPr>
              <w:t>3</w:t>
            </w:r>
            <w:r>
              <w:rPr>
                <w:rFonts w:ascii="Times New Roman" w:hAnsi="Times New Roman"/>
                <w:snapToGrid/>
                <w:color w:val="000000" w:themeColor="text1"/>
                <w:spacing w:val="0"/>
                <w:kern w:val="0"/>
                <w:position w:val="0"/>
                <w:sz w:val="24"/>
                <w14:textFill>
                  <w14:solidFill>
                    <w14:schemeClr w14:val="tx1"/>
                  </w14:solidFill>
                </w14:textFill>
              </w:rPr>
              <w:t>类标准。其标准限值见</w:t>
            </w:r>
            <w:r>
              <w:rPr>
                <w:rFonts w:hint="eastAsia"/>
                <w:snapToGrid/>
                <w:color w:val="000000" w:themeColor="text1"/>
                <w:spacing w:val="0"/>
                <w:kern w:val="0"/>
                <w:position w:val="0"/>
                <w:sz w:val="24"/>
                <w:lang w:eastAsia="zh-CN"/>
                <w14:textFill>
                  <w14:solidFill>
                    <w14:schemeClr w14:val="tx1"/>
                  </w14:solidFill>
                </w14:textFill>
              </w:rPr>
              <w:t>下</w:t>
            </w:r>
            <w:r>
              <w:rPr>
                <w:rFonts w:ascii="Times New Roman" w:hAnsi="Times New Roman"/>
                <w:snapToGrid/>
                <w:color w:val="000000" w:themeColor="text1"/>
                <w:spacing w:val="0"/>
                <w:kern w:val="0"/>
                <w:position w:val="0"/>
                <w:sz w:val="24"/>
                <w14:textFill>
                  <w14:solidFill>
                    <w14:schemeClr w14:val="tx1"/>
                  </w14:solidFill>
                </w14:textFill>
              </w:rPr>
              <w:t>表。</w:t>
            </w:r>
          </w:p>
          <w:p w14:paraId="066498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color w:val="000000" w:themeColor="text1"/>
                <w14:textFill>
                  <w14:solidFill>
                    <w14:schemeClr w14:val="tx1"/>
                  </w14:solidFill>
                </w14:textFill>
              </w:rPr>
            </w:pPr>
            <w:r>
              <w:rPr>
                <w:rFonts w:hint="eastAsia" w:ascii="Times New Roman" w:hAnsi="Times New Roman" w:eastAsia="宋体"/>
                <w:b/>
                <w:bCs/>
                <w:color w:val="000000" w:themeColor="text1"/>
                <w:sz w:val="24"/>
                <w:lang w:val="en-US" w:eastAsia="zh-CN"/>
                <w14:textFill>
                  <w14:solidFill>
                    <w14:schemeClr w14:val="tx1"/>
                  </w14:solidFill>
                </w14:textFill>
              </w:rPr>
              <w:t>表3.</w:t>
            </w:r>
            <w:r>
              <w:rPr>
                <w:rFonts w:hint="eastAsia"/>
                <w:b/>
                <w:bCs/>
                <w:color w:val="000000" w:themeColor="text1"/>
                <w:sz w:val="24"/>
                <w:lang w:val="en-US" w:eastAsia="zh-CN"/>
                <w14:textFill>
                  <w14:solidFill>
                    <w14:schemeClr w14:val="tx1"/>
                  </w14:solidFill>
                </w14:textFill>
              </w:rPr>
              <w:t xml:space="preserve">6 </w:t>
            </w:r>
            <w:r>
              <w:rPr>
                <w:rFonts w:hint="eastAsia" w:ascii="Times New Roman" w:hAnsi="Times New Roman" w:eastAsia="宋体"/>
                <w:b/>
                <w:bCs/>
                <w:color w:val="000000" w:themeColor="text1"/>
                <w:sz w:val="24"/>
                <w:lang w:val="en-US" w:eastAsia="zh-CN"/>
                <w14:textFill>
                  <w14:solidFill>
                    <w14:schemeClr w14:val="tx1"/>
                  </w14:solidFill>
                </w14:textFill>
              </w:rPr>
              <w:t xml:space="preserve"> 建筑施工场界噪声排放标准 </w:t>
            </w:r>
            <w:r>
              <w:rPr>
                <w:rFonts w:hint="eastAsia" w:ascii="Times New Roman" w:hAnsi="Times New Roman" w:eastAsia="宋体"/>
                <w:b/>
                <w:bCs/>
                <w:color w:val="000000" w:themeColor="text1"/>
                <w:sz w:val="24"/>
                <w14:textFill>
                  <w14:solidFill>
                    <w14:schemeClr w14:val="tx1"/>
                  </w14:solidFill>
                </w14:textFill>
              </w:rPr>
              <w:t>单位：dB（A）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1"/>
              <w:gridCol w:w="4101"/>
            </w:tblGrid>
            <w:tr w14:paraId="74CF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noWrap w:val="0"/>
                  <w:vAlign w:val="center"/>
                </w:tcPr>
                <w:p w14:paraId="7998A42C">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昼间</w:t>
                  </w:r>
                </w:p>
              </w:tc>
              <w:tc>
                <w:tcPr>
                  <w:tcW w:w="4427" w:type="dxa"/>
                  <w:noWrap w:val="0"/>
                  <w:vAlign w:val="center"/>
                </w:tcPr>
                <w:p w14:paraId="01561FE9">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夜间</w:t>
                  </w:r>
                </w:p>
              </w:tc>
            </w:tr>
            <w:tr w14:paraId="2537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noWrap w:val="0"/>
                  <w:vAlign w:val="center"/>
                </w:tcPr>
                <w:p w14:paraId="2A4E8011">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70</w:t>
                  </w:r>
                </w:p>
              </w:tc>
              <w:tc>
                <w:tcPr>
                  <w:tcW w:w="4427" w:type="dxa"/>
                  <w:noWrap w:val="0"/>
                  <w:vAlign w:val="center"/>
                </w:tcPr>
                <w:p w14:paraId="6BE07832">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b w:val="0"/>
                      <w:bCs w:val="0"/>
                      <w:color w:val="000000" w:themeColor="text1"/>
                      <w:sz w:val="21"/>
                      <w:szCs w:val="21"/>
                      <w:vertAlign w:val="baseline"/>
                      <w:lang w:val="en-US" w:eastAsia="zh-CN"/>
                      <w14:textFill>
                        <w14:solidFill>
                          <w14:schemeClr w14:val="tx1"/>
                        </w14:solidFill>
                      </w14:textFill>
                    </w:rPr>
                    <w:t>55</w:t>
                  </w:r>
                </w:p>
              </w:tc>
            </w:tr>
          </w:tbl>
          <w:p w14:paraId="383AA95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9"/>
              <w:rPr>
                <w:rFonts w:hint="eastAsia" w:ascii="Times New Roman" w:hAnsi="Times New Roman"/>
                <w:b/>
                <w:snapToGrid/>
                <w:color w:val="000000" w:themeColor="text1"/>
                <w:spacing w:val="0"/>
                <w:kern w:val="0"/>
                <w:position w:val="0"/>
                <w:sz w:val="24"/>
                <w14:textFill>
                  <w14:solidFill>
                    <w14:schemeClr w14:val="tx1"/>
                  </w14:solidFill>
                </w14:textFill>
              </w:rPr>
            </w:pPr>
            <w:r>
              <w:rPr>
                <w:rFonts w:hint="eastAsia" w:ascii="Times New Roman" w:hAnsi="Times New Roman"/>
                <w:b/>
                <w:snapToGrid/>
                <w:color w:val="000000" w:themeColor="text1"/>
                <w:spacing w:val="0"/>
                <w:kern w:val="0"/>
                <w:position w:val="0"/>
                <w:sz w:val="24"/>
                <w14:textFill>
                  <w14:solidFill>
                    <w14:schemeClr w14:val="tx1"/>
                  </w14:solidFill>
                </w14:textFill>
              </w:rPr>
              <w:t>表</w:t>
            </w:r>
            <w:r>
              <w:rPr>
                <w:rFonts w:hint="eastAsia" w:ascii="Times New Roman" w:hAnsi="Times New Roman"/>
                <w:b/>
                <w:snapToGrid/>
                <w:color w:val="000000" w:themeColor="text1"/>
                <w:spacing w:val="0"/>
                <w:kern w:val="0"/>
                <w:position w:val="0"/>
                <w:sz w:val="24"/>
                <w:lang w:val="en-US" w:eastAsia="zh-CN"/>
                <w14:textFill>
                  <w14:solidFill>
                    <w14:schemeClr w14:val="tx1"/>
                  </w14:solidFill>
                </w14:textFill>
              </w:rPr>
              <w:t>3.</w:t>
            </w:r>
            <w:r>
              <w:rPr>
                <w:rFonts w:hint="eastAsia"/>
                <w:b/>
                <w:snapToGrid/>
                <w:color w:val="000000" w:themeColor="text1"/>
                <w:spacing w:val="0"/>
                <w:kern w:val="0"/>
                <w:position w:val="0"/>
                <w:sz w:val="24"/>
                <w:lang w:val="en-US" w:eastAsia="zh-CN"/>
                <w14:textFill>
                  <w14:solidFill>
                    <w14:schemeClr w14:val="tx1"/>
                  </w14:solidFill>
                </w14:textFill>
              </w:rPr>
              <w:t xml:space="preserve">7  </w:t>
            </w:r>
            <w:r>
              <w:rPr>
                <w:rFonts w:hint="eastAsia" w:ascii="Times New Roman" w:hAnsi="Times New Roman"/>
                <w:b/>
                <w:snapToGrid/>
                <w:color w:val="000000" w:themeColor="text1"/>
                <w:spacing w:val="0"/>
                <w:kern w:val="0"/>
                <w:position w:val="0"/>
                <w:sz w:val="24"/>
                <w14:textFill>
                  <w14:solidFill>
                    <w14:schemeClr w14:val="tx1"/>
                  </w14:solidFill>
                </w14:textFill>
              </w:rPr>
              <w:t>工业企业厂界环境噪声排放标准 单位：dB（A）</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3736"/>
              <w:gridCol w:w="2453"/>
              <w:gridCol w:w="2023"/>
            </w:tblGrid>
            <w:tr w14:paraId="242A6A4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35" w:type="dxa"/>
                  <w:tcBorders>
                    <w:top w:val="single" w:color="auto" w:sz="8" w:space="0"/>
                    <w:left w:val="single" w:color="auto" w:sz="8" w:space="0"/>
                    <w:bottom w:val="single" w:color="auto" w:sz="8" w:space="0"/>
                  </w:tcBorders>
                  <w:noWrap w:val="0"/>
                  <w:vAlign w:val="center"/>
                </w:tcPr>
                <w:p w14:paraId="59A8996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ascii="Times New Roman" w:hAnsi="Times New Roman"/>
                      <w:bCs/>
                      <w:snapToGrid/>
                      <w:color w:val="000000" w:themeColor="text1"/>
                      <w:spacing w:val="0"/>
                      <w:kern w:val="0"/>
                      <w:position w:val="0"/>
                      <w:sz w:val="21"/>
                      <w:szCs w:val="21"/>
                      <w:lang w:val="zh-CN"/>
                      <w14:textFill>
                        <w14:solidFill>
                          <w14:schemeClr w14:val="tx1"/>
                        </w14:solidFill>
                      </w14:textFill>
                    </w:rPr>
                    <w:t>声环境功能区类别</w:t>
                  </w:r>
                </w:p>
              </w:tc>
              <w:tc>
                <w:tcPr>
                  <w:tcW w:w="2643" w:type="dxa"/>
                  <w:tcBorders>
                    <w:top w:val="single" w:color="auto" w:sz="8" w:space="0"/>
                    <w:bottom w:val="single" w:color="auto" w:sz="8" w:space="0"/>
                  </w:tcBorders>
                  <w:noWrap w:val="0"/>
                  <w:vAlign w:val="center"/>
                </w:tcPr>
                <w:p w14:paraId="078E92C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ascii="Times New Roman" w:hAnsi="Times New Roman"/>
                      <w:bCs/>
                      <w:snapToGrid/>
                      <w:color w:val="000000" w:themeColor="text1"/>
                      <w:spacing w:val="0"/>
                      <w:kern w:val="0"/>
                      <w:position w:val="0"/>
                      <w:sz w:val="21"/>
                      <w:szCs w:val="21"/>
                      <w:lang w:val="zh-CN"/>
                      <w14:textFill>
                        <w14:solidFill>
                          <w14:schemeClr w14:val="tx1"/>
                        </w14:solidFill>
                      </w14:textFill>
                    </w:rPr>
                    <w:t>昼间</w:t>
                  </w:r>
                </w:p>
              </w:tc>
              <w:tc>
                <w:tcPr>
                  <w:tcW w:w="2177" w:type="dxa"/>
                  <w:tcBorders>
                    <w:top w:val="single" w:color="auto" w:sz="8" w:space="0"/>
                    <w:bottom w:val="single" w:color="auto" w:sz="8" w:space="0"/>
                    <w:right w:val="single" w:color="auto" w:sz="8" w:space="0"/>
                  </w:tcBorders>
                  <w:noWrap w:val="0"/>
                  <w:vAlign w:val="center"/>
                </w:tcPr>
                <w:p w14:paraId="38351F6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ascii="Times New Roman" w:hAnsi="Times New Roman"/>
                      <w:bCs/>
                      <w:snapToGrid/>
                      <w:color w:val="000000" w:themeColor="text1"/>
                      <w:spacing w:val="0"/>
                      <w:kern w:val="0"/>
                      <w:position w:val="0"/>
                      <w:sz w:val="21"/>
                      <w:szCs w:val="21"/>
                      <w:lang w:val="zh-CN"/>
                      <w14:textFill>
                        <w14:solidFill>
                          <w14:schemeClr w14:val="tx1"/>
                        </w14:solidFill>
                      </w14:textFill>
                    </w:rPr>
                    <w:t>夜间</w:t>
                  </w:r>
                </w:p>
              </w:tc>
            </w:tr>
            <w:tr w14:paraId="658B807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035" w:type="dxa"/>
                  <w:tcBorders>
                    <w:top w:val="single" w:color="auto" w:sz="8" w:space="0"/>
                    <w:left w:val="single" w:color="auto" w:sz="8" w:space="0"/>
                    <w:bottom w:val="single" w:color="auto" w:sz="8" w:space="0"/>
                  </w:tcBorders>
                  <w:noWrap w:val="0"/>
                  <w:vAlign w:val="center"/>
                </w:tcPr>
                <w:p w14:paraId="5537C9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ascii="Times New Roman" w:hAnsi="Times New Roman"/>
                      <w:bCs/>
                      <w:snapToGrid/>
                      <w:color w:val="000000" w:themeColor="text1"/>
                      <w:spacing w:val="0"/>
                      <w:kern w:val="0"/>
                      <w:position w:val="0"/>
                      <w:sz w:val="21"/>
                      <w:szCs w:val="21"/>
                      <w:lang w:val="zh-CN"/>
                      <w14:textFill>
                        <w14:solidFill>
                          <w14:schemeClr w14:val="tx1"/>
                        </w14:solidFill>
                      </w14:textFill>
                    </w:rPr>
                  </w:pPr>
                  <w:r>
                    <w:rPr>
                      <w:rFonts w:hint="eastAsia"/>
                      <w:bCs/>
                      <w:snapToGrid/>
                      <w:color w:val="000000" w:themeColor="text1"/>
                      <w:spacing w:val="0"/>
                      <w:kern w:val="0"/>
                      <w:position w:val="0"/>
                      <w:sz w:val="21"/>
                      <w:szCs w:val="21"/>
                      <w:lang w:val="en-US" w:eastAsia="zh-CN"/>
                      <w14:textFill>
                        <w14:solidFill>
                          <w14:schemeClr w14:val="tx1"/>
                        </w14:solidFill>
                      </w14:textFill>
                    </w:rPr>
                    <w:t>3类</w:t>
                  </w:r>
                </w:p>
              </w:tc>
              <w:tc>
                <w:tcPr>
                  <w:tcW w:w="2643" w:type="dxa"/>
                  <w:tcBorders>
                    <w:top w:val="single" w:color="auto" w:sz="8" w:space="0"/>
                    <w:bottom w:val="single" w:color="auto" w:sz="8" w:space="0"/>
                  </w:tcBorders>
                  <w:noWrap w:val="0"/>
                  <w:vAlign w:val="center"/>
                </w:tcPr>
                <w:p w14:paraId="5B8BA1C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default" w:ascii="Times New Roman" w:hAnsi="Times New Roman" w:eastAsia="宋体"/>
                      <w:bCs/>
                      <w:snapToGrid/>
                      <w:color w:val="000000" w:themeColor="text1"/>
                      <w:spacing w:val="0"/>
                      <w:kern w:val="0"/>
                      <w:position w:val="0"/>
                      <w:sz w:val="21"/>
                      <w:szCs w:val="21"/>
                      <w:lang w:val="en-US" w:eastAsia="zh-CN"/>
                      <w14:textFill>
                        <w14:solidFill>
                          <w14:schemeClr w14:val="tx1"/>
                        </w14:solidFill>
                      </w14:textFill>
                    </w:rPr>
                  </w:pPr>
                  <w:r>
                    <w:rPr>
                      <w:rFonts w:hint="eastAsia"/>
                      <w:bCs/>
                      <w:snapToGrid/>
                      <w:color w:val="000000" w:themeColor="text1"/>
                      <w:spacing w:val="0"/>
                      <w:kern w:val="0"/>
                      <w:position w:val="0"/>
                      <w:sz w:val="21"/>
                      <w:szCs w:val="21"/>
                      <w:lang w:val="en-US" w:eastAsia="zh-CN"/>
                      <w14:textFill>
                        <w14:solidFill>
                          <w14:schemeClr w14:val="tx1"/>
                        </w14:solidFill>
                      </w14:textFill>
                    </w:rPr>
                    <w:t>65</w:t>
                  </w:r>
                </w:p>
              </w:tc>
              <w:tc>
                <w:tcPr>
                  <w:tcW w:w="2177" w:type="dxa"/>
                  <w:tcBorders>
                    <w:top w:val="single" w:color="auto" w:sz="8" w:space="0"/>
                    <w:bottom w:val="single" w:color="auto" w:sz="8" w:space="0"/>
                    <w:right w:val="single" w:color="auto" w:sz="8" w:space="0"/>
                  </w:tcBorders>
                  <w:noWrap w:val="0"/>
                  <w:vAlign w:val="center"/>
                </w:tcPr>
                <w:p w14:paraId="075455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default" w:ascii="Times New Roman" w:hAnsi="Times New Roman" w:eastAsia="宋体"/>
                      <w:bCs/>
                      <w:snapToGrid/>
                      <w:color w:val="000000" w:themeColor="text1"/>
                      <w:spacing w:val="0"/>
                      <w:kern w:val="0"/>
                      <w:position w:val="0"/>
                      <w:sz w:val="21"/>
                      <w:szCs w:val="21"/>
                      <w:lang w:val="en-US" w:eastAsia="zh-CN"/>
                      <w14:textFill>
                        <w14:solidFill>
                          <w14:schemeClr w14:val="tx1"/>
                        </w14:solidFill>
                      </w14:textFill>
                    </w:rPr>
                  </w:pPr>
                  <w:r>
                    <w:rPr>
                      <w:rFonts w:hint="eastAsia"/>
                      <w:bCs/>
                      <w:snapToGrid/>
                      <w:color w:val="000000" w:themeColor="text1"/>
                      <w:spacing w:val="0"/>
                      <w:kern w:val="0"/>
                      <w:position w:val="0"/>
                      <w:sz w:val="21"/>
                      <w:szCs w:val="21"/>
                      <w:lang w:val="en-US" w:eastAsia="zh-CN"/>
                      <w14:textFill>
                        <w14:solidFill>
                          <w14:schemeClr w14:val="tx1"/>
                        </w14:solidFill>
                      </w14:textFill>
                    </w:rPr>
                    <w:t>55</w:t>
                  </w:r>
                </w:p>
              </w:tc>
            </w:tr>
          </w:tbl>
          <w:p w14:paraId="7891BA1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4、固废排放标准</w:t>
            </w:r>
          </w:p>
          <w:p w14:paraId="7C4D46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一</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般固体废物的贮存执行《中华人民共和国固体废物污染环境防治法》的贮存要求，参照《一般工业固体废物贮存和填埋污染控制标准》（GB18599-2020）。</w:t>
            </w:r>
          </w:p>
          <w:p w14:paraId="406C1B0D">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203B377">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9F24A05">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2FCEFFE6">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56BD06F">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02A01710">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6B4C04E5">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16CED6BA">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78D4EBF5">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6672FE76">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739163FB">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454D1C83">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21FABEC8">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6CA1660B">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5AD5FFF8">
            <w:pPr>
              <w:adjustRightInd w:val="0"/>
              <w:snapToGrid w:val="0"/>
              <w:jc w:val="center"/>
              <w:rPr>
                <w:rFonts w:hint="eastAsia" w:cs="Times New Roman"/>
                <w:snapToGrid/>
                <w:color w:val="000000" w:themeColor="text1"/>
                <w:spacing w:val="0"/>
                <w:kern w:val="0"/>
                <w:position w:val="0"/>
                <w:szCs w:val="21"/>
                <w:lang w:val="en-US" w:eastAsia="zh-CN"/>
                <w14:textFill>
                  <w14:solidFill>
                    <w14:schemeClr w14:val="tx1"/>
                  </w14:solidFill>
                </w14:textFill>
              </w:rPr>
            </w:pPr>
          </w:p>
          <w:p w14:paraId="2A1A78C3">
            <w:pPr>
              <w:adjustRightInd w:val="0"/>
              <w:snapToGrid w:val="0"/>
              <w:jc w:val="both"/>
              <w:rPr>
                <w:rFonts w:hint="default" w:ascii="Times New Roman" w:hAnsi="Times New Roman" w:eastAsia="宋体" w:cs="Times New Roman"/>
                <w:snapToGrid/>
                <w:color w:val="000000" w:themeColor="text1"/>
                <w:spacing w:val="0"/>
                <w:kern w:val="0"/>
                <w:position w:val="0"/>
                <w:szCs w:val="21"/>
                <w:lang w:val="en-US" w:eastAsia="zh-CN"/>
                <w14:textFill>
                  <w14:solidFill>
                    <w14:schemeClr w14:val="tx1"/>
                  </w14:solidFill>
                </w14:textFill>
              </w:rPr>
            </w:pPr>
          </w:p>
        </w:tc>
      </w:tr>
      <w:tr w14:paraId="09A08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14" w:hRule="atLeast"/>
          <w:jc w:val="center"/>
        </w:trPr>
        <w:tc>
          <w:tcPr>
            <w:tcW w:w="567" w:type="dxa"/>
            <w:tcBorders>
              <w:tl2br w:val="nil"/>
              <w:tr2bl w:val="nil"/>
            </w:tcBorders>
            <w:noWrap w:val="0"/>
            <w:vAlign w:val="center"/>
          </w:tcPr>
          <w:p w14:paraId="48A5B61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总量</w:t>
            </w:r>
          </w:p>
          <w:p w14:paraId="68132BC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控制</w:t>
            </w:r>
          </w:p>
          <w:p w14:paraId="3DAAA6B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指标</w:t>
            </w:r>
          </w:p>
        </w:tc>
        <w:tc>
          <w:tcPr>
            <w:tcW w:w="8539" w:type="dxa"/>
            <w:tcBorders>
              <w:tl2br w:val="nil"/>
              <w:tr2bl w:val="nil"/>
            </w:tcBorders>
            <w:noWrap w:val="0"/>
            <w:vAlign w:val="center"/>
          </w:tcPr>
          <w:p w14:paraId="5B559E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《关于进一步加强建设项目新增大气主要污染物总量指标管理工作的通知》（安徽省环保厅（皖环发【2017】19号）</w:t>
            </w:r>
            <w:r>
              <w:rPr>
                <w:rFonts w:hint="eastAsia" w:ascii="Times New Roman" w:hAnsi="Times New Roman" w:cs="宋体"/>
                <w:color w:val="000000" w:themeColor="text1"/>
                <w:sz w:val="24"/>
                <w:szCs w:val="24"/>
                <w14:textFill>
                  <w14:solidFill>
                    <w14:schemeClr w14:val="tx1"/>
                  </w14:solidFill>
                </w14:textFill>
              </w:rPr>
              <w:t>：“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如下：</w:t>
            </w:r>
          </w:p>
          <w:p w14:paraId="76B0175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自2017年04月起，新增大气主要污染物排放的建设项目环境影响评价文件审批前必须取得的总量指标从两项增加为四项。在二氧化硫（SO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）、氮氧化物（NO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）的基础上增加烟（粉）尘、挥发性有机物（VOCs）两项指标。</w:t>
            </w:r>
          </w:p>
          <w:p w14:paraId="1E553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snapToGrid/>
                <w:color w:val="000000" w:themeColor="text1"/>
                <w:spacing w:val="0"/>
                <w:kern w:val="0"/>
                <w:position w:val="0"/>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生活污水</w:t>
            </w:r>
            <w:r>
              <w:rPr>
                <w:rFonts w:hint="eastAsia" w:cs="Times New Roman"/>
                <w:color w:val="000000" w:themeColor="text1"/>
                <w:sz w:val="24"/>
                <w:szCs w:val="24"/>
                <w:highlight w:val="none"/>
                <w:lang w:val="en-US" w:eastAsia="zh-CN"/>
                <w14:textFill>
                  <w14:solidFill>
                    <w14:schemeClr w14:val="tx1"/>
                  </w14:solidFill>
                </w14:textFill>
              </w:rPr>
              <w:t>和生产废水</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经</w:t>
            </w:r>
            <w:r>
              <w:rPr>
                <w:rFonts w:hint="eastAsia" w:cs="Times New Roman"/>
                <w:color w:val="000000" w:themeColor="text1"/>
                <w:sz w:val="24"/>
                <w:szCs w:val="24"/>
                <w:highlight w:val="none"/>
                <w:lang w:val="en-US" w:eastAsia="zh-CN"/>
                <w14:textFill>
                  <w14:solidFill>
                    <w14:schemeClr w14:val="tx1"/>
                  </w14:solidFill>
                </w14:textFill>
              </w:rPr>
              <w:t>污水处理站</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预处理后</w:t>
            </w:r>
            <w:r>
              <w:rPr>
                <w:rFonts w:hint="default" w:ascii="Times New Roman" w:hAnsi="Times New Roman" w:eastAsia="宋体" w:cs="Times New Roman"/>
                <w:color w:val="000000" w:themeColor="text1"/>
                <w:sz w:val="24"/>
                <w:szCs w:val="24"/>
                <w14:textFill>
                  <w14:solidFill>
                    <w14:schemeClr w14:val="tx1"/>
                  </w14:solidFill>
                </w14:textFill>
              </w:rPr>
              <w:t>达</w:t>
            </w:r>
            <w:r>
              <w:rPr>
                <w:rFonts w:hint="eastAsia" w:cs="Times New Roman"/>
                <w:color w:val="000000" w:themeColor="text1"/>
                <w:sz w:val="24"/>
                <w:szCs w:val="24"/>
                <w:lang w:eastAsia="zh-CN"/>
                <w14:textFill>
                  <w14:solidFill>
                    <w14:schemeClr w14:val="tx1"/>
                  </w14:solidFill>
                </w14:textFill>
              </w:rPr>
              <w:t>到</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接管标准限值后排入</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集中处理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COD</w:t>
            </w:r>
            <w:r>
              <w:rPr>
                <w:rFonts w:hint="default" w:ascii="Times New Roman" w:hAnsi="Times New Roman" w:cs="Times New Roman"/>
                <w:color w:val="000000" w:themeColor="text1"/>
                <w:sz w:val="24"/>
                <w:szCs w:val="24"/>
                <w:lang w:val="en-US" w:eastAsia="zh-CN"/>
                <w14:textFill>
                  <w14:solidFill>
                    <w14:schemeClr w14:val="tx1"/>
                  </w14:solidFill>
                </w14:textFill>
              </w:rPr>
              <w:t>、NH3-N的</w:t>
            </w:r>
            <w:r>
              <w:rPr>
                <w:rFonts w:hint="eastAsia" w:ascii="Times New Roman" w:hAnsi="Times New Roman" w:cs="Times New Roman"/>
                <w:color w:val="000000" w:themeColor="text1"/>
                <w:sz w:val="24"/>
                <w:szCs w:val="24"/>
                <w:lang w:val="en-US" w:eastAsia="zh-CN"/>
                <w14:textFill>
                  <w14:solidFill>
                    <w14:schemeClr w14:val="tx1"/>
                  </w14:solidFill>
                </w14:textFill>
              </w:rPr>
              <w:t>总量指标已申请。</w:t>
            </w:r>
          </w:p>
          <w:p w14:paraId="1BADC9E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根据</w:t>
            </w:r>
            <w:r>
              <w:rPr>
                <w:rFonts w:hint="eastAsia" w:ascii="Times New Roman" w:hAnsi="Times New Roman" w:cs="Times New Roman"/>
                <w:color w:val="000000" w:themeColor="text1"/>
                <w:sz w:val="24"/>
                <w:szCs w:val="24"/>
                <w:lang w:val="en-US" w:eastAsia="zh-CN"/>
                <w14:textFill>
                  <w14:solidFill>
                    <w14:schemeClr w14:val="tx1"/>
                  </w14:solidFill>
                </w14:textFill>
              </w:rPr>
              <w:t>上述</w:t>
            </w: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与项目有关的原有环境污染问题</w:t>
            </w:r>
            <w:r>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t>现有工程污染物实际排放总量及在建工程污染物排放总量核算</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b w:val="0"/>
                <w:bCs/>
                <w:color w:val="000000" w:themeColor="text1"/>
                <w:sz w:val="24"/>
                <w:szCs w:val="24"/>
                <w:lang w:eastAsia="zh-CN"/>
                <w14:textFill>
                  <w14:solidFill>
                    <w14:schemeClr w14:val="tx1"/>
                  </w14:solidFill>
                </w14:textFill>
              </w:rPr>
              <w:t>改建</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前</w:t>
            </w:r>
            <w:r>
              <w:rPr>
                <w:color w:val="000000" w:themeColor="text1"/>
                <w:sz w:val="24"/>
                <w14:textFill>
                  <w14:solidFill>
                    <w14:schemeClr w14:val="tx1"/>
                  </w14:solidFill>
                </w14:textFill>
              </w:rPr>
              <w:t>废气污染物</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排放量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烟（粉）尘：</w:t>
            </w:r>
            <w:r>
              <w:rPr>
                <w:rFonts w:hint="eastAsia" w:cs="Times New Roman"/>
                <w:color w:val="000000" w:themeColor="text1"/>
                <w:kern w:val="0"/>
                <w:sz w:val="24"/>
                <w:szCs w:val="24"/>
                <w:lang w:val="en-US" w:eastAsia="zh-CN" w:bidi="ar"/>
                <w14:textFill>
                  <w14:solidFill>
                    <w14:schemeClr w14:val="tx1"/>
                  </w14:solidFill>
                </w14:textFill>
              </w:rPr>
              <w:t>0.024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0.012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0.254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p>
          <w:p w14:paraId="12AB5E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val="0"/>
                <w:color w:val="000000" w:themeColor="text1"/>
                <w:sz w:val="24"/>
                <w:szCs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根据主要环境影响和保护措施分析计算，本</w:t>
            </w:r>
            <w:r>
              <w:rPr>
                <w:color w:val="000000" w:themeColor="text1"/>
                <w:sz w:val="24"/>
                <w14:textFill>
                  <w14:solidFill>
                    <w14:schemeClr w14:val="tx1"/>
                  </w14:solidFill>
                </w14:textFill>
              </w:rPr>
              <w:t>项目运营期排放的废气污染物</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排放量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烟（粉）尘：</w:t>
            </w:r>
            <w:r>
              <w:rPr>
                <w:rFonts w:hint="eastAsia" w:cs="Times New Roman"/>
                <w:color w:val="000000" w:themeColor="text1"/>
                <w:kern w:val="0"/>
                <w:sz w:val="24"/>
                <w:szCs w:val="24"/>
                <w:lang w:val="en-US" w:eastAsia="zh-CN" w:bidi="ar"/>
                <w14:textFill>
                  <w14:solidFill>
                    <w14:schemeClr w14:val="tx1"/>
                  </w14:solidFill>
                </w14:textFill>
              </w:rPr>
              <w:t>0.399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0.333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0.504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t/a。</w:t>
            </w:r>
          </w:p>
          <w:p w14:paraId="3315A23F">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表3.</w:t>
            </w:r>
            <w:r>
              <w:rPr>
                <w:rFonts w:hint="eastAsia" w:cs="Times New Roman"/>
                <w:b/>
                <w:bCs/>
                <w:color w:val="000000" w:themeColor="text1"/>
                <w:sz w:val="24"/>
                <w:szCs w:val="24"/>
                <w:lang w:val="en-US" w:eastAsia="zh-CN"/>
                <w14:textFill>
                  <w14:solidFill>
                    <w14:schemeClr w14:val="tx1"/>
                  </w14:solidFill>
                </w14:textFill>
              </w:rPr>
              <w:t>8  项目</w:t>
            </w:r>
            <w:r>
              <w:rPr>
                <w:rFonts w:hint="eastAsia" w:ascii="Times New Roman" w:hAnsi="Times New Roman" w:eastAsia="宋体" w:cs="Times New Roman"/>
                <w:b/>
                <w:bCs/>
                <w:color w:val="000000" w:themeColor="text1"/>
                <w:kern w:val="2"/>
                <w:lang w:eastAsia="zh-CN"/>
                <w14:textFill>
                  <w14:solidFill>
                    <w14:schemeClr w14:val="tx1"/>
                  </w14:solidFill>
                </w14:textFill>
              </w:rPr>
              <w:t>大气污染物排放“三本帐”</w:t>
            </w:r>
            <w:r>
              <w:rPr>
                <w:rFonts w:hint="eastAsia" w:ascii="Times New Roman" w:hAnsi="Times New Roman" w:eastAsia="宋体" w:cs="Times New Roman"/>
                <w:b/>
                <w:bCs/>
                <w:color w:val="000000" w:themeColor="text1"/>
                <w:kern w:val="2"/>
                <w:lang w:val="en-US" w:eastAsia="zh-CN"/>
                <w14:textFill>
                  <w14:solidFill>
                    <w14:schemeClr w14:val="tx1"/>
                  </w14:solidFill>
                </w14:textFill>
              </w:rPr>
              <w:t xml:space="preserve"> 单位：t/a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93"/>
              <w:gridCol w:w="1343"/>
              <w:gridCol w:w="1177"/>
              <w:gridCol w:w="1177"/>
              <w:gridCol w:w="1138"/>
              <w:gridCol w:w="1331"/>
            </w:tblGrid>
            <w:tr w14:paraId="6045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46B40BEA">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类别</w:t>
                  </w:r>
                </w:p>
              </w:tc>
              <w:tc>
                <w:tcPr>
                  <w:tcW w:w="1293" w:type="dxa"/>
                  <w:noWrap w:val="0"/>
                  <w:vAlign w:val="center"/>
                </w:tcPr>
                <w:p w14:paraId="7B8AB3FE">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污染物名称</w:t>
                  </w:r>
                </w:p>
              </w:tc>
              <w:tc>
                <w:tcPr>
                  <w:tcW w:w="1343" w:type="dxa"/>
                  <w:noWrap w:val="0"/>
                  <w:vAlign w:val="center"/>
                </w:tcPr>
                <w:p w14:paraId="2ED57C38">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前排放量</w:t>
                  </w:r>
                </w:p>
              </w:tc>
              <w:tc>
                <w:tcPr>
                  <w:tcW w:w="1177" w:type="dxa"/>
                  <w:shd w:val="clear" w:color="auto" w:fill="auto"/>
                  <w:noWrap w:val="0"/>
                  <w:vAlign w:val="center"/>
                </w:tcPr>
                <w:p w14:paraId="00D91BDB">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本项目排放量</w:t>
                  </w:r>
                </w:p>
              </w:tc>
              <w:tc>
                <w:tcPr>
                  <w:tcW w:w="1177" w:type="dxa"/>
                  <w:noWrap w:val="0"/>
                  <w:vAlign w:val="center"/>
                </w:tcPr>
                <w:p w14:paraId="56407C09">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“以新带老”</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削减量</w:t>
                  </w:r>
                </w:p>
              </w:tc>
              <w:tc>
                <w:tcPr>
                  <w:tcW w:w="1138" w:type="dxa"/>
                  <w:noWrap w:val="0"/>
                  <w:vAlign w:val="center"/>
                </w:tcPr>
                <w:p w14:paraId="7164057B">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改建</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后总排放量</w:t>
                  </w:r>
                </w:p>
              </w:tc>
              <w:tc>
                <w:tcPr>
                  <w:tcW w:w="1331" w:type="dxa"/>
                  <w:noWrap w:val="0"/>
                  <w:vAlign w:val="center"/>
                </w:tcPr>
                <w:p w14:paraId="7F49EBDA">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排放增减量</w:t>
                  </w:r>
                </w:p>
              </w:tc>
            </w:tr>
            <w:tr w14:paraId="1A08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restart"/>
                  <w:shd w:val="clear" w:color="auto" w:fill="auto"/>
                  <w:noWrap w:val="0"/>
                  <w:vAlign w:val="center"/>
                </w:tcPr>
                <w:p w14:paraId="6B64E40E">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废</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气</w:t>
                  </w:r>
                </w:p>
              </w:tc>
              <w:tc>
                <w:tcPr>
                  <w:tcW w:w="1293" w:type="dxa"/>
                  <w:shd w:val="clear" w:color="auto" w:fill="auto"/>
                  <w:noWrap w:val="0"/>
                  <w:vAlign w:val="center"/>
                </w:tcPr>
                <w:p w14:paraId="44995023">
                  <w:pPr>
                    <w:keepNext w:val="0"/>
                    <w:keepLines w:val="0"/>
                    <w:pageBreakBefore w:val="0"/>
                    <w:widowControl w:val="0"/>
                    <w:kinsoku/>
                    <w:wordWrap/>
                    <w:overflowPunct/>
                    <w:topLinePunct w:val="0"/>
                    <w:autoSpaceDE/>
                    <w:autoSpaceDN/>
                    <w:bidi w:val="0"/>
                    <w:adjustRightInd w:val="0"/>
                    <w:snapToGrid w:val="0"/>
                    <w:spacing w:before="63" w:beforeLines="20" w:line="240" w:lineRule="auto"/>
                    <w:ind w:right="0" w:rightChars="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t>烟（粉）尘</w:t>
                  </w:r>
                </w:p>
              </w:tc>
              <w:tc>
                <w:tcPr>
                  <w:tcW w:w="1343" w:type="dxa"/>
                  <w:shd w:val="clear" w:color="auto" w:fill="auto"/>
                  <w:noWrap w:val="0"/>
                  <w:vAlign w:val="center"/>
                </w:tcPr>
                <w:p w14:paraId="3C2D586C">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177" w:type="dxa"/>
                  <w:shd w:val="clear" w:color="auto" w:fill="auto"/>
                  <w:noWrap w:val="0"/>
                  <w:vAlign w:val="center"/>
                </w:tcPr>
                <w:p w14:paraId="2BD42712">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1177" w:type="dxa"/>
                  <w:shd w:val="clear" w:color="auto" w:fill="auto"/>
                  <w:noWrap w:val="0"/>
                  <w:vAlign w:val="center"/>
                </w:tcPr>
                <w:p w14:paraId="2956821D">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138" w:type="dxa"/>
                  <w:shd w:val="clear" w:color="auto" w:fill="auto"/>
                  <w:noWrap w:val="0"/>
                  <w:vAlign w:val="center"/>
                </w:tcPr>
                <w:p w14:paraId="1C864A95">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1331" w:type="dxa"/>
                  <w:shd w:val="clear" w:color="auto" w:fill="auto"/>
                  <w:noWrap w:val="0"/>
                  <w:vAlign w:val="center"/>
                </w:tcPr>
                <w:p w14:paraId="6C3AFD57">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+0.375</w:t>
                  </w:r>
                </w:p>
              </w:tc>
            </w:tr>
            <w:tr w14:paraId="631A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shd w:val="clear" w:color="auto" w:fill="auto"/>
                  <w:noWrap w:val="0"/>
                  <w:vAlign w:val="center"/>
                </w:tcPr>
                <w:p w14:paraId="4BCC96C7">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93" w:type="dxa"/>
                  <w:shd w:val="clear" w:color="auto" w:fill="auto"/>
                  <w:noWrap w:val="0"/>
                  <w:vAlign w:val="center"/>
                </w:tcPr>
                <w:p w14:paraId="32F86A7A">
                  <w:pPr>
                    <w:keepNext w:val="0"/>
                    <w:keepLines w:val="0"/>
                    <w:pageBreakBefore w:val="0"/>
                    <w:widowControl w:val="0"/>
                    <w:kinsoku/>
                    <w:wordWrap/>
                    <w:overflowPunct/>
                    <w:topLinePunct w:val="0"/>
                    <w:autoSpaceDE/>
                    <w:autoSpaceDN/>
                    <w:bidi w:val="0"/>
                    <w:adjustRightInd w:val="0"/>
                    <w:snapToGrid w:val="0"/>
                    <w:spacing w:before="63" w:beforeLines="20" w:line="240" w:lineRule="auto"/>
                    <w:ind w:right="0" w:rightChars="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SO</w:t>
                  </w:r>
                  <w:r>
                    <w:rPr>
                      <w:rFonts w:hint="eastAsia" w:cs="Times New Roman"/>
                      <w:color w:val="000000" w:themeColor="text1"/>
                      <w:sz w:val="21"/>
                      <w:szCs w:val="21"/>
                      <w:vertAlign w:val="subscript"/>
                      <w:lang w:val="en-US" w:eastAsia="zh-CN"/>
                      <w14:textFill>
                        <w14:solidFill>
                          <w14:schemeClr w14:val="tx1"/>
                        </w14:solidFill>
                      </w14:textFill>
                    </w:rPr>
                    <w:t>2</w:t>
                  </w:r>
                </w:p>
              </w:tc>
              <w:tc>
                <w:tcPr>
                  <w:tcW w:w="1343" w:type="dxa"/>
                  <w:shd w:val="clear" w:color="auto" w:fill="auto"/>
                  <w:noWrap w:val="0"/>
                  <w:vAlign w:val="center"/>
                </w:tcPr>
                <w:p w14:paraId="2975EE3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177" w:type="dxa"/>
                  <w:shd w:val="clear" w:color="auto" w:fill="auto"/>
                  <w:noWrap w:val="0"/>
                  <w:vAlign w:val="center"/>
                </w:tcPr>
                <w:p w14:paraId="1032DB5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1177" w:type="dxa"/>
                  <w:shd w:val="clear" w:color="auto" w:fill="auto"/>
                  <w:noWrap w:val="0"/>
                  <w:vAlign w:val="center"/>
                </w:tcPr>
                <w:p w14:paraId="2445E0E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138" w:type="dxa"/>
                  <w:shd w:val="clear" w:color="auto" w:fill="auto"/>
                  <w:noWrap w:val="0"/>
                  <w:vAlign w:val="center"/>
                </w:tcPr>
                <w:p w14:paraId="3AE9F66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1331" w:type="dxa"/>
                  <w:shd w:val="clear" w:color="auto" w:fill="auto"/>
                  <w:noWrap w:val="0"/>
                  <w:vAlign w:val="center"/>
                </w:tcPr>
                <w:p w14:paraId="28358E7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+0.321</w:t>
                  </w:r>
                </w:p>
              </w:tc>
            </w:tr>
            <w:tr w14:paraId="038B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shd w:val="clear" w:color="auto" w:fill="auto"/>
                  <w:noWrap w:val="0"/>
                  <w:vAlign w:val="center"/>
                </w:tcPr>
                <w:p w14:paraId="787B7E3E">
                  <w:pPr>
                    <w:pStyle w:val="29"/>
                    <w:keepNext w:val="0"/>
                    <w:keepLines w:val="0"/>
                    <w:pageBreakBefore w:val="0"/>
                    <w:numPr>
                      <w:ilvl w:val="0"/>
                      <w:numId w:val="0"/>
                    </w:numPr>
                    <w:kinsoku/>
                    <w:wordWrap/>
                    <w:overflowPunct/>
                    <w:topLinePunct w:val="0"/>
                    <w:bidi w:val="0"/>
                    <w:adjustRightInd w:val="0"/>
                    <w:snapToGrid w:val="0"/>
                    <w:spacing w:before="63" w:beforeLines="20"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93" w:type="dxa"/>
                  <w:shd w:val="clear" w:color="auto" w:fill="auto"/>
                  <w:noWrap w:val="0"/>
                  <w:vAlign w:val="center"/>
                </w:tcPr>
                <w:p w14:paraId="2D93B38A">
                  <w:pPr>
                    <w:keepNext w:val="0"/>
                    <w:keepLines w:val="0"/>
                    <w:pageBreakBefore w:val="0"/>
                    <w:widowControl w:val="0"/>
                    <w:kinsoku/>
                    <w:wordWrap/>
                    <w:overflowPunct/>
                    <w:topLinePunct w:val="0"/>
                    <w:autoSpaceDE/>
                    <w:autoSpaceDN/>
                    <w:bidi w:val="0"/>
                    <w:adjustRightInd w:val="0"/>
                    <w:snapToGrid w:val="0"/>
                    <w:spacing w:before="63" w:beforeLines="20" w:line="240" w:lineRule="auto"/>
                    <w:ind w:right="0" w:rightChars="0" w:firstLine="0" w:firstLineChars="0"/>
                    <w:jc w:val="center"/>
                    <w:textAlignment w:val="auto"/>
                    <w:outlineLvl w:val="9"/>
                    <w:rPr>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NOx</w:t>
                  </w:r>
                </w:p>
              </w:tc>
              <w:tc>
                <w:tcPr>
                  <w:tcW w:w="1343" w:type="dxa"/>
                  <w:shd w:val="clear" w:color="auto" w:fill="auto"/>
                  <w:noWrap w:val="0"/>
                  <w:vAlign w:val="center"/>
                </w:tcPr>
                <w:p w14:paraId="56A38D6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177" w:type="dxa"/>
                  <w:shd w:val="clear" w:color="auto" w:fill="auto"/>
                  <w:noWrap w:val="0"/>
                  <w:vAlign w:val="center"/>
                </w:tcPr>
                <w:p w14:paraId="68C6B27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1177" w:type="dxa"/>
                  <w:shd w:val="clear" w:color="auto" w:fill="auto"/>
                  <w:noWrap w:val="0"/>
                  <w:vAlign w:val="center"/>
                </w:tcPr>
                <w:p w14:paraId="67B581C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138" w:type="dxa"/>
                  <w:shd w:val="clear" w:color="auto" w:fill="auto"/>
                  <w:noWrap w:val="0"/>
                  <w:vAlign w:val="center"/>
                </w:tcPr>
                <w:p w14:paraId="6D15C8F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1331" w:type="dxa"/>
                  <w:shd w:val="clear" w:color="auto" w:fill="auto"/>
                  <w:noWrap w:val="0"/>
                  <w:vAlign w:val="center"/>
                </w:tcPr>
                <w:p w14:paraId="2D4C10B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+0.25</w:t>
                  </w:r>
                </w:p>
              </w:tc>
            </w:tr>
          </w:tbl>
          <w:p w14:paraId="1F90E73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项目已于20</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25</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年</w:t>
            </w:r>
            <w:r>
              <w:rPr>
                <w:rFonts w:hint="eastAsia" w:cs="Times New Roman"/>
                <w:b w:val="0"/>
                <w:bCs/>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w:t>
            </w:r>
            <w:r>
              <w:rPr>
                <w:rFonts w:hint="eastAsia" w:cs="Times New Roman"/>
                <w:b w:val="0"/>
                <w:bCs/>
                <w:color w:val="000000" w:themeColor="text1"/>
                <w:sz w:val="24"/>
                <w:szCs w:val="24"/>
                <w:lang w:val="en-US" w:eastAsia="zh-CN"/>
                <w14:textFill>
                  <w14:solidFill>
                    <w14:schemeClr w14:val="tx1"/>
                  </w14:solidFill>
                </w14:textFill>
              </w:rPr>
              <w:t>24</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日取得《</w:t>
            </w:r>
            <w:r>
              <w:rPr>
                <w:rFonts w:hint="eastAsia" w:cs="Times New Roman"/>
                <w:b w:val="0"/>
                <w:bCs/>
                <w:color w:val="000000" w:themeColor="text1"/>
                <w:sz w:val="24"/>
                <w:szCs w:val="24"/>
                <w:lang w:eastAsia="zh-CN"/>
                <w14:textFill>
                  <w14:solidFill>
                    <w14:schemeClr w14:val="tx1"/>
                  </w14:solidFill>
                </w14:textFill>
              </w:rPr>
              <w:t>安徽省</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建设项目主要污染物</w:t>
            </w:r>
            <w:r>
              <w:rPr>
                <w:rFonts w:hint="eastAsia" w:cs="Times New Roman"/>
                <w:b w:val="0"/>
                <w:bCs/>
                <w:color w:val="000000" w:themeColor="text1"/>
                <w:sz w:val="24"/>
                <w:szCs w:val="24"/>
                <w:lang w:eastAsia="zh-CN"/>
                <w14:textFill>
                  <w14:solidFill>
                    <w14:schemeClr w14:val="tx1"/>
                  </w14:solidFill>
                </w14:textFill>
              </w:rPr>
              <w:t>新增排放容量</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核定表（</w:t>
            </w:r>
            <w:r>
              <w:rPr>
                <w:rFonts w:hint="eastAsia" w:cs="Times New Roman"/>
                <w:b w:val="0"/>
                <w:bCs/>
                <w:color w:val="000000" w:themeColor="text1"/>
                <w:sz w:val="24"/>
                <w:szCs w:val="24"/>
                <w:lang w:val="en-US" w:eastAsia="zh-CN"/>
                <w14:textFill>
                  <w14:solidFill>
                    <w14:schemeClr w14:val="tx1"/>
                  </w14:solidFill>
                </w14:textFill>
              </w:rPr>
              <w:t>2025</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）》，本项目烟</w:t>
            </w:r>
            <w:r>
              <w:rPr>
                <w:rFonts w:hint="eastAsia"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粉尘</w:t>
            </w:r>
            <w:r>
              <w:rPr>
                <w:rFonts w:hint="eastAsia"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SO</w:t>
            </w:r>
            <w:r>
              <w:rPr>
                <w:rFonts w:hint="eastAsia"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NOx</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总量</w:t>
            </w:r>
            <w:r>
              <w:rPr>
                <w:rFonts w:hint="eastAsia" w:cs="Times New Roman"/>
                <w:b w:val="0"/>
                <w:bCs/>
                <w:color w:val="000000" w:themeColor="text1"/>
                <w:sz w:val="24"/>
                <w:szCs w:val="24"/>
                <w:lang w:eastAsia="zh-CN"/>
                <w14:textFill>
                  <w14:solidFill>
                    <w14:schemeClr w14:val="tx1"/>
                  </w14:solidFill>
                </w14:textFill>
              </w:rPr>
              <w:t>满足本项目总量需求</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p>
          <w:p w14:paraId="005EC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r>
    </w:tbl>
    <w:p w14:paraId="361786A2">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i w:val="0"/>
          <w:iCs w:val="0"/>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36"/>
          <w:szCs w:val="36"/>
          <w14:textFill>
            <w14:solidFill>
              <w14:schemeClr w14:val="tx1"/>
            </w14:solidFill>
          </w14:textFill>
        </w:rPr>
        <w:br w:type="page"/>
      </w:r>
      <w:r>
        <w:rPr>
          <w:rFonts w:hint="default" w:ascii="Times New Roman" w:hAnsi="Times New Roman" w:eastAsia="宋体" w:cs="Times New Roman"/>
          <w:b/>
          <w:bCs/>
          <w:i w:val="0"/>
          <w:iCs w:val="0"/>
          <w:snapToGrid/>
          <w:color w:val="000000" w:themeColor="text1"/>
          <w:spacing w:val="0"/>
          <w:kern w:val="0"/>
          <w:position w:val="0"/>
          <w:sz w:val="30"/>
          <w:szCs w:val="30"/>
          <w14:textFill>
            <w14:solidFill>
              <w14:schemeClr w14:val="tx1"/>
            </w14:solidFill>
          </w14:textFill>
        </w:rPr>
        <w:t>四、主要环境影响和保护措施</w:t>
      </w:r>
    </w:p>
    <w:tbl>
      <w:tblPr>
        <w:tblStyle w:val="24"/>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447"/>
      </w:tblGrid>
      <w:tr w14:paraId="3947A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7" w:hRule="atLeast"/>
          <w:jc w:val="center"/>
        </w:trPr>
        <w:tc>
          <w:tcPr>
            <w:tcW w:w="544" w:type="dxa"/>
            <w:tcBorders>
              <w:tl2br w:val="nil"/>
              <w:tr2bl w:val="nil"/>
            </w:tcBorders>
            <w:noWrap w:val="0"/>
            <w:tcMar>
              <w:left w:w="28" w:type="dxa"/>
              <w:right w:w="28" w:type="dxa"/>
            </w:tcMar>
            <w:vAlign w:val="center"/>
          </w:tcPr>
          <w:p w14:paraId="5AA084EC">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p w14:paraId="2AA91E68">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工</w:t>
            </w:r>
          </w:p>
          <w:p w14:paraId="2F3DD436">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4032372D">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1AD51A39">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173BD25D">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236658F1">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1CEEBFB3">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w:t>
            </w:r>
          </w:p>
          <w:p w14:paraId="732A0371">
            <w:pPr>
              <w:pStyle w:val="22"/>
              <w:adjustRightInd w:val="0"/>
              <w:snapToGrid w:val="0"/>
              <w:spacing w:before="0" w:beforeAutospacing="0" w:after="0" w:afterAutospacing="0"/>
              <w:jc w:val="center"/>
              <w:rPr>
                <w:rFonts w:hint="default" w:ascii="Times New Roman" w:hAnsi="Times New Roman" w:eastAsia="宋体" w:cs="Times New Roman"/>
                <w:bCs/>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tc>
        <w:tc>
          <w:tcPr>
            <w:tcW w:w="8447" w:type="dxa"/>
            <w:tcBorders>
              <w:tl2br w:val="nil"/>
              <w:tr2bl w:val="nil"/>
            </w:tcBorders>
            <w:noWrap w:val="0"/>
            <w:vAlign w:val="center"/>
          </w:tcPr>
          <w:p w14:paraId="509340CF">
            <w:pPr>
              <w:keepNext w:val="0"/>
              <w:keepLines w:val="0"/>
              <w:pageBreakBefore w:val="0"/>
              <w:widowControl/>
              <w:kinsoku/>
              <w:wordWrap/>
              <w:overflowPunct/>
              <w:topLinePunct w:val="0"/>
              <w:autoSpaceDE/>
              <w:autoSpaceDN/>
              <w:bidi w:val="0"/>
              <w:adjustRightInd/>
              <w:snapToGrid w:val="0"/>
              <w:spacing w:before="157" w:beforeLines="5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位于</w:t>
            </w:r>
            <w:r>
              <w:rPr>
                <w:rFonts w:hint="eastAsia" w:cs="Times New Roman"/>
                <w:color w:val="000000" w:themeColor="text1"/>
                <w:sz w:val="24"/>
                <w:szCs w:val="24"/>
                <w:lang w:eastAsia="zh-CN"/>
                <w14:textFill>
                  <w14:solidFill>
                    <w14:schemeClr w14:val="tx1"/>
                  </w14:solidFill>
                </w14:textFill>
              </w:rPr>
              <w:t>宿州市高新技术产业开发区拂晓大道9号</w:t>
            </w:r>
            <w:r>
              <w:rPr>
                <w:rFonts w:hint="eastAsia" w:cs="Times New Roman"/>
                <w:color w:val="000000" w:themeColor="text1"/>
                <w:sz w:val="24"/>
                <w:szCs w:val="24"/>
                <w:lang w:val="en-US" w:eastAsia="zh-CN"/>
                <w14:textFill>
                  <w14:solidFill>
                    <w14:schemeClr w14:val="tx1"/>
                  </w14:solidFill>
                </w14:textFill>
              </w:rPr>
              <w:t>，本项目厂房租赁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，项目施工期不涉及土建施工，仅进行简单的设备安装及各功能区布局，具体施工环境保护措施分析如下：</w:t>
            </w:r>
          </w:p>
          <w:p w14:paraId="1479814E">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1、施工扬尘防治措施</w:t>
            </w:r>
          </w:p>
          <w:p w14:paraId="579CBE33">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本项目不涉及土建工程，仅对设备进行安装，且项目工艺简单、安装设备数量较少，施工过程中施工扬尘产生量极小，此处不做考虑</w:t>
            </w:r>
            <w:r>
              <w:rPr>
                <w:rFonts w:hint="eastAsia" w:cs="Times New Roman"/>
                <w:color w:val="000000" w:themeColor="text1"/>
                <w:sz w:val="24"/>
                <w:szCs w:val="24"/>
                <w:lang w:val="en-US" w:eastAsia="zh-CN"/>
                <w14:textFill>
                  <w14:solidFill>
                    <w14:schemeClr w14:val="tx1"/>
                  </w14:solidFill>
                </w14:textFill>
              </w:rPr>
              <w:t>。</w:t>
            </w:r>
          </w:p>
          <w:p w14:paraId="749021A4">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2、废水防治措施</w:t>
            </w:r>
          </w:p>
          <w:p w14:paraId="36F582DD">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因涉及设备安装，故在施工期间，会产生施工人员生活污水。本项目施工期间，施工人数最多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人，根据《建筑施工计算手册》中施工现场生活用水定额为20~60L/人·d，本项目取生活用水定额为</w:t>
            </w:r>
            <w:r>
              <w:rPr>
                <w:rFonts w:hint="eastAsia"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0L/人·d，故施工期间生活用水量为0.</w:t>
            </w:r>
            <w:r>
              <w:rPr>
                <w:rFonts w:hint="eastAsia" w:cs="Times New Roman"/>
                <w:color w:val="000000" w:themeColor="text1"/>
                <w:sz w:val="24"/>
                <w:szCs w:val="24"/>
                <w:highlight w:val="none"/>
                <w:lang w:val="en-US" w:eastAsia="zh-CN"/>
                <w14:textFill>
                  <w14:solidFill>
                    <w14:schemeClr w14:val="tx1"/>
                  </w14:solidFill>
                </w14:textFill>
              </w:rPr>
              <w:t>56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/d，根据《给排水设计手册》，生活污水产生量按用水量的80%计，故施工过程中生活污水产生量为</w:t>
            </w:r>
            <w:r>
              <w:rPr>
                <w:rFonts w:hint="eastAsia" w:cs="Times New Roman"/>
                <w:color w:val="000000" w:themeColor="text1"/>
                <w:sz w:val="24"/>
                <w:szCs w:val="24"/>
                <w:highlight w:val="none"/>
                <w:lang w:val="en-US" w:eastAsia="zh-CN"/>
                <w14:textFill>
                  <w14:solidFill>
                    <w14:schemeClr w14:val="tx1"/>
                  </w14:solidFill>
                </w14:textFill>
              </w:rPr>
              <w:t>0.448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生活污水经化粪池处理，定期清掏用作厂区周围农田施肥，不外排</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10A997BA">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3、噪声防治措施</w:t>
            </w:r>
          </w:p>
          <w:p w14:paraId="2640F4C7">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本项目施工期不涉及基建项目，仅为简单的设备安装，故施工过程中的噪声为点焊接、吊车等，设备噪声源强较小，施工期场界噪声对周边影响较小。</w:t>
            </w:r>
          </w:p>
          <w:p w14:paraId="6C6B6438">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4、固体废物防治措施</w:t>
            </w:r>
          </w:p>
          <w:p w14:paraId="7F34AD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snapToGrid/>
                <w:color w:val="000000" w:themeColor="text1"/>
                <w:spacing w:val="0"/>
                <w:kern w:val="0"/>
                <w:position w:val="0"/>
                <w:szCs w:val="2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施工期产生的固体废物主要是废弃的装修材料、设备安装边角料、材料包装箱、袋和生活垃圾等，上述垃圾由环卫统一清运处置，故不会对周围环境造成影响。</w:t>
            </w:r>
          </w:p>
        </w:tc>
      </w:tr>
      <w:tr w14:paraId="28E0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83" w:hRule="atLeast"/>
          <w:jc w:val="center"/>
        </w:trPr>
        <w:tc>
          <w:tcPr>
            <w:tcW w:w="544" w:type="dxa"/>
            <w:tcBorders>
              <w:tl2br w:val="nil"/>
              <w:tr2bl w:val="nil"/>
            </w:tcBorders>
            <w:noWrap w:val="0"/>
            <w:tcMar>
              <w:left w:w="28" w:type="dxa"/>
              <w:right w:w="28" w:type="dxa"/>
            </w:tcMar>
            <w:vAlign w:val="center"/>
          </w:tcPr>
          <w:p w14:paraId="761D977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0412DE0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1A4E3FE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3660AB8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4EFB8E1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0E939858">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776A17E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45B7DD3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4C73E5E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2435DFCA">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w:t>
            </w:r>
          </w:p>
          <w:p w14:paraId="18F94919">
            <w:pPr>
              <w:pStyle w:val="22"/>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tc>
        <w:tc>
          <w:tcPr>
            <w:tcW w:w="8447" w:type="dxa"/>
            <w:tcBorders>
              <w:tl2br w:val="nil"/>
              <w:tr2bl w:val="nil"/>
            </w:tcBorders>
            <w:noWrap w:val="0"/>
            <w:vAlign w:val="top"/>
          </w:tcPr>
          <w:p w14:paraId="7CB2AE1B">
            <w:pPr>
              <w:keepNext w:val="0"/>
              <w:keepLines w:val="0"/>
              <w:pageBreakBefore w:val="0"/>
              <w:widowControl w:val="0"/>
              <w:kinsoku/>
              <w:wordWrap/>
              <w:overflowPunct/>
              <w:topLinePunct w:val="0"/>
              <w:autoSpaceDE/>
              <w:autoSpaceDN/>
              <w:bidi w:val="0"/>
              <w:adjustRightInd w:val="0"/>
              <w:snapToGrid w:val="0"/>
              <w:spacing w:before="95" w:beforeLines="30" w:line="360" w:lineRule="auto"/>
              <w:jc w:val="left"/>
              <w:textAlignment w:val="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1、废气</w:t>
            </w:r>
          </w:p>
          <w:p w14:paraId="45FE5E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本项目废气主要是</w:t>
            </w:r>
            <w:r>
              <w:rPr>
                <w:rFonts w:hint="eastAsia" w:ascii="Times New Roman" w:hAnsi="Times New Roman" w:eastAsia="宋体" w:cs="Times New Roman"/>
                <w:b w:val="0"/>
                <w:bCs w:val="0"/>
                <w:color w:val="000000" w:themeColor="text1"/>
                <w:sz w:val="24"/>
                <w:szCs w:val="28"/>
                <w:highlight w:val="none"/>
                <w:lang w:val="en-US" w:eastAsia="zh-CN"/>
                <w14:textFill>
                  <w14:solidFill>
                    <w14:schemeClr w14:val="tx1"/>
                  </w14:solidFill>
                </w14:textFill>
              </w:rPr>
              <w:t>燃气锅炉</w:t>
            </w:r>
            <w:r>
              <w:rPr>
                <w:rFonts w:hint="eastAsia" w:ascii="Times New Roman" w:hAnsi="Times New Roman" w:eastAsia="宋体" w:cs="Times New Roman"/>
                <w:b w:val="0"/>
                <w:bCs w:val="0"/>
                <w:color w:val="000000" w:themeColor="text1"/>
                <w:sz w:val="24"/>
                <w:szCs w:val="28"/>
                <w:highlight w:val="none"/>
                <w:lang w:eastAsia="zh-CN"/>
                <w14:textFill>
                  <w14:solidFill>
                    <w14:schemeClr w14:val="tx1"/>
                  </w14:solidFill>
                </w14:textFill>
              </w:rPr>
              <w:t>废气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2A68CCD7">
            <w:pPr>
              <w:pStyle w:val="3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核算过程：</w:t>
            </w:r>
          </w:p>
          <w:p w14:paraId="0C527E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根据《排放源统计调查产排污核算方法和系数手册》（公告2021年第24号）---锅炉产排污量核算系数手册中的4430工业锅炉（热力生产和供应行业）产污系数表-</w:t>
            </w:r>
            <w:r>
              <w:rPr>
                <w:rFonts w:hint="eastAsia" w:ascii="Times New Roman" w:hAnsi="Times New Roman" w:eastAsia="宋体" w:cs="Times New Roman"/>
                <w:b w:val="0"/>
                <w:bCs w:val="0"/>
                <w:color w:val="000000" w:themeColor="text1"/>
                <w:sz w:val="24"/>
                <w:szCs w:val="28"/>
                <w:highlight w:val="none"/>
                <w:lang w:val="en-US" w:eastAsia="zh-CN"/>
                <w14:textFill>
                  <w14:solidFill>
                    <w14:schemeClr w14:val="tx1"/>
                  </w14:solidFill>
                </w14:textFill>
              </w:rPr>
              <w:t>燃气</w:t>
            </w:r>
            <w:r>
              <w:rPr>
                <w:rFonts w:hint="eastAsia" w:ascii="Times New Roman" w:hAnsi="Times New Roman" w:cs="Times New Roman"/>
                <w:color w:val="000000" w:themeColor="text1"/>
                <w:sz w:val="24"/>
                <w:szCs w:val="24"/>
                <w:lang w:val="en-US" w:eastAsia="zh-CN"/>
                <w14:textFill>
                  <w14:solidFill>
                    <w14:schemeClr w14:val="tx1"/>
                  </w14:solidFill>
                </w14:textFill>
              </w:rPr>
              <w:t>工业锅炉，详见下表：</w:t>
            </w:r>
          </w:p>
          <w:p w14:paraId="7E4B89D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表4.1  工业锅炉（热力生产和供应行业）产污系数表-燃气工业锅炉</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35"/>
              <w:gridCol w:w="1047"/>
              <w:gridCol w:w="1059"/>
              <w:gridCol w:w="1322"/>
              <w:gridCol w:w="1643"/>
              <w:gridCol w:w="1097"/>
            </w:tblGrid>
            <w:tr w14:paraId="176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10" w:type="dxa"/>
                  <w:noWrap w:val="0"/>
                  <w:vAlign w:val="center"/>
                </w:tcPr>
                <w:p w14:paraId="10A86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产品名称</w:t>
                  </w:r>
                </w:p>
              </w:tc>
              <w:tc>
                <w:tcPr>
                  <w:tcW w:w="1028" w:type="dxa"/>
                  <w:noWrap w:val="0"/>
                  <w:vAlign w:val="center"/>
                </w:tcPr>
                <w:p w14:paraId="1156B8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原料名称</w:t>
                  </w:r>
                </w:p>
              </w:tc>
              <w:tc>
                <w:tcPr>
                  <w:tcW w:w="1040" w:type="dxa"/>
                  <w:noWrap w:val="0"/>
                  <w:vAlign w:val="center"/>
                </w:tcPr>
                <w:p w14:paraId="0A867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工艺名称</w:t>
                  </w:r>
                </w:p>
              </w:tc>
              <w:tc>
                <w:tcPr>
                  <w:tcW w:w="1052" w:type="dxa"/>
                  <w:noWrap w:val="0"/>
                  <w:vAlign w:val="center"/>
                </w:tcPr>
                <w:p w14:paraId="688249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规模等级</w:t>
                  </w:r>
                </w:p>
              </w:tc>
              <w:tc>
                <w:tcPr>
                  <w:tcW w:w="1313" w:type="dxa"/>
                  <w:noWrap w:val="0"/>
                  <w:vAlign w:val="center"/>
                </w:tcPr>
                <w:p w14:paraId="68F7EF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污染物指标</w:t>
                  </w:r>
                </w:p>
              </w:tc>
              <w:tc>
                <w:tcPr>
                  <w:tcW w:w="1632" w:type="dxa"/>
                  <w:noWrap w:val="0"/>
                  <w:vAlign w:val="center"/>
                </w:tcPr>
                <w:p w14:paraId="4F61C7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单位</w:t>
                  </w:r>
                </w:p>
              </w:tc>
              <w:tc>
                <w:tcPr>
                  <w:tcW w:w="1090" w:type="dxa"/>
                  <w:noWrap w:val="0"/>
                  <w:vAlign w:val="center"/>
                </w:tcPr>
                <w:p w14:paraId="3C91B4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产污系数</w:t>
                  </w:r>
                </w:p>
              </w:tc>
            </w:tr>
            <w:tr w14:paraId="5414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restart"/>
                  <w:noWrap w:val="0"/>
                  <w:vAlign w:val="center"/>
                </w:tcPr>
                <w:p w14:paraId="31704D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蒸汽/热水/其他</w:t>
                  </w:r>
                </w:p>
              </w:tc>
              <w:tc>
                <w:tcPr>
                  <w:tcW w:w="1028" w:type="dxa"/>
                  <w:vMerge w:val="restart"/>
                  <w:noWrap w:val="0"/>
                  <w:vAlign w:val="center"/>
                </w:tcPr>
                <w:p w14:paraId="5CE719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天然气</w:t>
                  </w:r>
                </w:p>
              </w:tc>
              <w:tc>
                <w:tcPr>
                  <w:tcW w:w="1040" w:type="dxa"/>
                  <w:vMerge w:val="restart"/>
                  <w:noWrap w:val="0"/>
                  <w:vAlign w:val="center"/>
                </w:tcPr>
                <w:p w14:paraId="004F36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室燃炉</w:t>
                  </w:r>
                </w:p>
              </w:tc>
              <w:tc>
                <w:tcPr>
                  <w:tcW w:w="1052" w:type="dxa"/>
                  <w:vMerge w:val="restart"/>
                  <w:noWrap w:val="0"/>
                  <w:vAlign w:val="center"/>
                </w:tcPr>
                <w:p w14:paraId="5543CC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所有规模</w:t>
                  </w:r>
                </w:p>
              </w:tc>
              <w:tc>
                <w:tcPr>
                  <w:tcW w:w="1313" w:type="dxa"/>
                  <w:noWrap w:val="0"/>
                  <w:vAlign w:val="center"/>
                </w:tcPr>
                <w:p w14:paraId="3CCF4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工业废气量</w:t>
                  </w:r>
                </w:p>
              </w:tc>
              <w:tc>
                <w:tcPr>
                  <w:tcW w:w="1632" w:type="dxa"/>
                  <w:noWrap w:val="0"/>
                  <w:vAlign w:val="center"/>
                </w:tcPr>
                <w:p w14:paraId="02BB39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标立方米/万立方米-原料</w:t>
                  </w:r>
                </w:p>
              </w:tc>
              <w:tc>
                <w:tcPr>
                  <w:tcW w:w="1090" w:type="dxa"/>
                  <w:noWrap w:val="0"/>
                  <w:vAlign w:val="center"/>
                </w:tcPr>
                <w:p w14:paraId="0032D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107753</w:t>
                  </w:r>
                </w:p>
              </w:tc>
            </w:tr>
            <w:tr w14:paraId="3DA8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noWrap w:val="0"/>
                  <w:vAlign w:val="center"/>
                </w:tcPr>
                <w:p w14:paraId="056552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28" w:type="dxa"/>
                  <w:vMerge w:val="continue"/>
                  <w:noWrap w:val="0"/>
                  <w:vAlign w:val="center"/>
                </w:tcPr>
                <w:p w14:paraId="663E0F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40" w:type="dxa"/>
                  <w:vMerge w:val="continue"/>
                  <w:noWrap w:val="0"/>
                  <w:vAlign w:val="center"/>
                </w:tcPr>
                <w:p w14:paraId="58F7B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52" w:type="dxa"/>
                  <w:vMerge w:val="continue"/>
                  <w:noWrap w:val="0"/>
                  <w:vAlign w:val="center"/>
                </w:tcPr>
                <w:p w14:paraId="3E086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313" w:type="dxa"/>
                  <w:noWrap w:val="0"/>
                  <w:vAlign w:val="center"/>
                </w:tcPr>
                <w:p w14:paraId="637AB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二氧化硫</w:t>
                  </w:r>
                </w:p>
              </w:tc>
              <w:tc>
                <w:tcPr>
                  <w:tcW w:w="1632" w:type="dxa"/>
                  <w:noWrap w:val="0"/>
                  <w:vAlign w:val="center"/>
                </w:tcPr>
                <w:p w14:paraId="71D24E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千克/万立方米-原料</w:t>
                  </w:r>
                </w:p>
              </w:tc>
              <w:tc>
                <w:tcPr>
                  <w:tcW w:w="1090" w:type="dxa"/>
                  <w:noWrap w:val="0"/>
                  <w:vAlign w:val="center"/>
                </w:tcPr>
                <w:p w14:paraId="6150CF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0.02S</w:t>
                  </w:r>
                </w:p>
              </w:tc>
            </w:tr>
            <w:tr w14:paraId="1652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0" w:type="dxa"/>
                  <w:vMerge w:val="continue"/>
                  <w:noWrap w:val="0"/>
                  <w:vAlign w:val="center"/>
                </w:tcPr>
                <w:p w14:paraId="41072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28" w:type="dxa"/>
                  <w:vMerge w:val="continue"/>
                  <w:noWrap w:val="0"/>
                  <w:vAlign w:val="center"/>
                </w:tcPr>
                <w:p w14:paraId="000716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40" w:type="dxa"/>
                  <w:vMerge w:val="continue"/>
                  <w:noWrap w:val="0"/>
                  <w:vAlign w:val="center"/>
                </w:tcPr>
                <w:p w14:paraId="3073E4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052" w:type="dxa"/>
                  <w:vMerge w:val="continue"/>
                  <w:noWrap w:val="0"/>
                  <w:vAlign w:val="center"/>
                </w:tcPr>
                <w:p w14:paraId="6C7A4C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p>
              </w:tc>
              <w:tc>
                <w:tcPr>
                  <w:tcW w:w="1313" w:type="dxa"/>
                  <w:noWrap w:val="0"/>
                  <w:vAlign w:val="center"/>
                </w:tcPr>
                <w:p w14:paraId="01A4F8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氮氧化物</w:t>
                  </w:r>
                </w:p>
              </w:tc>
              <w:tc>
                <w:tcPr>
                  <w:tcW w:w="1632" w:type="dxa"/>
                  <w:noWrap w:val="0"/>
                  <w:vAlign w:val="center"/>
                </w:tcPr>
                <w:p w14:paraId="71DBA1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千克/万立方米-原料</w:t>
                  </w:r>
                </w:p>
              </w:tc>
              <w:tc>
                <w:tcPr>
                  <w:tcW w:w="1090" w:type="dxa"/>
                  <w:noWrap w:val="0"/>
                  <w:vAlign w:val="center"/>
                </w:tcPr>
                <w:p w14:paraId="775ECB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3.03</w:t>
                  </w:r>
                </w:p>
              </w:tc>
            </w:tr>
          </w:tbl>
          <w:p w14:paraId="28EF15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注：①产污系数表中二氧化硫的产污系数是以含硫量（S%）的形式表示的，其中含硫量（S%）是指燃气收到基硫分含量，单位为mg/m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。例如燃料中含硫量（S%）为200mg/m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，则S=200。根据《天然气》(GB 17820-2018)的规定，二类天然气含硫率不大于100mg/m</w:t>
            </w:r>
            <w:r>
              <w:rPr>
                <w:rFonts w:hint="eastAsia"/>
                <w:color w:val="000000" w:themeColor="text1"/>
                <w:sz w:val="21"/>
                <w:szCs w:val="21"/>
                <w:vertAlign w:val="superscript"/>
                <w:lang w:val="en-US" w:eastAsia="zh-CN"/>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，故本项目S=100。②项目锅炉</w:t>
            </w:r>
            <w:r>
              <w:rPr>
                <w:rFonts w:hint="default" w:ascii="Times New Roman" w:hAnsi="Times New Roman" w:cs="Times New Roman"/>
                <w:color w:val="000000" w:themeColor="text1"/>
                <w:sz w:val="21"/>
                <w:szCs w:val="21"/>
                <w:lang w:val="en-US" w:eastAsia="zh-CN"/>
                <w14:textFill>
                  <w14:solidFill>
                    <w14:schemeClr w14:val="tx1"/>
                  </w14:solidFill>
                </w14:textFill>
              </w:rPr>
              <w:t>采用低氮燃烧，氮氧化物产污系数取低氮燃烧-国际领先。</w:t>
            </w:r>
          </w:p>
          <w:p w14:paraId="4DD57773">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颗粒物（烟尘）排放量采用公式计算：</w:t>
            </w:r>
          </w:p>
          <w:p w14:paraId="667A0E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position w:val="-24"/>
                <w:sz w:val="24"/>
                <w:szCs w:val="24"/>
                <w:lang w:val="en-US" w:eastAsia="zh-CN"/>
                <w14:textFill>
                  <w14:solidFill>
                    <w14:schemeClr w14:val="tx1"/>
                  </w14:solidFill>
                </w14:textFill>
              </w:rPr>
              <w:object>
                <v:shape id="_x0000_i1028" o:spt="75" type="#_x0000_t75" style="height:31pt;width:137pt;" o:ole="t" filled="f" o:preferrelative="t" stroked="f" coordsize="21600,21600">
                  <v:path/>
                  <v:fill on="f" focussize="0,0"/>
                  <v:stroke on="f"/>
                  <v:imagedata r:id="rId14" o:title=""/>
                  <o:lock v:ext="edit" aspectratio="t"/>
                  <w10:wrap type="none"/>
                  <w10:anchorlock/>
                </v:shape>
                <o:OLEObject Type="Embed" ProgID="Equation.KSEE3" ShapeID="_x0000_i1028" DrawAspect="Content" ObjectID="_1468075728" r:id="rId13">
                  <o:LockedField>false</o:LockedField>
                </o:OLEObject>
              </w:object>
            </w:r>
          </w:p>
          <w:p w14:paraId="68CA956E">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式中：Ej</w:t>
            </w:r>
            <w:r>
              <w:rPr>
                <w:rFonts w:hint="default" w:ascii="Times New Roman" w:hAnsi="Times New Roman" w:eastAsia="宋体" w:cs="Times New Roman"/>
                <w:color w:val="000000" w:themeColor="text1"/>
                <w:sz w:val="24"/>
                <w:szCs w:val="24"/>
                <w:lang w:eastAsia="zh-CN"/>
                <w14:textFill>
                  <w14:solidFill>
                    <w14:schemeClr w14:val="tx1"/>
                  </w14:solidFill>
                </w14:textFill>
              </w:rPr>
              <w:t>——核算时段内第</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j种污染物排放量，t；</w:t>
            </w:r>
          </w:p>
          <w:p w14:paraId="26220574">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R</w:t>
            </w:r>
            <w:r>
              <w:rPr>
                <w:rFonts w:hint="default" w:ascii="Times New Roman" w:hAnsi="Times New Roman" w:eastAsia="宋体" w:cs="Times New Roman"/>
                <w:color w:val="000000" w:themeColor="text1"/>
                <w:sz w:val="24"/>
                <w:szCs w:val="24"/>
                <w:lang w:eastAsia="zh-CN"/>
                <w14:textFill>
                  <w14:solidFill>
                    <w14:schemeClr w14:val="tx1"/>
                  </w14:solidFill>
                </w14:textFill>
              </w:rPr>
              <w:t>——核算时段内燃料消耗量，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t或万m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本项目取</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51.9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3F8EBC0">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βj</w:t>
            </w:r>
            <w:r>
              <w:rPr>
                <w:rFonts w:hint="default" w:ascii="Times New Roman" w:hAnsi="Times New Roman" w:eastAsia="宋体" w:cs="Times New Roman"/>
                <w:color w:val="000000" w:themeColor="text1"/>
                <w:sz w:val="24"/>
                <w:szCs w:val="24"/>
                <w:lang w:eastAsia="zh-CN"/>
                <w14:textFill>
                  <w14:solidFill>
                    <w14:schemeClr w14:val="tx1"/>
                  </w14:solidFill>
                </w14:textFill>
              </w:rPr>
              <w:t>——产污系数，</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kg/t或kg/万m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，参见全国污染源普查工业污染源普查数据（以最新版本为准）和HJ 953。采用罕见、特殊原料或工艺的，或手册中未涉及的，可类比国外同类工艺对应的产排污系数文件或咨询行业专业技术人员选取近似产品、原料、炉型的产污系数代替，本项目参照《环境保护使用数据手册》（胡名操主编，机械工业出版社）中的排放系数，每燃烧1万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的天然气，产生的烟尘为2.4kg；</w:t>
            </w:r>
          </w:p>
          <w:p w14:paraId="6580AB22">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η</w:t>
            </w:r>
            <w:r>
              <w:rPr>
                <w:rFonts w:hint="default" w:ascii="Times New Roman" w:hAnsi="Times New Roman" w:eastAsia="宋体" w:cs="Times New Roman"/>
                <w:color w:val="000000" w:themeColor="text1"/>
                <w:sz w:val="24"/>
                <w:szCs w:val="24"/>
                <w:lang w:eastAsia="zh-CN"/>
                <w14:textFill>
                  <w14:solidFill>
                    <w14:schemeClr w14:val="tx1"/>
                  </w14:solidFill>
                </w14:textFill>
              </w:rPr>
              <w:t>——污染物的脱除效率。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本项目取</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p>
          <w:p w14:paraId="762A55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项目1台9t/h燃气蒸汽锅炉运行过程会产生天然气燃烧废气，主要污染因子为SO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、NO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X</w:t>
            </w:r>
            <w:r>
              <w:rPr>
                <w:rFonts w:hint="eastAsia" w:ascii="Times New Roman" w:hAnsi="Times New Roman" w:eastAsia="宋体" w:cs="Times New Roman"/>
                <w:color w:val="000000" w:themeColor="text1"/>
                <w:sz w:val="24"/>
                <w:szCs w:val="24"/>
                <w:vertAlign w:val="baseline"/>
                <w:lang w:val="en-US" w:eastAsia="zh-CN"/>
                <w14:textFill>
                  <w14:solidFill>
                    <w14:schemeClr w14:val="tx1"/>
                  </w14:solidFill>
                </w14:textFill>
              </w:rPr>
              <w:t>及颗粒物</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。项目锅炉天然气用量为166.32万m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/a，锅炉运行时间按照年运行2640h计算。</w:t>
            </w:r>
            <w:r>
              <w:rPr>
                <w:rFonts w:hint="eastAsia" w:ascii="Times New Roman" w:hAnsi="Times New Roman" w:eastAsia="宋体"/>
                <w:color w:val="000000" w:themeColor="text1"/>
                <w:sz w:val="24"/>
                <w:szCs w:val="24"/>
                <w:lang w:val="en-US" w:eastAsia="zh-CN"/>
                <w14:textFill>
                  <w14:solidFill>
                    <w14:schemeClr w14:val="tx1"/>
                  </w14:solidFill>
                </w14:textFill>
              </w:rPr>
              <w:t>项目燃气锅炉废气</w:t>
            </w:r>
            <w:r>
              <w:rPr>
                <w:rFonts w:hint="eastAsia" w:ascii="Times New Roman" w:hAnsi="Times New Roman" w:eastAsia="宋体"/>
                <w:color w:val="000000" w:themeColor="text1"/>
                <w:sz w:val="24"/>
                <w:szCs w:val="24"/>
                <w14:textFill>
                  <w14:solidFill>
                    <w14:schemeClr w14:val="tx1"/>
                  </w14:solidFill>
                </w14:textFill>
              </w:rPr>
              <w:t>配备低氮燃烧器</w:t>
            </w:r>
            <w:r>
              <w:rPr>
                <w:rFonts w:hint="eastAsia" w:ascii="Times New Roman" w:hAnsi="Times New Roman" w:eastAsia="宋体"/>
                <w:color w:val="000000" w:themeColor="text1"/>
                <w:sz w:val="24"/>
                <w:szCs w:val="24"/>
                <w:lang w:eastAsia="zh-CN"/>
                <w14:textFill>
                  <w14:solidFill>
                    <w14:schemeClr w14:val="tx1"/>
                  </w14:solidFill>
                </w14:textFill>
              </w:rPr>
              <w:t>后</w:t>
            </w:r>
            <w:r>
              <w:rPr>
                <w:rFonts w:hint="eastAsia" w:ascii="Times New Roman" w:hAnsi="Times New Roman" w:eastAsia="宋体"/>
                <w:color w:val="000000" w:themeColor="text1"/>
                <w:sz w:val="24"/>
                <w:szCs w:val="24"/>
                <w:lang w:val="en-US" w:eastAsia="zh-CN"/>
                <w14:textFill>
                  <w14:solidFill>
                    <w14:schemeClr w14:val="tx1"/>
                  </w14:solidFill>
                </w14:textFill>
              </w:rPr>
              <w:t>锅炉废气通过12m高排气筒（DA001）排放。</w:t>
            </w:r>
            <w:r>
              <w:rPr>
                <w:rFonts w:hint="eastAsia" w:ascii="宋体" w:hAnsi="宋体"/>
                <w:color w:val="000000" w:themeColor="text1"/>
                <w:sz w:val="24"/>
                <w14:textFill>
                  <w14:solidFill>
                    <w14:schemeClr w14:val="tx1"/>
                  </w14:solidFill>
                </w14:textFill>
              </w:rPr>
              <w:t>废气处理装置设计风量约为</w:t>
            </w:r>
            <w:r>
              <w:rPr>
                <w:rFonts w:hint="eastAsia" w:ascii="Times New Roman" w:hAnsi="Times New Roman" w:cs="Times New Roman"/>
                <w:color w:val="000000" w:themeColor="text1"/>
                <w:sz w:val="24"/>
                <w:lang w:val="en-US" w:eastAsia="zh-CN"/>
                <w14:textFill>
                  <w14:solidFill>
                    <w14:schemeClr w14:val="tx1"/>
                  </w14:solidFill>
                </w14:textFill>
              </w:rPr>
              <w:t>80</w:t>
            </w:r>
            <w:r>
              <w:rPr>
                <w:rFonts w:hint="default" w:ascii="Times New Roman" w:hAnsi="Times New Roman" w:cs="Times New Roman"/>
                <w:color w:val="000000" w:themeColor="text1"/>
                <w:sz w:val="24"/>
                <w14:textFill>
                  <w14:solidFill>
                    <w14:schemeClr w14:val="tx1"/>
                  </w14:solidFill>
                </w14:textFill>
              </w:rPr>
              <w:t>00m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/h</w:t>
            </w:r>
          </w:p>
          <w:p w14:paraId="79B09924">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污染物产生详见下表</w:t>
            </w:r>
            <w:r>
              <w:rPr>
                <w:rFonts w:hint="eastAsia" w:ascii="Times New Roman" w:hAnsi="Times New Roman" w:eastAsia="宋体" w:cs="Times New Roman"/>
                <w:color w:val="000000" w:themeColor="text1"/>
                <w:szCs w:val="24"/>
                <w:lang w:val="en-US" w:eastAsia="zh-CN"/>
                <w14:textFill>
                  <w14:solidFill>
                    <w14:schemeClr w14:val="tx1"/>
                  </w14:solidFill>
                </w14:textFill>
              </w:rPr>
              <w:t>：</w:t>
            </w:r>
          </w:p>
          <w:p w14:paraId="74DF13D1">
            <w:pPr>
              <w:pStyle w:val="3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000000" w:themeColor="text1"/>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Cs w:val="24"/>
                <w:lang w:val="en-US" w:eastAsia="zh-CN"/>
                <w14:textFill>
                  <w14:solidFill>
                    <w14:schemeClr w14:val="tx1"/>
                  </w14:solidFill>
                </w14:textFill>
              </w:rPr>
              <w:t xml:space="preserve">表4.2  </w:t>
            </w:r>
            <w:r>
              <w:rPr>
                <w:rFonts w:hint="default" w:ascii="Times New Roman" w:hAnsi="Times New Roman" w:eastAsia="宋体" w:cs="Times New Roman"/>
                <w:b/>
                <w:bCs/>
                <w:color w:val="000000" w:themeColor="text1"/>
                <w:szCs w:val="24"/>
                <w:lang w:val="en-US" w:eastAsia="zh-CN"/>
                <w14:textFill>
                  <w14:solidFill>
                    <w14:schemeClr w14:val="tx1"/>
                  </w14:solidFill>
                </w14:textFill>
              </w:rPr>
              <w:t>主要污染物</w:t>
            </w:r>
            <w:r>
              <w:rPr>
                <w:rFonts w:hint="eastAsia" w:ascii="Times New Roman" w:hAnsi="Times New Roman" w:eastAsia="宋体" w:cs="Times New Roman"/>
                <w:b/>
                <w:bCs/>
                <w:color w:val="000000" w:themeColor="text1"/>
                <w:szCs w:val="24"/>
                <w:lang w:val="en-US" w:eastAsia="zh-CN"/>
                <w14:textFill>
                  <w14:solidFill>
                    <w14:schemeClr w14:val="tx1"/>
                  </w14:solidFill>
                </w14:textFill>
              </w:rPr>
              <w:t>产排情况一览表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896"/>
              <w:gridCol w:w="1044"/>
              <w:gridCol w:w="982"/>
              <w:gridCol w:w="1062"/>
              <w:gridCol w:w="1151"/>
              <w:gridCol w:w="1072"/>
              <w:gridCol w:w="1015"/>
            </w:tblGrid>
            <w:tr w14:paraId="1C1F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restart"/>
                  <w:noWrap w:val="0"/>
                  <w:vAlign w:val="center"/>
                </w:tcPr>
                <w:p w14:paraId="3D7081C8">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废气量</w:t>
                  </w:r>
                </w:p>
                <w:p w14:paraId="40D19B1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N</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h</w:t>
                  </w:r>
                </w:p>
              </w:tc>
              <w:tc>
                <w:tcPr>
                  <w:tcW w:w="545" w:type="pct"/>
                  <w:vMerge w:val="restart"/>
                  <w:noWrap w:val="0"/>
                  <w:vAlign w:val="center"/>
                </w:tcPr>
                <w:p w14:paraId="564CF76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污染物</w:t>
                  </w:r>
                </w:p>
              </w:tc>
              <w:tc>
                <w:tcPr>
                  <w:tcW w:w="1878" w:type="pct"/>
                  <w:gridSpan w:val="3"/>
                  <w:noWrap w:val="0"/>
                  <w:vAlign w:val="center"/>
                </w:tcPr>
                <w:p w14:paraId="505F9B4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产生情况</w:t>
                  </w:r>
                </w:p>
              </w:tc>
              <w:tc>
                <w:tcPr>
                  <w:tcW w:w="1970" w:type="pct"/>
                  <w:gridSpan w:val="3"/>
                  <w:noWrap w:val="0"/>
                  <w:vAlign w:val="center"/>
                </w:tcPr>
                <w:p w14:paraId="273BBF9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排放情况</w:t>
                  </w:r>
                </w:p>
              </w:tc>
            </w:tr>
            <w:tr w14:paraId="0DF5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continue"/>
                  <w:noWrap w:val="0"/>
                  <w:vAlign w:val="center"/>
                </w:tcPr>
                <w:p w14:paraId="630C9947">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45" w:type="pct"/>
                  <w:vMerge w:val="continue"/>
                  <w:noWrap w:val="0"/>
                  <w:vAlign w:val="center"/>
                </w:tcPr>
                <w:p w14:paraId="5BD05A34">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635" w:type="pct"/>
                  <w:noWrap w:val="0"/>
                  <w:vAlign w:val="center"/>
                </w:tcPr>
                <w:p w14:paraId="6266675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597" w:type="pct"/>
                  <w:noWrap w:val="0"/>
                  <w:vAlign w:val="center"/>
                </w:tcPr>
                <w:p w14:paraId="0A24E998">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速率kg/h</w:t>
                  </w:r>
                </w:p>
              </w:tc>
              <w:tc>
                <w:tcPr>
                  <w:tcW w:w="646" w:type="pct"/>
                  <w:noWrap w:val="0"/>
                  <w:vAlign w:val="center"/>
                </w:tcPr>
                <w:p w14:paraId="0B035D4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产生量t/a</w:t>
                  </w:r>
                </w:p>
              </w:tc>
              <w:tc>
                <w:tcPr>
                  <w:tcW w:w="700" w:type="pct"/>
                  <w:noWrap w:val="0"/>
                  <w:vAlign w:val="center"/>
                </w:tcPr>
                <w:p w14:paraId="583ABE1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652" w:type="pct"/>
                  <w:noWrap w:val="0"/>
                  <w:vAlign w:val="center"/>
                </w:tcPr>
                <w:p w14:paraId="739D7ADF">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速率kg/h</w:t>
                  </w:r>
                </w:p>
              </w:tc>
              <w:tc>
                <w:tcPr>
                  <w:tcW w:w="617" w:type="pct"/>
                  <w:noWrap w:val="0"/>
                  <w:vAlign w:val="center"/>
                </w:tcPr>
                <w:p w14:paraId="5C67DAB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排放量t/a</w:t>
                  </w:r>
                </w:p>
              </w:tc>
            </w:tr>
            <w:tr w14:paraId="0821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restart"/>
                  <w:noWrap w:val="0"/>
                  <w:vAlign w:val="center"/>
                </w:tcPr>
                <w:p w14:paraId="26D2459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8000</w:t>
                  </w:r>
                </w:p>
              </w:tc>
              <w:tc>
                <w:tcPr>
                  <w:tcW w:w="545" w:type="pct"/>
                  <w:noWrap w:val="0"/>
                  <w:vAlign w:val="center"/>
                </w:tcPr>
                <w:p w14:paraId="2FABF739">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2</w:t>
                  </w:r>
                </w:p>
              </w:tc>
              <w:tc>
                <w:tcPr>
                  <w:tcW w:w="635" w:type="pct"/>
                  <w:noWrap w:val="0"/>
                  <w:vAlign w:val="center"/>
                </w:tcPr>
                <w:p w14:paraId="1BBEBD7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597" w:type="pct"/>
                  <w:noWrap w:val="0"/>
                  <w:vAlign w:val="center"/>
                </w:tcPr>
                <w:p w14:paraId="6969C84C">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0.126</w:t>
                  </w:r>
                </w:p>
              </w:tc>
              <w:tc>
                <w:tcPr>
                  <w:tcW w:w="646" w:type="pct"/>
                  <w:noWrap w:val="0"/>
                  <w:vAlign w:val="center"/>
                </w:tcPr>
                <w:p w14:paraId="49957B99">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c>
                <w:tcPr>
                  <w:tcW w:w="700" w:type="pct"/>
                  <w:noWrap w:val="0"/>
                  <w:vAlign w:val="center"/>
                </w:tcPr>
                <w:p w14:paraId="4A96E45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652" w:type="pct"/>
                  <w:noWrap w:val="0"/>
                  <w:vAlign w:val="center"/>
                </w:tcPr>
                <w:p w14:paraId="025A871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0.126</w:t>
                  </w:r>
                </w:p>
              </w:tc>
              <w:tc>
                <w:tcPr>
                  <w:tcW w:w="617" w:type="pct"/>
                  <w:noWrap w:val="0"/>
                  <w:vAlign w:val="center"/>
                </w:tcPr>
                <w:p w14:paraId="6B72DFE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r>
            <w:tr w14:paraId="5EF7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continue"/>
                  <w:noWrap w:val="0"/>
                  <w:vAlign w:val="center"/>
                </w:tcPr>
                <w:p w14:paraId="54434F5B">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45" w:type="pct"/>
                  <w:noWrap w:val="0"/>
                  <w:vAlign w:val="center"/>
                </w:tcPr>
                <w:p w14:paraId="121C6F3B">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NO</w:t>
                  </w:r>
                  <w:r>
                    <w:rPr>
                      <w:rFonts w:hint="eastAsia" w:ascii="Times New Roman" w:hAnsi="Times New Roman" w:eastAsia="宋体" w:cs="Times New Roman"/>
                      <w:color w:val="000000" w:themeColor="text1"/>
                      <w:sz w:val="21"/>
                      <w:szCs w:val="21"/>
                      <w:vertAlign w:val="subscript"/>
                      <w:lang w:val="en-US" w:eastAsia="zh-CN"/>
                      <w14:textFill>
                        <w14:solidFill>
                          <w14:schemeClr w14:val="tx1"/>
                        </w14:solidFill>
                      </w14:textFill>
                    </w:rPr>
                    <w:t>X</w:t>
                  </w:r>
                </w:p>
              </w:tc>
              <w:tc>
                <w:tcPr>
                  <w:tcW w:w="635" w:type="pct"/>
                  <w:noWrap w:val="0"/>
                  <w:vAlign w:val="center"/>
                </w:tcPr>
                <w:p w14:paraId="02D4BB8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597" w:type="pct"/>
                  <w:noWrap w:val="0"/>
                  <w:vAlign w:val="center"/>
                </w:tcPr>
                <w:p w14:paraId="78CB5C7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0.191</w:t>
                  </w:r>
                </w:p>
              </w:tc>
              <w:tc>
                <w:tcPr>
                  <w:tcW w:w="646" w:type="pct"/>
                  <w:noWrap w:val="0"/>
                  <w:vAlign w:val="center"/>
                </w:tcPr>
                <w:p w14:paraId="7751E57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c>
                <w:tcPr>
                  <w:tcW w:w="700" w:type="pct"/>
                  <w:noWrap w:val="0"/>
                  <w:vAlign w:val="center"/>
                </w:tcPr>
                <w:p w14:paraId="2BE85FB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652" w:type="pct"/>
                  <w:noWrap w:val="0"/>
                  <w:vAlign w:val="center"/>
                </w:tcPr>
                <w:p w14:paraId="327AEB52">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0.191</w:t>
                  </w:r>
                </w:p>
              </w:tc>
              <w:tc>
                <w:tcPr>
                  <w:tcW w:w="617" w:type="pct"/>
                  <w:noWrap w:val="0"/>
                  <w:vAlign w:val="center"/>
                </w:tcPr>
                <w:p w14:paraId="0AE64C52">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r>
            <w:tr w14:paraId="3FB0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5" w:type="pct"/>
                  <w:vMerge w:val="continue"/>
                  <w:noWrap w:val="0"/>
                  <w:vAlign w:val="center"/>
                </w:tcPr>
                <w:p w14:paraId="54E760B9">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45" w:type="pct"/>
                  <w:noWrap w:val="0"/>
                  <w:vAlign w:val="center"/>
                </w:tcPr>
                <w:p w14:paraId="34A704A5">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颗粒物</w:t>
                  </w:r>
                </w:p>
              </w:tc>
              <w:tc>
                <w:tcPr>
                  <w:tcW w:w="635" w:type="pct"/>
                  <w:noWrap w:val="0"/>
                  <w:vAlign w:val="center"/>
                </w:tcPr>
                <w:p w14:paraId="117906B9">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597" w:type="pct"/>
                  <w:noWrap w:val="0"/>
                  <w:vAlign w:val="center"/>
                </w:tcPr>
                <w:p w14:paraId="29CCB335">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0.151</w:t>
                  </w:r>
                </w:p>
              </w:tc>
              <w:tc>
                <w:tcPr>
                  <w:tcW w:w="646" w:type="pct"/>
                  <w:noWrap w:val="0"/>
                  <w:vAlign w:val="center"/>
                </w:tcPr>
                <w:p w14:paraId="4FB3F55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c>
                <w:tcPr>
                  <w:tcW w:w="700" w:type="pct"/>
                  <w:noWrap w:val="0"/>
                  <w:vAlign w:val="center"/>
                </w:tcPr>
                <w:p w14:paraId="0DE3045A">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652" w:type="pct"/>
                  <w:noWrap w:val="0"/>
                  <w:vAlign w:val="center"/>
                </w:tcPr>
                <w:p w14:paraId="674FE02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0.151</w:t>
                  </w:r>
                </w:p>
              </w:tc>
              <w:tc>
                <w:tcPr>
                  <w:tcW w:w="617" w:type="pct"/>
                  <w:noWrap w:val="0"/>
                  <w:vAlign w:val="center"/>
                </w:tcPr>
                <w:p w14:paraId="199937B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r>
          </w:tbl>
          <w:p w14:paraId="6B8E2D18">
            <w:pPr>
              <w:pStyle w:val="2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14:paraId="07BB17A5">
            <w:pPr>
              <w:pStyle w:val="2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14:paraId="52BF524B">
            <w:pPr>
              <w:pStyle w:val="2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object>
                <v:shape id="_x0000_i1029" o:spt="75" type="#_x0000_t75" style="height:44.95pt;width:411.3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4B50676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b/>
                <w:bCs w:val="0"/>
                <w:color w:val="000000" w:themeColor="text1"/>
                <w:spacing w:val="-10"/>
                <w:sz w:val="24"/>
                <w:szCs w:val="24"/>
                <w:lang w:val="en-US" w:eastAsia="zh-CN"/>
                <w14:textFill>
                  <w14:solidFill>
                    <w14:schemeClr w14:val="tx1"/>
                  </w14:solidFill>
                </w14:textFill>
              </w:rPr>
              <w:t>图4.1  废气收集示意图</w:t>
            </w:r>
          </w:p>
        </w:tc>
      </w:tr>
    </w:tbl>
    <w:p w14:paraId="414894DA">
      <w:pPr>
        <w:rPr>
          <w:snapToGrid/>
          <w:color w:val="000000" w:themeColor="text1"/>
          <w:spacing w:val="0"/>
          <w:kern w:val="0"/>
          <w:position w:val="0"/>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579"/>
      </w:tblGrid>
      <w:tr w14:paraId="769C5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567" w:type="dxa"/>
            <w:tcBorders>
              <w:tl2br w:val="nil"/>
              <w:tr2bl w:val="nil"/>
            </w:tcBorders>
            <w:noWrap w:val="0"/>
            <w:vAlign w:val="center"/>
          </w:tcPr>
          <w:p w14:paraId="42E68F6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537EB7C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558DEC78">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72C4BCD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48E0D75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4D5BFB4B">
            <w:pPr>
              <w:pStyle w:val="29"/>
              <w:keepNext w:val="0"/>
              <w:keepLines w:val="0"/>
              <w:pageBreakBefore w:val="0"/>
              <w:widowControl w:val="0"/>
              <w:numPr>
                <w:ilvl w:val="1"/>
                <w:numId w:val="0"/>
              </w:numPr>
              <w:kinsoku/>
              <w:wordWrap/>
              <w:overflowPunct/>
              <w:topLinePunct w:val="0"/>
              <w:bidi w:val="0"/>
              <w:adjustRightInd w:val="0"/>
              <w:snapToGrid w:val="0"/>
              <w:spacing w:line="240" w:lineRule="auto"/>
              <w:ind w:leftChars="0"/>
              <w:jc w:val="center"/>
              <w:textAlignment w:val="auto"/>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12931" w:type="dxa"/>
            <w:tcBorders>
              <w:tl2br w:val="nil"/>
              <w:tr2bl w:val="nil"/>
            </w:tcBorders>
            <w:noWrap w:val="0"/>
            <w:vAlign w:val="top"/>
          </w:tcPr>
          <w:p w14:paraId="08E70C13">
            <w:pPr>
              <w:pStyle w:val="29"/>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left="0" w:leftChars="0" w:firstLine="0" w:firstLineChars="0"/>
              <w:jc w:val="center"/>
              <w:textAlignment w:val="auto"/>
              <w:rPr>
                <w:rFonts w:hint="default"/>
                <w:b/>
                <w:bCs/>
                <w:color w:val="000000" w:themeColor="text1"/>
                <w:sz w:val="24"/>
                <w:szCs w:val="24"/>
                <w:lang w:val="en-US" w:eastAsia="zh-CN"/>
                <w14:textFill>
                  <w14:solidFill>
                    <w14:schemeClr w14:val="tx1"/>
                  </w14:solidFill>
                </w14:textFill>
              </w:rPr>
            </w:pPr>
            <w:r>
              <w:rPr>
                <w:rFonts w:hint="default"/>
                <w:b/>
                <w:bCs/>
                <w:color w:val="000000" w:themeColor="text1"/>
                <w:sz w:val="24"/>
                <w:szCs w:val="24"/>
                <w:lang w:val="en-US" w:eastAsia="zh-CN"/>
                <w14:textFill>
                  <w14:solidFill>
                    <w14:schemeClr w14:val="tx1"/>
                  </w14:solidFill>
                </w14:textFill>
              </w:rPr>
              <w:t>表4.</w:t>
            </w:r>
            <w:r>
              <w:rPr>
                <w:rFonts w:hint="eastAsia"/>
                <w:b/>
                <w:bCs/>
                <w:color w:val="000000" w:themeColor="text1"/>
                <w:sz w:val="24"/>
                <w:szCs w:val="24"/>
                <w:lang w:val="en-US" w:eastAsia="zh-CN"/>
                <w14:textFill>
                  <w14:solidFill>
                    <w14:schemeClr w14:val="tx1"/>
                  </w14:solidFill>
                </w14:textFill>
              </w:rPr>
              <w:t>3</w:t>
            </w:r>
            <w:r>
              <w:rPr>
                <w:rFonts w:hint="default"/>
                <w:b/>
                <w:bCs/>
                <w:color w:val="000000" w:themeColor="text1"/>
                <w:sz w:val="24"/>
                <w:szCs w:val="24"/>
                <w:lang w:val="en-US" w:eastAsia="zh-CN"/>
                <w14:textFill>
                  <w14:solidFill>
                    <w14:schemeClr w14:val="tx1"/>
                  </w14:solidFill>
                </w14:textFill>
              </w:rPr>
              <w:t xml:space="preserve"> </w:t>
            </w:r>
            <w:r>
              <w:rPr>
                <w:rFonts w:hint="eastAsia"/>
                <w:b/>
                <w:bCs/>
                <w:color w:val="000000" w:themeColor="text1"/>
                <w:sz w:val="24"/>
                <w:szCs w:val="24"/>
                <w:lang w:val="en-US" w:eastAsia="zh-CN"/>
                <w14:textFill>
                  <w14:solidFill>
                    <w14:schemeClr w14:val="tx1"/>
                  </w14:solidFill>
                </w14:textFill>
              </w:rPr>
              <w:t xml:space="preserve"> </w:t>
            </w:r>
            <w:r>
              <w:rPr>
                <w:rFonts w:hint="default"/>
                <w:b/>
                <w:bCs/>
                <w:color w:val="000000" w:themeColor="text1"/>
                <w:sz w:val="24"/>
                <w:szCs w:val="24"/>
                <w:lang w:val="en-US" w:eastAsia="zh-CN"/>
                <w14:textFill>
                  <w14:solidFill>
                    <w14:schemeClr w14:val="tx1"/>
                  </w14:solidFill>
                </w14:textFill>
              </w:rPr>
              <w:t>废气产</w:t>
            </w:r>
            <w:r>
              <w:rPr>
                <w:rFonts w:hint="eastAsia"/>
                <w:b/>
                <w:bCs/>
                <w:color w:val="000000" w:themeColor="text1"/>
                <w:sz w:val="24"/>
                <w:szCs w:val="24"/>
                <w:lang w:val="en-US" w:eastAsia="zh-CN"/>
                <w14:textFill>
                  <w14:solidFill>
                    <w14:schemeClr w14:val="tx1"/>
                  </w14:solidFill>
                </w14:textFill>
              </w:rPr>
              <w:t>排</w:t>
            </w:r>
            <w:r>
              <w:rPr>
                <w:rFonts w:hint="default"/>
                <w:b/>
                <w:bCs/>
                <w:color w:val="000000" w:themeColor="text1"/>
                <w:sz w:val="24"/>
                <w:szCs w:val="24"/>
                <w:lang w:val="en-US" w:eastAsia="zh-CN"/>
                <w14:textFill>
                  <w14:solidFill>
                    <w14:schemeClr w14:val="tx1"/>
                  </w14:solidFill>
                </w14:textFill>
              </w:rPr>
              <w:t>污情况一览表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75"/>
              <w:gridCol w:w="855"/>
              <w:gridCol w:w="990"/>
              <w:gridCol w:w="855"/>
              <w:gridCol w:w="1510"/>
              <w:gridCol w:w="1170"/>
              <w:gridCol w:w="728"/>
              <w:gridCol w:w="709"/>
              <w:gridCol w:w="939"/>
              <w:gridCol w:w="851"/>
              <w:gridCol w:w="941"/>
              <w:gridCol w:w="823"/>
              <w:gridCol w:w="1090"/>
            </w:tblGrid>
            <w:tr w14:paraId="4F9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restart"/>
                  <w:noWrap w:val="0"/>
                  <w:vAlign w:val="center"/>
                </w:tcPr>
                <w:p w14:paraId="50D4477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产排污环节</w:t>
                  </w:r>
                </w:p>
              </w:tc>
              <w:tc>
                <w:tcPr>
                  <w:tcW w:w="365" w:type="pct"/>
                  <w:vMerge w:val="restart"/>
                  <w:noWrap w:val="0"/>
                  <w:vAlign w:val="center"/>
                </w:tcPr>
                <w:p w14:paraId="4D4F7FC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污染物种类</w:t>
                  </w:r>
                </w:p>
              </w:tc>
              <w:tc>
                <w:tcPr>
                  <w:tcW w:w="690" w:type="pct"/>
                  <w:gridSpan w:val="2"/>
                  <w:noWrap w:val="0"/>
                  <w:vAlign w:val="center"/>
                </w:tcPr>
                <w:p w14:paraId="5D022357">
                  <w:pPr>
                    <w:pStyle w:val="29"/>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污染物产生情况</w:t>
                  </w:r>
                </w:p>
              </w:tc>
              <w:tc>
                <w:tcPr>
                  <w:tcW w:w="320" w:type="pct"/>
                  <w:vMerge w:val="restart"/>
                  <w:noWrap w:val="0"/>
                  <w:vAlign w:val="center"/>
                </w:tcPr>
                <w:p w14:paraId="500B3B2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w:t>
                  </w:r>
                </w:p>
                <w:p w14:paraId="4D9C17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形式</w:t>
                  </w:r>
                </w:p>
              </w:tc>
              <w:tc>
                <w:tcPr>
                  <w:tcW w:w="1893" w:type="pct"/>
                  <w:gridSpan w:val="5"/>
                  <w:noWrap w:val="0"/>
                  <w:vAlign w:val="center"/>
                </w:tcPr>
                <w:p w14:paraId="365C0FD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主要污染治理设施</w:t>
                  </w:r>
                </w:p>
              </w:tc>
              <w:tc>
                <w:tcPr>
                  <w:tcW w:w="979" w:type="pct"/>
                  <w:gridSpan w:val="3"/>
                  <w:noWrap w:val="0"/>
                  <w:vAlign w:val="center"/>
                </w:tcPr>
                <w:p w14:paraId="3B1EA71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污染物排放情况</w:t>
                  </w:r>
                </w:p>
              </w:tc>
              <w:tc>
                <w:tcPr>
                  <w:tcW w:w="408" w:type="pct"/>
                  <w:noWrap w:val="0"/>
                  <w:vAlign w:val="center"/>
                </w:tcPr>
                <w:p w14:paraId="30226B5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排放标准</w:t>
                  </w:r>
                </w:p>
              </w:tc>
            </w:tr>
            <w:tr w14:paraId="514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continue"/>
                  <w:noWrap w:val="0"/>
                  <w:vAlign w:val="center"/>
                </w:tcPr>
                <w:p w14:paraId="0D60B19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65" w:type="pct"/>
                  <w:vMerge w:val="continue"/>
                  <w:noWrap w:val="0"/>
                  <w:vAlign w:val="center"/>
                </w:tcPr>
                <w:p w14:paraId="1C49095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20" w:type="pct"/>
                  <w:noWrap w:val="0"/>
                  <w:vAlign w:val="center"/>
                </w:tcPr>
                <w:p w14:paraId="007322F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产生量</w:t>
                  </w:r>
                  <w:r>
                    <w:rPr>
                      <w:rFonts w:hint="default" w:ascii="Times New Roman" w:hAnsi="Times New Roman" w:cs="Times New Roman"/>
                      <w:color w:val="000000" w:themeColor="text1"/>
                      <w:sz w:val="21"/>
                      <w:szCs w:val="21"/>
                      <w:lang w:eastAsia="zh-CN"/>
                      <w14:textFill>
                        <w14:solidFill>
                          <w14:schemeClr w14:val="tx1"/>
                        </w14:solidFill>
                      </w14:textFill>
                    </w:rPr>
                    <w:t>t/a</w:t>
                  </w:r>
                </w:p>
              </w:tc>
              <w:tc>
                <w:tcPr>
                  <w:tcW w:w="370" w:type="pct"/>
                  <w:noWrap w:val="0"/>
                  <w:vAlign w:val="center"/>
                </w:tcPr>
                <w:p w14:paraId="36EC16B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产生</w:t>
                  </w:r>
                </w:p>
                <w:p w14:paraId="4582EF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浓度mg/m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320" w:type="pct"/>
                  <w:vMerge w:val="continue"/>
                  <w:noWrap w:val="0"/>
                  <w:vAlign w:val="center"/>
                </w:tcPr>
                <w:p w14:paraId="41C41A2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65" w:type="pct"/>
                  <w:noWrap w:val="0"/>
                  <w:vAlign w:val="center"/>
                </w:tcPr>
                <w:p w14:paraId="6143C2A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治理措施</w:t>
                  </w:r>
                </w:p>
              </w:tc>
              <w:tc>
                <w:tcPr>
                  <w:tcW w:w="438" w:type="pct"/>
                  <w:noWrap w:val="0"/>
                  <w:vAlign w:val="center"/>
                </w:tcPr>
                <w:p w14:paraId="6218BB7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处理</w:t>
                  </w:r>
                </w:p>
                <w:p w14:paraId="1376D9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能力</w:t>
                  </w:r>
                </w:p>
              </w:tc>
              <w:tc>
                <w:tcPr>
                  <w:tcW w:w="272" w:type="pct"/>
                  <w:noWrap w:val="0"/>
                  <w:vAlign w:val="center"/>
                </w:tcPr>
                <w:p w14:paraId="01646F6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收集效率</w:t>
                  </w:r>
                </w:p>
              </w:tc>
              <w:tc>
                <w:tcPr>
                  <w:tcW w:w="265" w:type="pct"/>
                  <w:noWrap w:val="0"/>
                  <w:vAlign w:val="center"/>
                </w:tcPr>
                <w:p w14:paraId="38C09D4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去除效率</w:t>
                  </w:r>
                </w:p>
              </w:tc>
              <w:tc>
                <w:tcPr>
                  <w:tcW w:w="351" w:type="pct"/>
                  <w:noWrap w:val="0"/>
                  <w:vAlign w:val="center"/>
                </w:tcPr>
                <w:p w14:paraId="63785A7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是否为可行技术</w:t>
                  </w:r>
                </w:p>
              </w:tc>
              <w:tc>
                <w:tcPr>
                  <w:tcW w:w="318" w:type="pct"/>
                  <w:noWrap w:val="0"/>
                  <w:vAlign w:val="center"/>
                </w:tcPr>
                <w:p w14:paraId="2882032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排放量</w:t>
                  </w:r>
                  <w:r>
                    <w:rPr>
                      <w:rFonts w:hint="default" w:ascii="Times New Roman" w:hAnsi="Times New Roman" w:cs="Times New Roman"/>
                      <w:color w:val="000000" w:themeColor="text1"/>
                      <w:sz w:val="21"/>
                      <w:szCs w:val="21"/>
                      <w:lang w:eastAsia="zh-CN"/>
                      <w14:textFill>
                        <w14:solidFill>
                          <w14:schemeClr w14:val="tx1"/>
                        </w14:solidFill>
                      </w14:textFill>
                    </w:rPr>
                    <w:t>t/a</w:t>
                  </w:r>
                </w:p>
              </w:tc>
              <w:tc>
                <w:tcPr>
                  <w:tcW w:w="352" w:type="pct"/>
                  <w:noWrap w:val="0"/>
                  <w:vAlign w:val="center"/>
                </w:tcPr>
                <w:p w14:paraId="44FEFAF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排放速率kg/h</w:t>
                  </w:r>
                </w:p>
              </w:tc>
              <w:tc>
                <w:tcPr>
                  <w:tcW w:w="308" w:type="pct"/>
                  <w:noWrap w:val="0"/>
                  <w:vAlign w:val="center"/>
                </w:tcPr>
                <w:p w14:paraId="001EF6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排放浓度mg/m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c>
                <w:tcPr>
                  <w:tcW w:w="408" w:type="pct"/>
                  <w:noWrap w:val="0"/>
                  <w:vAlign w:val="center"/>
                </w:tcPr>
                <w:p w14:paraId="5A4428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浓度限值mg/m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p>
              </w:tc>
            </w:tr>
            <w:tr w14:paraId="6E3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restart"/>
                  <w:noWrap w:val="0"/>
                  <w:vAlign w:val="center"/>
                </w:tcPr>
                <w:p w14:paraId="303D9BE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燃气锅炉</w:t>
                  </w:r>
                  <w:r>
                    <w:rPr>
                      <w:rFonts w:hint="eastAsia" w:ascii="Times New Roman" w:hAnsi="Times New Roman" w:cs="Times New Roman"/>
                      <w:color w:val="000000" w:themeColor="text1"/>
                      <w:sz w:val="21"/>
                      <w:szCs w:val="21"/>
                      <w:lang w:val="en-US" w:eastAsia="zh-CN"/>
                      <w14:textFill>
                        <w14:solidFill>
                          <w14:schemeClr w14:val="tx1"/>
                        </w14:solidFill>
                      </w14:textFill>
                    </w:rPr>
                    <w:t>（9t/h）</w:t>
                  </w:r>
                </w:p>
              </w:tc>
              <w:tc>
                <w:tcPr>
                  <w:tcW w:w="365" w:type="pct"/>
                  <w:noWrap w:val="0"/>
                  <w:vAlign w:val="center"/>
                </w:tcPr>
                <w:p w14:paraId="1DE090E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320" w:type="pct"/>
                  <w:noWrap w:val="0"/>
                  <w:vAlign w:val="center"/>
                </w:tcPr>
                <w:p w14:paraId="727E606F">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c>
                <w:tcPr>
                  <w:tcW w:w="370" w:type="pct"/>
                  <w:noWrap w:val="0"/>
                  <w:vAlign w:val="center"/>
                </w:tcPr>
                <w:p w14:paraId="1B81CC4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320" w:type="pct"/>
                  <w:vMerge w:val="restart"/>
                  <w:noWrap w:val="0"/>
                  <w:vAlign w:val="center"/>
                </w:tcPr>
                <w:p w14:paraId="2ABB602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有组织</w:t>
                  </w:r>
                </w:p>
              </w:tc>
              <w:tc>
                <w:tcPr>
                  <w:tcW w:w="565" w:type="pct"/>
                  <w:vMerge w:val="restart"/>
                  <w:noWrap w:val="0"/>
                  <w:vAlign w:val="center"/>
                </w:tcPr>
                <w:p w14:paraId="21AC5EB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低氮燃烧器</w:t>
                  </w:r>
                  <w:r>
                    <w:rPr>
                      <w:rFonts w:hint="default"/>
                      <w:b w:val="0"/>
                      <w:bCs w:val="0"/>
                      <w:color w:val="000000" w:themeColor="text1"/>
                      <w:sz w:val="21"/>
                      <w:szCs w:val="21"/>
                      <w:vertAlign w:val="baseline"/>
                      <w:lang w:val="en-US" w:eastAsia="zh-CN"/>
                      <w14:textFill>
                        <w14:solidFill>
                          <w14:schemeClr w14:val="tx1"/>
                        </w14:solidFill>
                      </w14:textFill>
                    </w:rPr>
                    <w:t>+</w:t>
                  </w:r>
                  <w:r>
                    <w:rPr>
                      <w:rFonts w:hint="eastAsia"/>
                      <w:b w:val="0"/>
                      <w:bCs w:val="0"/>
                      <w:color w:val="000000" w:themeColor="text1"/>
                      <w:sz w:val="21"/>
                      <w:szCs w:val="21"/>
                      <w:vertAlign w:val="baseline"/>
                      <w:lang w:val="en-US" w:eastAsia="zh-CN"/>
                      <w14:textFill>
                        <w14:solidFill>
                          <w14:schemeClr w14:val="tx1"/>
                        </w14:solidFill>
                      </w14:textFill>
                    </w:rPr>
                    <w:t>12m高排气筒</w:t>
                  </w:r>
                  <w:r>
                    <w:rPr>
                      <w:rFonts w:hint="eastAsia" w:ascii="Times New Roman" w:hAnsi="Times New Roman" w:cs="Times New Roman"/>
                      <w:color w:val="000000" w:themeColor="text1"/>
                      <w:sz w:val="21"/>
                      <w:szCs w:val="21"/>
                      <w:u w:val="none"/>
                      <w:vertAlign w:val="baseline"/>
                      <w:lang w:val="en-US" w:eastAsia="zh-CN"/>
                      <w14:textFill>
                        <w14:solidFill>
                          <w14:schemeClr w14:val="tx1"/>
                        </w14:solidFill>
                      </w14:textFill>
                    </w:rPr>
                    <w:t>（DA001）</w:t>
                  </w:r>
                </w:p>
              </w:tc>
              <w:tc>
                <w:tcPr>
                  <w:tcW w:w="438" w:type="pct"/>
                  <w:vMerge w:val="restart"/>
                  <w:noWrap w:val="0"/>
                  <w:vAlign w:val="center"/>
                </w:tcPr>
                <w:p w14:paraId="294521E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8000</w:t>
                  </w:r>
                  <w:r>
                    <w:rPr>
                      <w:rFonts w:hint="eastAsia" w:ascii="Times New Roman" w:hAnsi="Times New Roman" w:cs="Times New Roman"/>
                      <w:color w:val="000000" w:themeColor="text1"/>
                      <w:sz w:val="21"/>
                      <w:szCs w:val="21"/>
                      <w:lang w:val="en-US" w:eastAsia="zh-CN"/>
                      <w14:textFill>
                        <w14:solidFill>
                          <w14:schemeClr w14:val="tx1"/>
                        </w14:solidFill>
                      </w14:textFill>
                    </w:rPr>
                    <w:t>m</w:t>
                  </w:r>
                  <w:r>
                    <w:rPr>
                      <w:rFonts w:hint="eastAsia"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/h</w:t>
                  </w:r>
                </w:p>
              </w:tc>
              <w:tc>
                <w:tcPr>
                  <w:tcW w:w="272" w:type="pct"/>
                  <w:vMerge w:val="restart"/>
                  <w:noWrap w:val="0"/>
                  <w:vAlign w:val="center"/>
                </w:tcPr>
                <w:p w14:paraId="3F127AC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100%</w:t>
                  </w:r>
                </w:p>
              </w:tc>
              <w:tc>
                <w:tcPr>
                  <w:tcW w:w="265" w:type="pct"/>
                  <w:noWrap w:val="0"/>
                  <w:vAlign w:val="center"/>
                </w:tcPr>
                <w:p w14:paraId="3C7A560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351" w:type="pct"/>
                  <w:vMerge w:val="restart"/>
                  <w:noWrap w:val="0"/>
                  <w:vAlign w:val="center"/>
                </w:tcPr>
                <w:p w14:paraId="1196CA3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是</w:t>
                  </w:r>
                </w:p>
              </w:tc>
              <w:tc>
                <w:tcPr>
                  <w:tcW w:w="318" w:type="pct"/>
                  <w:noWrap w:val="0"/>
                  <w:vAlign w:val="center"/>
                </w:tcPr>
                <w:p w14:paraId="0413261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0.333</w:t>
                  </w:r>
                </w:p>
              </w:tc>
              <w:tc>
                <w:tcPr>
                  <w:tcW w:w="352" w:type="pct"/>
                  <w:noWrap w:val="0"/>
                  <w:vAlign w:val="center"/>
                </w:tcPr>
                <w:p w14:paraId="6F3154FB">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0.126</w:t>
                  </w:r>
                </w:p>
              </w:tc>
              <w:tc>
                <w:tcPr>
                  <w:tcW w:w="308" w:type="pct"/>
                  <w:noWrap w:val="0"/>
                  <w:vAlign w:val="center"/>
                </w:tcPr>
                <w:p w14:paraId="2F18CCAF">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408" w:type="pct"/>
                  <w:noWrap w:val="0"/>
                  <w:vAlign w:val="center"/>
                </w:tcPr>
                <w:p w14:paraId="45BD4AE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r>
            <w:tr w14:paraId="1BAA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continue"/>
                  <w:noWrap w:val="0"/>
                  <w:vAlign w:val="center"/>
                </w:tcPr>
                <w:p w14:paraId="42D3843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65" w:type="pct"/>
                  <w:noWrap w:val="0"/>
                  <w:vAlign w:val="center"/>
                </w:tcPr>
                <w:p w14:paraId="0E81CD7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NO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X</w:t>
                  </w:r>
                </w:p>
              </w:tc>
              <w:tc>
                <w:tcPr>
                  <w:tcW w:w="320" w:type="pct"/>
                  <w:noWrap w:val="0"/>
                  <w:vAlign w:val="center"/>
                </w:tcPr>
                <w:p w14:paraId="60C55CD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c>
                <w:tcPr>
                  <w:tcW w:w="370" w:type="pct"/>
                  <w:noWrap w:val="0"/>
                  <w:vAlign w:val="center"/>
                </w:tcPr>
                <w:p w14:paraId="47B8A351">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320" w:type="pct"/>
                  <w:vMerge w:val="continue"/>
                  <w:noWrap w:val="0"/>
                  <w:vAlign w:val="center"/>
                </w:tcPr>
                <w:p w14:paraId="732DB80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65" w:type="pct"/>
                  <w:vMerge w:val="continue"/>
                  <w:noWrap w:val="0"/>
                  <w:vAlign w:val="center"/>
                </w:tcPr>
                <w:p w14:paraId="7F02A76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8" w:type="pct"/>
                  <w:vMerge w:val="continue"/>
                  <w:noWrap w:val="0"/>
                  <w:vAlign w:val="center"/>
                </w:tcPr>
                <w:p w14:paraId="387D21B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72" w:type="pct"/>
                  <w:vMerge w:val="continue"/>
                  <w:noWrap w:val="0"/>
                  <w:vAlign w:val="center"/>
                </w:tcPr>
                <w:p w14:paraId="4B6DB7C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65" w:type="pct"/>
                  <w:noWrap w:val="0"/>
                  <w:vAlign w:val="center"/>
                </w:tcPr>
                <w:p w14:paraId="40C9972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351" w:type="pct"/>
                  <w:vMerge w:val="continue"/>
                  <w:noWrap w:val="0"/>
                  <w:vAlign w:val="center"/>
                </w:tcPr>
                <w:p w14:paraId="0B1F05F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18" w:type="pct"/>
                  <w:noWrap w:val="0"/>
                  <w:vAlign w:val="center"/>
                </w:tcPr>
                <w:p w14:paraId="40FA2FF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0.504</w:t>
                  </w:r>
                </w:p>
              </w:tc>
              <w:tc>
                <w:tcPr>
                  <w:tcW w:w="352" w:type="pct"/>
                  <w:noWrap w:val="0"/>
                  <w:vAlign w:val="center"/>
                </w:tcPr>
                <w:p w14:paraId="073594F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0.191</w:t>
                  </w:r>
                </w:p>
              </w:tc>
              <w:tc>
                <w:tcPr>
                  <w:tcW w:w="308" w:type="pct"/>
                  <w:noWrap w:val="0"/>
                  <w:vAlign w:val="center"/>
                </w:tcPr>
                <w:p w14:paraId="7220E21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23.86</w:t>
                  </w:r>
                </w:p>
              </w:tc>
              <w:tc>
                <w:tcPr>
                  <w:tcW w:w="408" w:type="pct"/>
                  <w:noWrap w:val="0"/>
                  <w:vAlign w:val="center"/>
                </w:tcPr>
                <w:p w14:paraId="4C2DD04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50</w:t>
                  </w:r>
                </w:p>
              </w:tc>
            </w:tr>
            <w:tr w14:paraId="76EA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3" w:type="pct"/>
                  <w:vMerge w:val="continue"/>
                  <w:noWrap w:val="0"/>
                  <w:vAlign w:val="center"/>
                </w:tcPr>
                <w:p w14:paraId="467F10A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65" w:type="pct"/>
                  <w:noWrap w:val="0"/>
                  <w:vAlign w:val="center"/>
                </w:tcPr>
                <w:p w14:paraId="2DA261D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颗粒物</w:t>
                  </w:r>
                </w:p>
              </w:tc>
              <w:tc>
                <w:tcPr>
                  <w:tcW w:w="320" w:type="pct"/>
                  <w:noWrap w:val="0"/>
                  <w:vAlign w:val="center"/>
                </w:tcPr>
                <w:p w14:paraId="424DABC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c>
                <w:tcPr>
                  <w:tcW w:w="370" w:type="pct"/>
                  <w:noWrap w:val="0"/>
                  <w:vAlign w:val="center"/>
                </w:tcPr>
                <w:p w14:paraId="7D6EE4C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320" w:type="pct"/>
                  <w:vMerge w:val="continue"/>
                  <w:noWrap w:val="0"/>
                  <w:vAlign w:val="center"/>
                </w:tcPr>
                <w:p w14:paraId="106D94E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565" w:type="pct"/>
                  <w:vMerge w:val="continue"/>
                  <w:noWrap w:val="0"/>
                  <w:vAlign w:val="center"/>
                </w:tcPr>
                <w:p w14:paraId="0082F2C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38" w:type="pct"/>
                  <w:vMerge w:val="continue"/>
                  <w:noWrap w:val="0"/>
                  <w:vAlign w:val="center"/>
                </w:tcPr>
                <w:p w14:paraId="747B1CD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72" w:type="pct"/>
                  <w:vMerge w:val="continue"/>
                  <w:noWrap w:val="0"/>
                  <w:vAlign w:val="center"/>
                </w:tcPr>
                <w:p w14:paraId="50F4BA3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65" w:type="pct"/>
                  <w:noWrap w:val="0"/>
                  <w:vAlign w:val="center"/>
                </w:tcPr>
                <w:p w14:paraId="574B307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351" w:type="pct"/>
                  <w:vMerge w:val="continue"/>
                  <w:noWrap w:val="0"/>
                  <w:vAlign w:val="center"/>
                </w:tcPr>
                <w:p w14:paraId="2FF1CCE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318" w:type="pct"/>
                  <w:noWrap w:val="0"/>
                  <w:vAlign w:val="center"/>
                </w:tcPr>
                <w:p w14:paraId="41746DC3">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0.399</w:t>
                  </w:r>
                </w:p>
              </w:tc>
              <w:tc>
                <w:tcPr>
                  <w:tcW w:w="352" w:type="pct"/>
                  <w:noWrap w:val="0"/>
                  <w:vAlign w:val="center"/>
                </w:tcPr>
                <w:p w14:paraId="3306AA0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0.151</w:t>
                  </w:r>
                </w:p>
              </w:tc>
              <w:tc>
                <w:tcPr>
                  <w:tcW w:w="308" w:type="pct"/>
                  <w:noWrap w:val="0"/>
                  <w:vAlign w:val="center"/>
                </w:tcPr>
                <w:p w14:paraId="10E01D1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408" w:type="pct"/>
                  <w:noWrap w:val="0"/>
                  <w:vAlign w:val="center"/>
                </w:tcPr>
                <w:p w14:paraId="12D5533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w:t>
                  </w:r>
                </w:p>
              </w:tc>
            </w:tr>
          </w:tbl>
          <w:p w14:paraId="4E6B5BA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排气口设置及监测计划</w:t>
            </w:r>
          </w:p>
          <w:p w14:paraId="7FEAA3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根据</w:t>
            </w:r>
            <w:r>
              <w:rPr>
                <w:rFonts w:hint="eastAsia"/>
                <w:color w:val="000000" w:themeColor="text1"/>
                <w:sz w:val="24"/>
                <w:szCs w:val="24"/>
                <w:lang w:val="en-US" w:eastAsia="zh-CN"/>
                <w14:textFill>
                  <w14:solidFill>
                    <w14:schemeClr w14:val="tx1"/>
                  </w14:solidFill>
                </w14:textFill>
              </w:rPr>
              <w:t>根据《排污单位自行监测技术指南 总则》（HJ819-2017）和</w:t>
            </w:r>
            <w:r>
              <w:rPr>
                <w:rFonts w:hint="default" w:ascii="Times New Roman" w:hAnsi="Times New Roman" w:cs="Times New Roman"/>
                <w:b w:val="0"/>
                <w:bCs/>
                <w:color w:val="000000" w:themeColor="text1"/>
                <w:sz w:val="24"/>
                <w:lang w:val="en-US" w:eastAsia="zh-CN"/>
                <w14:textFill>
                  <w14:solidFill>
                    <w14:schemeClr w14:val="tx1"/>
                  </w14:solidFill>
                </w14:textFill>
              </w:rPr>
              <w:t>《</w:t>
            </w:r>
            <w:r>
              <w:rPr>
                <w:rFonts w:hint="eastAsia" w:ascii="Times New Roman" w:hAnsi="Times New Roman" w:cs="Times New Roman"/>
                <w:b w:val="0"/>
                <w:bCs/>
                <w:color w:val="000000" w:themeColor="text1"/>
                <w:sz w:val="24"/>
                <w:lang w:val="en-US" w:eastAsia="zh-CN"/>
                <w14:textFill>
                  <w14:solidFill>
                    <w14:schemeClr w14:val="tx1"/>
                  </w14:solidFill>
                </w14:textFill>
              </w:rPr>
              <w:t>排污单位自行监测技术指南 火力发电及</w:t>
            </w:r>
            <w:r>
              <w:rPr>
                <w:rFonts w:hint="default" w:ascii="Times New Roman" w:hAnsi="Times New Roman" w:cs="Times New Roman"/>
                <w:b w:val="0"/>
                <w:bCs/>
                <w:color w:val="000000" w:themeColor="text1"/>
                <w:sz w:val="24"/>
                <w:lang w:val="en-US" w:eastAsia="zh-CN"/>
                <w14:textFill>
                  <w14:solidFill>
                    <w14:schemeClr w14:val="tx1"/>
                  </w14:solidFill>
                </w14:textFill>
              </w:rPr>
              <w:t>锅炉》（HJ</w:t>
            </w:r>
            <w:r>
              <w:rPr>
                <w:rFonts w:hint="eastAsia" w:ascii="Times New Roman" w:hAnsi="Times New Roman" w:cs="Times New Roman"/>
                <w:b w:val="0"/>
                <w:bCs/>
                <w:color w:val="000000" w:themeColor="text1"/>
                <w:sz w:val="24"/>
                <w:lang w:val="en-US" w:eastAsia="zh-CN"/>
                <w14:textFill>
                  <w14:solidFill>
                    <w14:schemeClr w14:val="tx1"/>
                  </w14:solidFill>
                </w14:textFill>
              </w:rPr>
              <w:t>820</w:t>
            </w:r>
            <w:r>
              <w:rPr>
                <w:rFonts w:hint="default" w:ascii="Times New Roman" w:hAnsi="Times New Roman" w:cs="Times New Roman"/>
                <w:b w:val="0"/>
                <w:bCs/>
                <w:color w:val="000000" w:themeColor="text1"/>
                <w:sz w:val="24"/>
                <w:lang w:val="en-US" w:eastAsia="zh-CN"/>
                <w14:textFill>
                  <w14:solidFill>
                    <w14:schemeClr w14:val="tx1"/>
                  </w14:solidFill>
                </w14:textFill>
              </w:rPr>
              <w:t>-201</w:t>
            </w:r>
            <w:r>
              <w:rPr>
                <w:rFonts w:hint="eastAsia" w:ascii="Times New Roman" w:hAnsi="Times New Roman" w:cs="Times New Roman"/>
                <w:b w:val="0"/>
                <w:bCs/>
                <w:color w:val="000000" w:themeColor="text1"/>
                <w:sz w:val="24"/>
                <w:lang w:val="en-US" w:eastAsia="zh-CN"/>
                <w14:textFill>
                  <w14:solidFill>
                    <w14:schemeClr w14:val="tx1"/>
                  </w14:solidFill>
                </w14:textFill>
              </w:rPr>
              <w:t>7</w:t>
            </w:r>
            <w:r>
              <w:rPr>
                <w:rFonts w:hint="default" w:ascii="Times New Roman" w:hAnsi="Times New Roman" w:cs="Times New Roman"/>
                <w:b w:val="0"/>
                <w:bCs/>
                <w:color w:val="000000" w:themeColor="text1"/>
                <w:sz w:val="24"/>
                <w:lang w:val="en-US" w:eastAsia="zh-CN"/>
                <w14:textFill>
                  <w14:solidFill>
                    <w14:schemeClr w14:val="tx1"/>
                  </w14:solidFill>
                </w14:textFill>
              </w:rPr>
              <w:t>）</w:t>
            </w:r>
            <w:r>
              <w:rPr>
                <w:rFonts w:hint="eastAsia"/>
                <w:snapToGrid/>
                <w:color w:val="000000" w:themeColor="text1"/>
                <w:spacing w:val="0"/>
                <w:kern w:val="0"/>
                <w:position w:val="0"/>
                <w:sz w:val="24"/>
                <w:szCs w:val="24"/>
                <w:lang w:val="en-US" w:eastAsia="zh-CN"/>
                <w14:textFill>
                  <w14:solidFill>
                    <w14:schemeClr w14:val="tx1"/>
                  </w14:solidFill>
                </w14:textFill>
              </w:rPr>
              <w:t>，制定本项目大气监测计划：</w:t>
            </w:r>
          </w:p>
          <w:p w14:paraId="1758F0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表4.</w:t>
            </w:r>
            <w:r>
              <w:rPr>
                <w:rFonts w:hint="eastAsia"/>
                <w:b/>
                <w:bCs/>
                <w:snapToGrid/>
                <w:color w:val="000000" w:themeColor="text1"/>
                <w:spacing w:val="0"/>
                <w:kern w:val="0"/>
                <w:position w:val="0"/>
                <w:sz w:val="24"/>
                <w:szCs w:val="24"/>
                <w:lang w:val="en-US" w:eastAsia="zh-CN"/>
                <w14:textFill>
                  <w14:solidFill>
                    <w14:schemeClr w14:val="tx1"/>
                  </w14:solidFill>
                </w14:textFill>
              </w:rPr>
              <w:t>4</w:t>
            </w:r>
            <w:r>
              <w:rPr>
                <w:rFonts w:hint="default"/>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b/>
                <w:bCs/>
                <w:snapToGrid/>
                <w:color w:val="000000" w:themeColor="text1"/>
                <w:spacing w:val="0"/>
                <w:kern w:val="0"/>
                <w:position w:val="0"/>
                <w:sz w:val="24"/>
                <w:szCs w:val="24"/>
                <w:lang w:val="en-US" w:eastAsia="zh-CN"/>
                <w14:textFill>
                  <w14:solidFill>
                    <w14:schemeClr w14:val="tx1"/>
                  </w14:solidFill>
                </w14:textFill>
              </w:rPr>
              <w:t xml:space="preserve"> </w:t>
            </w:r>
            <w:r>
              <w:rPr>
                <w:rFonts w:hint="default"/>
                <w:b/>
                <w:bCs/>
                <w:snapToGrid/>
                <w:color w:val="000000" w:themeColor="text1"/>
                <w:spacing w:val="0"/>
                <w:kern w:val="0"/>
                <w:position w:val="0"/>
                <w:sz w:val="24"/>
                <w:szCs w:val="24"/>
                <w:lang w:val="en-US" w:eastAsia="zh-CN"/>
                <w14:textFill>
                  <w14:solidFill>
                    <w14:schemeClr w14:val="tx1"/>
                  </w14:solidFill>
                </w14:textFill>
              </w:rPr>
              <w:t>废气排放口</w:t>
            </w:r>
            <w:r>
              <w:rPr>
                <w:rFonts w:hint="eastAsia"/>
                <w:b/>
                <w:bCs/>
                <w:snapToGrid/>
                <w:color w:val="000000" w:themeColor="text1"/>
                <w:spacing w:val="0"/>
                <w:kern w:val="0"/>
                <w:position w:val="0"/>
                <w:sz w:val="24"/>
                <w:szCs w:val="24"/>
                <w:lang w:val="en-US" w:eastAsia="zh-CN"/>
                <w14:textFill>
                  <w14:solidFill>
                    <w14:schemeClr w14:val="tx1"/>
                  </w14:solidFill>
                </w14:textFill>
              </w:rPr>
              <w:t>设置及大气污染物监测计划</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369"/>
              <w:gridCol w:w="928"/>
              <w:gridCol w:w="1033"/>
              <w:gridCol w:w="1133"/>
              <w:gridCol w:w="2028"/>
              <w:gridCol w:w="1410"/>
              <w:gridCol w:w="1290"/>
              <w:gridCol w:w="1833"/>
              <w:gridCol w:w="1292"/>
            </w:tblGrid>
            <w:tr w14:paraId="58DD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restart"/>
                  <w:noWrap w:val="0"/>
                  <w:vAlign w:val="center"/>
                </w:tcPr>
                <w:p w14:paraId="4F7D6637">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污染源类别</w:t>
                  </w:r>
                </w:p>
              </w:tc>
              <w:tc>
                <w:tcPr>
                  <w:tcW w:w="512" w:type="pct"/>
                  <w:vMerge w:val="restart"/>
                  <w:noWrap w:val="0"/>
                  <w:vAlign w:val="center"/>
                </w:tcPr>
                <w:p w14:paraId="5041E81B">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排放口编号及名称</w:t>
                  </w:r>
                </w:p>
              </w:tc>
              <w:tc>
                <w:tcPr>
                  <w:tcW w:w="2446" w:type="pct"/>
                  <w:gridSpan w:val="5"/>
                  <w:noWrap w:val="0"/>
                  <w:vAlign w:val="center"/>
                </w:tcPr>
                <w:p w14:paraId="494156D4">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排放口基本情况</w:t>
                  </w:r>
                </w:p>
              </w:tc>
              <w:tc>
                <w:tcPr>
                  <w:tcW w:w="1653" w:type="pct"/>
                  <w:gridSpan w:val="3"/>
                  <w:noWrap w:val="0"/>
                  <w:vAlign w:val="center"/>
                </w:tcPr>
                <w:p w14:paraId="2260F406">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监测要求</w:t>
                  </w:r>
                </w:p>
              </w:tc>
            </w:tr>
            <w:tr w14:paraId="62E9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7167AC79">
                  <w:pPr>
                    <w:adjustRightInd w:val="0"/>
                    <w:snapToGrid w:val="0"/>
                    <w:jc w:val="center"/>
                    <w:rPr>
                      <w:rFonts w:hint="default"/>
                      <w:color w:val="000000" w:themeColor="text1"/>
                      <w:lang w:val="en-US" w:eastAsia="zh-CN"/>
                      <w14:textFill>
                        <w14:solidFill>
                          <w14:schemeClr w14:val="tx1"/>
                        </w14:solidFill>
                      </w14:textFill>
                    </w:rPr>
                  </w:pPr>
                </w:p>
              </w:tc>
              <w:tc>
                <w:tcPr>
                  <w:tcW w:w="512" w:type="pct"/>
                  <w:vMerge w:val="continue"/>
                  <w:noWrap w:val="0"/>
                  <w:vAlign w:val="center"/>
                </w:tcPr>
                <w:p w14:paraId="50D80044">
                  <w:pPr>
                    <w:adjustRightInd w:val="0"/>
                    <w:snapToGrid w:val="0"/>
                    <w:jc w:val="center"/>
                    <w:rPr>
                      <w:rFonts w:hint="default"/>
                      <w:color w:val="000000" w:themeColor="text1"/>
                      <w:lang w:val="en-US" w:eastAsia="zh-CN"/>
                      <w14:textFill>
                        <w14:solidFill>
                          <w14:schemeClr w14:val="tx1"/>
                        </w14:solidFill>
                      </w14:textFill>
                    </w:rPr>
                  </w:pPr>
                </w:p>
              </w:tc>
              <w:tc>
                <w:tcPr>
                  <w:tcW w:w="347" w:type="pct"/>
                  <w:noWrap w:val="0"/>
                  <w:vAlign w:val="center"/>
                </w:tcPr>
                <w:p w14:paraId="54BBF37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高度/m</w:t>
                  </w:r>
                </w:p>
              </w:tc>
              <w:tc>
                <w:tcPr>
                  <w:tcW w:w="386" w:type="pct"/>
                  <w:noWrap w:val="0"/>
                  <w:vAlign w:val="center"/>
                </w:tcPr>
                <w:p w14:paraId="6CBAB062">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内径/m</w:t>
                  </w:r>
                </w:p>
              </w:tc>
              <w:tc>
                <w:tcPr>
                  <w:tcW w:w="424" w:type="pct"/>
                  <w:noWrap w:val="0"/>
                  <w:vAlign w:val="center"/>
                </w:tcPr>
                <w:p w14:paraId="5D5DCF76">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温度</w:t>
                  </w:r>
                  <w:r>
                    <w:rPr>
                      <w:rFonts w:hint="default"/>
                      <w:color w:val="000000" w:themeColor="text1"/>
                      <w:lang w:val="en-US" w:eastAsia="zh-CN"/>
                      <w14:textFill>
                        <w14:solidFill>
                          <w14:schemeClr w14:val="tx1"/>
                        </w14:solidFill>
                      </w14:textFill>
                    </w:rPr>
                    <w:t>℃</w:t>
                  </w:r>
                </w:p>
              </w:tc>
              <w:tc>
                <w:tcPr>
                  <w:tcW w:w="759" w:type="pct"/>
                  <w:noWrap w:val="0"/>
                  <w:vAlign w:val="center"/>
                </w:tcPr>
                <w:p w14:paraId="3A9CF27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坐标</w:t>
                  </w:r>
                </w:p>
              </w:tc>
              <w:tc>
                <w:tcPr>
                  <w:tcW w:w="528" w:type="pct"/>
                  <w:noWrap w:val="0"/>
                  <w:vAlign w:val="center"/>
                </w:tcPr>
                <w:p w14:paraId="00DB6D4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类型</w:t>
                  </w:r>
                </w:p>
              </w:tc>
              <w:tc>
                <w:tcPr>
                  <w:tcW w:w="483" w:type="pct"/>
                  <w:noWrap w:val="0"/>
                  <w:vAlign w:val="center"/>
                </w:tcPr>
                <w:p w14:paraId="3AAC0608">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监测点位</w:t>
                  </w:r>
                </w:p>
              </w:tc>
              <w:tc>
                <w:tcPr>
                  <w:tcW w:w="686" w:type="pct"/>
                  <w:noWrap w:val="0"/>
                  <w:vAlign w:val="center"/>
                </w:tcPr>
                <w:p w14:paraId="1DA2768D">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监测因子</w:t>
                  </w:r>
                </w:p>
              </w:tc>
              <w:tc>
                <w:tcPr>
                  <w:tcW w:w="483" w:type="pct"/>
                  <w:noWrap w:val="0"/>
                  <w:vAlign w:val="center"/>
                </w:tcPr>
                <w:p w14:paraId="709A8EF3">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监测频次</w:t>
                  </w:r>
                </w:p>
              </w:tc>
            </w:tr>
            <w:tr w14:paraId="639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restart"/>
                  <w:noWrap w:val="0"/>
                  <w:vAlign w:val="center"/>
                </w:tcPr>
                <w:p w14:paraId="20BB7456">
                  <w:pPr>
                    <w:adjustRightInd w:val="0"/>
                    <w:snapToGrid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有组织</w:t>
                  </w:r>
                </w:p>
              </w:tc>
              <w:tc>
                <w:tcPr>
                  <w:tcW w:w="512" w:type="pct"/>
                  <w:vMerge w:val="restart"/>
                  <w:noWrap w:val="0"/>
                  <w:vAlign w:val="center"/>
                </w:tcPr>
                <w:p w14:paraId="7031224B">
                  <w:pPr>
                    <w:adjustRightInd w:val="0"/>
                    <w:snapToGrid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DA00</w:t>
                  </w:r>
                  <w:r>
                    <w:rPr>
                      <w:rFonts w:hint="eastAsia"/>
                      <w:color w:val="000000" w:themeColor="text1"/>
                      <w:lang w:val="en-US" w:eastAsia="zh-CN"/>
                      <w14:textFill>
                        <w14:solidFill>
                          <w14:schemeClr w14:val="tx1"/>
                        </w14:solidFill>
                      </w14:textFill>
                    </w:rPr>
                    <w:t>1/9T锅炉废气排放口</w:t>
                  </w:r>
                </w:p>
              </w:tc>
              <w:tc>
                <w:tcPr>
                  <w:tcW w:w="347" w:type="pct"/>
                  <w:vMerge w:val="restart"/>
                  <w:noWrap w:val="0"/>
                  <w:vAlign w:val="center"/>
                </w:tcPr>
                <w:p w14:paraId="6CEAF0CD">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386" w:type="pct"/>
                  <w:vMerge w:val="restart"/>
                  <w:noWrap w:val="0"/>
                  <w:vAlign w:val="center"/>
                </w:tcPr>
                <w:p w14:paraId="34C1F323">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0.492</w:t>
                  </w:r>
                </w:p>
              </w:tc>
              <w:tc>
                <w:tcPr>
                  <w:tcW w:w="424" w:type="pct"/>
                  <w:vMerge w:val="restart"/>
                  <w:noWrap w:val="0"/>
                  <w:vAlign w:val="center"/>
                </w:tcPr>
                <w:p w14:paraId="5643DE96">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82.75</w:t>
                  </w:r>
                </w:p>
              </w:tc>
              <w:tc>
                <w:tcPr>
                  <w:tcW w:w="759" w:type="pct"/>
                  <w:vMerge w:val="restart"/>
                  <w:noWrap w:val="0"/>
                  <w:vAlign w:val="center"/>
                </w:tcPr>
                <w:p w14:paraId="6FDAFAA8">
                  <w:pPr>
                    <w:adjustRightInd w:val="0"/>
                    <w:snapToGrid w:val="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E11</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56</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14.018</w:t>
                  </w:r>
                  <w:r>
                    <w:rPr>
                      <w:rFonts w:hint="default" w:ascii="Times New Roman" w:hAnsi="Times New Roman" w:cs="Times New Roman"/>
                      <w:color w:val="000000" w:themeColor="text1"/>
                      <w:lang w:val="en-US" w:eastAsia="zh-CN"/>
                      <w14:textFill>
                        <w14:solidFill>
                          <w14:schemeClr w14:val="tx1"/>
                        </w14:solidFill>
                      </w14:textFill>
                    </w:rPr>
                    <w:t>″，</w:t>
                  </w:r>
                </w:p>
                <w:p w14:paraId="647A099B">
                  <w:pPr>
                    <w:adjustRightInd w:val="0"/>
                    <w:snapToGrid w:val="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N33°4</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58.223</w:t>
                  </w:r>
                  <w:r>
                    <w:rPr>
                      <w:rFonts w:hint="default" w:ascii="Times New Roman" w:hAnsi="Times New Roman" w:cs="Times New Roman"/>
                      <w:color w:val="000000" w:themeColor="text1"/>
                      <w:lang w:val="en-US" w:eastAsia="zh-CN"/>
                      <w14:textFill>
                        <w14:solidFill>
                          <w14:schemeClr w14:val="tx1"/>
                        </w14:solidFill>
                      </w14:textFill>
                    </w:rPr>
                    <w:t>″</w:t>
                  </w:r>
                </w:p>
              </w:tc>
              <w:tc>
                <w:tcPr>
                  <w:tcW w:w="528" w:type="pct"/>
                  <w:vMerge w:val="restart"/>
                  <w:noWrap w:val="0"/>
                  <w:vAlign w:val="center"/>
                </w:tcPr>
                <w:p w14:paraId="7FD2D55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一般排放口</w:t>
                  </w:r>
                </w:p>
              </w:tc>
              <w:tc>
                <w:tcPr>
                  <w:tcW w:w="483" w:type="pct"/>
                  <w:vMerge w:val="restart"/>
                  <w:noWrap w:val="0"/>
                  <w:vAlign w:val="center"/>
                </w:tcPr>
                <w:p w14:paraId="1D9497F9">
                  <w:pPr>
                    <w:adjustRightInd w:val="0"/>
                    <w:snapToGrid w:val="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t>DA00</w:t>
                  </w:r>
                  <w:r>
                    <w:rPr>
                      <w:rFonts w:hint="eastAsia"/>
                      <w:color w:val="000000" w:themeColor="text1"/>
                      <w:lang w:val="en-US" w:eastAsia="zh-CN"/>
                      <w14:textFill>
                        <w14:solidFill>
                          <w14:schemeClr w14:val="tx1"/>
                        </w14:solidFill>
                      </w14:textFill>
                    </w:rPr>
                    <w:t>1</w:t>
                  </w:r>
                </w:p>
              </w:tc>
              <w:tc>
                <w:tcPr>
                  <w:tcW w:w="686" w:type="pct"/>
                  <w:shd w:val="clear" w:color="auto" w:fill="auto"/>
                  <w:noWrap w:val="0"/>
                  <w:vAlign w:val="center"/>
                </w:tcPr>
                <w:p w14:paraId="635F49E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483" w:type="pct"/>
                  <w:noWrap w:val="0"/>
                  <w:vAlign w:val="center"/>
                </w:tcPr>
                <w:p w14:paraId="44959EA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r w14:paraId="156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3218B6E8">
                  <w:pPr>
                    <w:adjustRightInd w:val="0"/>
                    <w:snapToGrid w:val="0"/>
                    <w:jc w:val="center"/>
                    <w:rPr>
                      <w:color w:val="000000" w:themeColor="text1"/>
                      <w14:textFill>
                        <w14:solidFill>
                          <w14:schemeClr w14:val="tx1"/>
                        </w14:solidFill>
                      </w14:textFill>
                    </w:rPr>
                  </w:pPr>
                </w:p>
              </w:tc>
              <w:tc>
                <w:tcPr>
                  <w:tcW w:w="512" w:type="pct"/>
                  <w:vMerge w:val="continue"/>
                  <w:noWrap w:val="0"/>
                  <w:vAlign w:val="center"/>
                </w:tcPr>
                <w:p w14:paraId="3EA82013">
                  <w:pPr>
                    <w:adjustRightInd w:val="0"/>
                    <w:snapToGrid w:val="0"/>
                    <w:jc w:val="center"/>
                    <w:rPr>
                      <w:color w:val="000000" w:themeColor="text1"/>
                      <w14:textFill>
                        <w14:solidFill>
                          <w14:schemeClr w14:val="tx1"/>
                        </w14:solidFill>
                      </w14:textFill>
                    </w:rPr>
                  </w:pPr>
                </w:p>
              </w:tc>
              <w:tc>
                <w:tcPr>
                  <w:tcW w:w="347" w:type="pct"/>
                  <w:vMerge w:val="continue"/>
                  <w:noWrap w:val="0"/>
                  <w:vAlign w:val="center"/>
                </w:tcPr>
                <w:p w14:paraId="768A27F8">
                  <w:pPr>
                    <w:adjustRightInd w:val="0"/>
                    <w:snapToGrid w:val="0"/>
                    <w:jc w:val="center"/>
                    <w:rPr>
                      <w:color w:val="000000" w:themeColor="text1"/>
                      <w14:textFill>
                        <w14:solidFill>
                          <w14:schemeClr w14:val="tx1"/>
                        </w14:solidFill>
                      </w14:textFill>
                    </w:rPr>
                  </w:pPr>
                </w:p>
              </w:tc>
              <w:tc>
                <w:tcPr>
                  <w:tcW w:w="386" w:type="pct"/>
                  <w:vMerge w:val="continue"/>
                  <w:noWrap w:val="0"/>
                  <w:vAlign w:val="center"/>
                </w:tcPr>
                <w:p w14:paraId="50A50970">
                  <w:pPr>
                    <w:adjustRightInd w:val="0"/>
                    <w:snapToGrid w:val="0"/>
                    <w:jc w:val="center"/>
                    <w:rPr>
                      <w:color w:val="000000" w:themeColor="text1"/>
                      <w14:textFill>
                        <w14:solidFill>
                          <w14:schemeClr w14:val="tx1"/>
                        </w14:solidFill>
                      </w14:textFill>
                    </w:rPr>
                  </w:pPr>
                </w:p>
              </w:tc>
              <w:tc>
                <w:tcPr>
                  <w:tcW w:w="424" w:type="pct"/>
                  <w:vMerge w:val="continue"/>
                  <w:noWrap w:val="0"/>
                  <w:vAlign w:val="center"/>
                </w:tcPr>
                <w:p w14:paraId="441AF6D9">
                  <w:pPr>
                    <w:adjustRightInd w:val="0"/>
                    <w:snapToGrid w:val="0"/>
                    <w:jc w:val="center"/>
                    <w:rPr>
                      <w:color w:val="000000" w:themeColor="text1"/>
                      <w14:textFill>
                        <w14:solidFill>
                          <w14:schemeClr w14:val="tx1"/>
                        </w14:solidFill>
                      </w14:textFill>
                    </w:rPr>
                  </w:pPr>
                </w:p>
              </w:tc>
              <w:tc>
                <w:tcPr>
                  <w:tcW w:w="759" w:type="pct"/>
                  <w:vMerge w:val="continue"/>
                  <w:noWrap w:val="0"/>
                  <w:vAlign w:val="center"/>
                </w:tcPr>
                <w:p w14:paraId="139AE3B7">
                  <w:pPr>
                    <w:adjustRightInd w:val="0"/>
                    <w:snapToGrid w:val="0"/>
                    <w:jc w:val="center"/>
                    <w:rPr>
                      <w:color w:val="000000" w:themeColor="text1"/>
                      <w14:textFill>
                        <w14:solidFill>
                          <w14:schemeClr w14:val="tx1"/>
                        </w14:solidFill>
                      </w14:textFill>
                    </w:rPr>
                  </w:pPr>
                </w:p>
              </w:tc>
              <w:tc>
                <w:tcPr>
                  <w:tcW w:w="528" w:type="pct"/>
                  <w:vMerge w:val="continue"/>
                  <w:noWrap w:val="0"/>
                  <w:vAlign w:val="center"/>
                </w:tcPr>
                <w:p w14:paraId="7416B755">
                  <w:pPr>
                    <w:adjustRightInd w:val="0"/>
                    <w:snapToGrid w:val="0"/>
                    <w:jc w:val="center"/>
                    <w:rPr>
                      <w:color w:val="000000" w:themeColor="text1"/>
                      <w14:textFill>
                        <w14:solidFill>
                          <w14:schemeClr w14:val="tx1"/>
                        </w14:solidFill>
                      </w14:textFill>
                    </w:rPr>
                  </w:pPr>
                </w:p>
              </w:tc>
              <w:tc>
                <w:tcPr>
                  <w:tcW w:w="483" w:type="pct"/>
                  <w:vMerge w:val="continue"/>
                  <w:noWrap w:val="0"/>
                  <w:vAlign w:val="center"/>
                </w:tcPr>
                <w:p w14:paraId="19C69B32">
                  <w:pPr>
                    <w:adjustRightInd w:val="0"/>
                    <w:snapToGrid w:val="0"/>
                    <w:jc w:val="center"/>
                    <w:rPr>
                      <w:color w:val="000000" w:themeColor="text1"/>
                      <w14:textFill>
                        <w14:solidFill>
                          <w14:schemeClr w14:val="tx1"/>
                        </w14:solidFill>
                      </w14:textFill>
                    </w:rPr>
                  </w:pPr>
                </w:p>
              </w:tc>
              <w:tc>
                <w:tcPr>
                  <w:tcW w:w="686" w:type="pct"/>
                  <w:shd w:val="clear" w:color="auto" w:fill="auto"/>
                  <w:noWrap w:val="0"/>
                  <w:vAlign w:val="center"/>
                </w:tcPr>
                <w:p w14:paraId="3C2FAC3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NO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X</w:t>
                  </w:r>
                </w:p>
              </w:tc>
              <w:tc>
                <w:tcPr>
                  <w:tcW w:w="483" w:type="pct"/>
                  <w:noWrap w:val="0"/>
                  <w:vAlign w:val="center"/>
                </w:tcPr>
                <w:p w14:paraId="4C7E7486">
                  <w:pPr>
                    <w:adjustRightInd w:val="0"/>
                    <w:snapToGrid w:val="0"/>
                    <w:jc w:val="center"/>
                    <w:rPr>
                      <w:rFonts w:hint="eastAsia" w:eastAsia="宋体"/>
                      <w:color w:val="000000" w:themeColor="text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w:t>
                  </w:r>
                  <w:r>
                    <w:rPr>
                      <w:rFonts w:hint="eastAsia"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月</w:t>
                  </w:r>
                </w:p>
              </w:tc>
            </w:tr>
            <w:tr w14:paraId="5F38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7912F6E4">
                  <w:pPr>
                    <w:adjustRightInd w:val="0"/>
                    <w:snapToGrid w:val="0"/>
                    <w:jc w:val="center"/>
                    <w:rPr>
                      <w:color w:val="000000" w:themeColor="text1"/>
                      <w14:textFill>
                        <w14:solidFill>
                          <w14:schemeClr w14:val="tx1"/>
                        </w14:solidFill>
                      </w14:textFill>
                    </w:rPr>
                  </w:pPr>
                </w:p>
              </w:tc>
              <w:tc>
                <w:tcPr>
                  <w:tcW w:w="512" w:type="pct"/>
                  <w:vMerge w:val="continue"/>
                  <w:noWrap w:val="0"/>
                  <w:vAlign w:val="center"/>
                </w:tcPr>
                <w:p w14:paraId="2A68DE96">
                  <w:pPr>
                    <w:adjustRightInd w:val="0"/>
                    <w:snapToGrid w:val="0"/>
                    <w:jc w:val="center"/>
                    <w:rPr>
                      <w:color w:val="000000" w:themeColor="text1"/>
                      <w14:textFill>
                        <w14:solidFill>
                          <w14:schemeClr w14:val="tx1"/>
                        </w14:solidFill>
                      </w14:textFill>
                    </w:rPr>
                  </w:pPr>
                </w:p>
              </w:tc>
              <w:tc>
                <w:tcPr>
                  <w:tcW w:w="347" w:type="pct"/>
                  <w:vMerge w:val="continue"/>
                  <w:noWrap w:val="0"/>
                  <w:vAlign w:val="center"/>
                </w:tcPr>
                <w:p w14:paraId="17833344">
                  <w:pPr>
                    <w:adjustRightInd w:val="0"/>
                    <w:snapToGrid w:val="0"/>
                    <w:jc w:val="center"/>
                    <w:rPr>
                      <w:color w:val="000000" w:themeColor="text1"/>
                      <w14:textFill>
                        <w14:solidFill>
                          <w14:schemeClr w14:val="tx1"/>
                        </w14:solidFill>
                      </w14:textFill>
                    </w:rPr>
                  </w:pPr>
                </w:p>
              </w:tc>
              <w:tc>
                <w:tcPr>
                  <w:tcW w:w="386" w:type="pct"/>
                  <w:vMerge w:val="continue"/>
                  <w:noWrap w:val="0"/>
                  <w:vAlign w:val="center"/>
                </w:tcPr>
                <w:p w14:paraId="28CA2111">
                  <w:pPr>
                    <w:adjustRightInd w:val="0"/>
                    <w:snapToGrid w:val="0"/>
                    <w:jc w:val="center"/>
                    <w:rPr>
                      <w:color w:val="000000" w:themeColor="text1"/>
                      <w14:textFill>
                        <w14:solidFill>
                          <w14:schemeClr w14:val="tx1"/>
                        </w14:solidFill>
                      </w14:textFill>
                    </w:rPr>
                  </w:pPr>
                </w:p>
              </w:tc>
              <w:tc>
                <w:tcPr>
                  <w:tcW w:w="424" w:type="pct"/>
                  <w:vMerge w:val="continue"/>
                  <w:noWrap w:val="0"/>
                  <w:vAlign w:val="center"/>
                </w:tcPr>
                <w:p w14:paraId="5D021DBC">
                  <w:pPr>
                    <w:adjustRightInd w:val="0"/>
                    <w:snapToGrid w:val="0"/>
                    <w:jc w:val="center"/>
                    <w:rPr>
                      <w:color w:val="000000" w:themeColor="text1"/>
                      <w14:textFill>
                        <w14:solidFill>
                          <w14:schemeClr w14:val="tx1"/>
                        </w14:solidFill>
                      </w14:textFill>
                    </w:rPr>
                  </w:pPr>
                </w:p>
              </w:tc>
              <w:tc>
                <w:tcPr>
                  <w:tcW w:w="759" w:type="pct"/>
                  <w:vMerge w:val="continue"/>
                  <w:noWrap w:val="0"/>
                  <w:vAlign w:val="center"/>
                </w:tcPr>
                <w:p w14:paraId="5E0D1079">
                  <w:pPr>
                    <w:adjustRightInd w:val="0"/>
                    <w:snapToGrid w:val="0"/>
                    <w:jc w:val="center"/>
                    <w:rPr>
                      <w:color w:val="000000" w:themeColor="text1"/>
                      <w14:textFill>
                        <w14:solidFill>
                          <w14:schemeClr w14:val="tx1"/>
                        </w14:solidFill>
                      </w14:textFill>
                    </w:rPr>
                  </w:pPr>
                </w:p>
              </w:tc>
              <w:tc>
                <w:tcPr>
                  <w:tcW w:w="528" w:type="pct"/>
                  <w:vMerge w:val="continue"/>
                  <w:noWrap w:val="0"/>
                  <w:vAlign w:val="center"/>
                </w:tcPr>
                <w:p w14:paraId="07E359C6">
                  <w:pPr>
                    <w:adjustRightInd w:val="0"/>
                    <w:snapToGrid w:val="0"/>
                    <w:jc w:val="center"/>
                    <w:rPr>
                      <w:color w:val="000000" w:themeColor="text1"/>
                      <w14:textFill>
                        <w14:solidFill>
                          <w14:schemeClr w14:val="tx1"/>
                        </w14:solidFill>
                      </w14:textFill>
                    </w:rPr>
                  </w:pPr>
                </w:p>
              </w:tc>
              <w:tc>
                <w:tcPr>
                  <w:tcW w:w="483" w:type="pct"/>
                  <w:vMerge w:val="continue"/>
                  <w:noWrap w:val="0"/>
                  <w:vAlign w:val="center"/>
                </w:tcPr>
                <w:p w14:paraId="47352E59">
                  <w:pPr>
                    <w:adjustRightInd w:val="0"/>
                    <w:snapToGrid w:val="0"/>
                    <w:jc w:val="center"/>
                    <w:rPr>
                      <w:color w:val="000000" w:themeColor="text1"/>
                      <w14:textFill>
                        <w14:solidFill>
                          <w14:schemeClr w14:val="tx1"/>
                        </w14:solidFill>
                      </w14:textFill>
                    </w:rPr>
                  </w:pPr>
                </w:p>
              </w:tc>
              <w:tc>
                <w:tcPr>
                  <w:tcW w:w="686" w:type="pct"/>
                  <w:shd w:val="clear" w:color="auto" w:fill="auto"/>
                  <w:noWrap w:val="0"/>
                  <w:vAlign w:val="center"/>
                </w:tcPr>
                <w:p w14:paraId="6FFBB11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颗粒物</w:t>
                  </w:r>
                </w:p>
              </w:tc>
              <w:tc>
                <w:tcPr>
                  <w:tcW w:w="483" w:type="pct"/>
                  <w:noWrap w:val="0"/>
                  <w:vAlign w:val="center"/>
                </w:tcPr>
                <w:p w14:paraId="4EB657EA">
                  <w:pPr>
                    <w:adjustRightInd w:val="0"/>
                    <w:snapToGrid w:val="0"/>
                    <w:jc w:val="center"/>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r w14:paraId="6C2A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noWrap w:val="0"/>
                  <w:vAlign w:val="center"/>
                </w:tcPr>
                <w:p w14:paraId="76AE657F">
                  <w:pPr>
                    <w:adjustRightInd w:val="0"/>
                    <w:snapToGrid w:val="0"/>
                    <w:jc w:val="center"/>
                    <w:rPr>
                      <w:rFonts w:hint="eastAsia"/>
                      <w:color w:val="000000" w:themeColor="text1"/>
                      <w:lang w:val="en-US" w:eastAsia="zh-CN"/>
                      <w14:textFill>
                        <w14:solidFill>
                          <w14:schemeClr w14:val="tx1"/>
                        </w14:solidFill>
                      </w14:textFill>
                    </w:rPr>
                  </w:pPr>
                </w:p>
              </w:tc>
              <w:tc>
                <w:tcPr>
                  <w:tcW w:w="512" w:type="pct"/>
                  <w:vMerge w:val="continue"/>
                  <w:noWrap w:val="0"/>
                  <w:vAlign w:val="center"/>
                </w:tcPr>
                <w:p w14:paraId="5121465A">
                  <w:pPr>
                    <w:adjustRightInd w:val="0"/>
                    <w:snapToGrid w:val="0"/>
                    <w:jc w:val="center"/>
                    <w:rPr>
                      <w:rFonts w:hint="eastAsia"/>
                      <w:color w:val="000000" w:themeColor="text1"/>
                      <w:lang w:val="en-US" w:eastAsia="zh-CN"/>
                      <w14:textFill>
                        <w14:solidFill>
                          <w14:schemeClr w14:val="tx1"/>
                        </w14:solidFill>
                      </w14:textFill>
                    </w:rPr>
                  </w:pPr>
                </w:p>
              </w:tc>
              <w:tc>
                <w:tcPr>
                  <w:tcW w:w="347" w:type="pct"/>
                  <w:vMerge w:val="continue"/>
                  <w:noWrap w:val="0"/>
                  <w:vAlign w:val="center"/>
                </w:tcPr>
                <w:p w14:paraId="0A7DAC4B">
                  <w:pPr>
                    <w:adjustRightInd w:val="0"/>
                    <w:snapToGrid w:val="0"/>
                    <w:jc w:val="center"/>
                    <w:rPr>
                      <w:rFonts w:hint="eastAsia"/>
                      <w:color w:val="000000" w:themeColor="text1"/>
                      <w:lang w:val="en-US" w:eastAsia="zh-CN"/>
                      <w14:textFill>
                        <w14:solidFill>
                          <w14:schemeClr w14:val="tx1"/>
                        </w14:solidFill>
                      </w14:textFill>
                    </w:rPr>
                  </w:pPr>
                </w:p>
              </w:tc>
              <w:tc>
                <w:tcPr>
                  <w:tcW w:w="386" w:type="pct"/>
                  <w:vMerge w:val="continue"/>
                  <w:noWrap w:val="0"/>
                  <w:vAlign w:val="center"/>
                </w:tcPr>
                <w:p w14:paraId="2DE7103D">
                  <w:pPr>
                    <w:adjustRightInd w:val="0"/>
                    <w:snapToGrid w:val="0"/>
                    <w:jc w:val="center"/>
                    <w:rPr>
                      <w:rFonts w:hint="eastAsia"/>
                      <w:color w:val="000000" w:themeColor="text1"/>
                      <w:lang w:val="en-US" w:eastAsia="zh-CN"/>
                      <w14:textFill>
                        <w14:solidFill>
                          <w14:schemeClr w14:val="tx1"/>
                        </w14:solidFill>
                      </w14:textFill>
                    </w:rPr>
                  </w:pPr>
                </w:p>
              </w:tc>
              <w:tc>
                <w:tcPr>
                  <w:tcW w:w="424" w:type="pct"/>
                  <w:vMerge w:val="continue"/>
                  <w:noWrap w:val="0"/>
                  <w:vAlign w:val="center"/>
                </w:tcPr>
                <w:p w14:paraId="69D1C43D">
                  <w:pPr>
                    <w:adjustRightInd w:val="0"/>
                    <w:snapToGrid w:val="0"/>
                    <w:jc w:val="center"/>
                    <w:rPr>
                      <w:rFonts w:hint="eastAsia"/>
                      <w:color w:val="000000" w:themeColor="text1"/>
                      <w:lang w:val="en-US" w:eastAsia="zh-CN"/>
                      <w14:textFill>
                        <w14:solidFill>
                          <w14:schemeClr w14:val="tx1"/>
                        </w14:solidFill>
                      </w14:textFill>
                    </w:rPr>
                  </w:pPr>
                </w:p>
              </w:tc>
              <w:tc>
                <w:tcPr>
                  <w:tcW w:w="759" w:type="pct"/>
                  <w:vMerge w:val="continue"/>
                  <w:noWrap w:val="0"/>
                  <w:vAlign w:val="center"/>
                </w:tcPr>
                <w:p w14:paraId="770674FE">
                  <w:pPr>
                    <w:adjustRightInd w:val="0"/>
                    <w:snapToGrid w:val="0"/>
                    <w:jc w:val="center"/>
                    <w:rPr>
                      <w:rFonts w:hint="eastAsia"/>
                      <w:color w:val="000000" w:themeColor="text1"/>
                      <w:lang w:val="en-US" w:eastAsia="zh-CN"/>
                      <w14:textFill>
                        <w14:solidFill>
                          <w14:schemeClr w14:val="tx1"/>
                        </w14:solidFill>
                      </w14:textFill>
                    </w:rPr>
                  </w:pPr>
                </w:p>
              </w:tc>
              <w:tc>
                <w:tcPr>
                  <w:tcW w:w="528" w:type="pct"/>
                  <w:vMerge w:val="continue"/>
                  <w:noWrap w:val="0"/>
                  <w:vAlign w:val="center"/>
                </w:tcPr>
                <w:p w14:paraId="579F4AE1">
                  <w:pPr>
                    <w:adjustRightInd w:val="0"/>
                    <w:snapToGrid w:val="0"/>
                    <w:jc w:val="center"/>
                    <w:rPr>
                      <w:rFonts w:hint="eastAsia"/>
                      <w:color w:val="000000" w:themeColor="text1"/>
                      <w:lang w:val="en-US" w:eastAsia="zh-CN"/>
                      <w14:textFill>
                        <w14:solidFill>
                          <w14:schemeClr w14:val="tx1"/>
                        </w14:solidFill>
                      </w14:textFill>
                    </w:rPr>
                  </w:pPr>
                </w:p>
              </w:tc>
              <w:tc>
                <w:tcPr>
                  <w:tcW w:w="483" w:type="pct"/>
                  <w:vMerge w:val="continue"/>
                  <w:noWrap w:val="0"/>
                  <w:vAlign w:val="center"/>
                </w:tcPr>
                <w:p w14:paraId="731CF9CD">
                  <w:pPr>
                    <w:adjustRightInd w:val="0"/>
                    <w:snapToGrid w:val="0"/>
                    <w:jc w:val="center"/>
                    <w:rPr>
                      <w:rFonts w:hint="eastAsia"/>
                      <w:color w:val="000000" w:themeColor="text1"/>
                      <w:lang w:val="en-US" w:eastAsia="zh-CN"/>
                      <w14:textFill>
                        <w14:solidFill>
                          <w14:schemeClr w14:val="tx1"/>
                        </w14:solidFill>
                      </w14:textFill>
                    </w:rPr>
                  </w:pPr>
                </w:p>
              </w:tc>
              <w:tc>
                <w:tcPr>
                  <w:tcW w:w="686" w:type="pct"/>
                  <w:shd w:val="clear" w:color="auto" w:fill="auto"/>
                  <w:noWrap w:val="0"/>
                  <w:vAlign w:val="center"/>
                </w:tcPr>
                <w:p w14:paraId="26D22E1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lang w:val="en-US" w:eastAsia="zh-CN"/>
                      <w14:textFill>
                        <w14:solidFill>
                          <w14:schemeClr w14:val="tx1"/>
                        </w14:solidFill>
                      </w14:textFill>
                    </w:rPr>
                    <w:t>林格曼黑度</w:t>
                  </w:r>
                </w:p>
              </w:tc>
              <w:tc>
                <w:tcPr>
                  <w:tcW w:w="483" w:type="pct"/>
                  <w:noWrap w:val="0"/>
                  <w:vAlign w:val="center"/>
                </w:tcPr>
                <w:p w14:paraId="4B080849">
                  <w:pPr>
                    <w:adjustRightInd w:val="0"/>
                    <w:snapToGrid w:val="0"/>
                    <w:jc w:val="center"/>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bl>
          <w:p w14:paraId="537605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snapToGrid/>
                <w:color w:val="000000" w:themeColor="text1"/>
                <w:spacing w:val="0"/>
                <w:kern w:val="0"/>
                <w:position w:val="0"/>
                <w:sz w:val="10"/>
                <w:szCs w:val="10"/>
                <w:lang w:val="en-US" w:eastAsia="zh-CN"/>
                <w14:textFill>
                  <w14:solidFill>
                    <w14:schemeClr w14:val="tx1"/>
                  </w14:solidFill>
                </w14:textFill>
              </w:rPr>
            </w:pPr>
          </w:p>
        </w:tc>
      </w:tr>
    </w:tbl>
    <w:p w14:paraId="0812BFB4">
      <w:pPr>
        <w:pStyle w:val="29"/>
        <w:rPr>
          <w:snapToGrid/>
          <w:color w:val="000000" w:themeColor="text1"/>
          <w:spacing w:val="0"/>
          <w:kern w:val="0"/>
          <w:position w:val="0"/>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424"/>
      </w:tblGrid>
      <w:tr w14:paraId="66F05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tcBorders>
              <w:tl2br w:val="nil"/>
              <w:tr2bl w:val="nil"/>
            </w:tcBorders>
            <w:noWrap w:val="0"/>
            <w:vAlign w:val="center"/>
          </w:tcPr>
          <w:p w14:paraId="5B3F974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6DB96D0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2C0C8C8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18A4939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7848987D">
            <w:pPr>
              <w:adjustRightInd w:val="0"/>
              <w:snapToGrid w:val="0"/>
              <w:spacing w:line="240" w:lineRule="auto"/>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29FC66E7">
            <w:pPr>
              <w:pStyle w:val="29"/>
              <w:numPr>
                <w:ilvl w:val="1"/>
                <w:numId w:val="0"/>
              </w:numPr>
              <w:spacing w:line="240" w:lineRule="auto"/>
              <w:ind w:leftChars="0"/>
              <w:jc w:val="center"/>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0" w:type="auto"/>
            <w:tcBorders>
              <w:tl2br w:val="nil"/>
              <w:tr2bl w:val="nil"/>
            </w:tcBorders>
            <w:noWrap w:val="0"/>
            <w:vAlign w:val="center"/>
          </w:tcPr>
          <w:p w14:paraId="757AD59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废气</w:t>
            </w:r>
            <w:r>
              <w:rPr>
                <w:rFonts w:hint="eastAsia" w:ascii="Times New Roman" w:hAnsi="Times New Roman" w:eastAsia="宋体" w:cs="Times New Roman"/>
                <w:b/>
                <w:color w:val="000000" w:themeColor="text1"/>
                <w:sz w:val="24"/>
                <w:lang w:val="en-US" w:eastAsia="zh-CN"/>
                <w14:textFill>
                  <w14:solidFill>
                    <w14:schemeClr w14:val="tx1"/>
                  </w14:solidFill>
                </w14:textFill>
              </w:rPr>
              <w:t>工艺可行性</w:t>
            </w:r>
            <w:r>
              <w:rPr>
                <w:rFonts w:hint="default" w:ascii="Times New Roman" w:hAnsi="Times New Roman" w:eastAsia="宋体" w:cs="Times New Roman"/>
                <w:b/>
                <w:color w:val="000000" w:themeColor="text1"/>
                <w:sz w:val="24"/>
                <w14:textFill>
                  <w14:solidFill>
                    <w14:schemeClr w14:val="tx1"/>
                  </w14:solidFill>
                </w14:textFill>
              </w:rPr>
              <w:t>分析</w:t>
            </w:r>
          </w:p>
          <w:p w14:paraId="6FE1C5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本项目生产过程中废气主要有</w:t>
            </w:r>
            <w:r>
              <w:rPr>
                <w:rFonts w:hint="eastAsia"/>
                <w:color w:val="000000" w:themeColor="text1"/>
                <w:sz w:val="24"/>
                <w:lang w:val="en-US" w:eastAsia="zh-CN"/>
                <w14:textFill>
                  <w14:solidFill>
                    <w14:schemeClr w14:val="tx1"/>
                  </w14:solidFill>
                </w14:textFill>
              </w:rPr>
              <w:t>9T锅炉废气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6C57DD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根据《排污许可证申请与核发技术规范 锅炉》（HJ953-2018），燃气室燃炉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的锅炉烟气</w:t>
            </w:r>
            <w:r>
              <w:rPr>
                <w:rFonts w:hint="eastAsia" w:cs="Times New Roman"/>
                <w:color w:val="000000" w:themeColor="text1"/>
                <w:sz w:val="24"/>
                <w:szCs w:val="24"/>
                <w:highlight w:val="none"/>
                <w:lang w:val="en-US" w:eastAsia="zh-CN"/>
                <w14:textFill>
                  <w14:solidFill>
                    <w14:schemeClr w14:val="tx1"/>
                  </w14:solidFill>
                </w14:textFill>
              </w:rPr>
              <w:t>中氮氧化物</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污染防治可行技术</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包括</w:t>
            </w:r>
            <w:r>
              <w:rPr>
                <w:rFonts w:hint="default" w:ascii="Times New Roman" w:hAnsi="Times New Roman" w:eastAsia="宋体" w:cs="Times New Roman"/>
                <w:color w:val="000000" w:themeColor="text1"/>
                <w:sz w:val="24"/>
                <w:szCs w:val="24"/>
                <w:highlight w:val="none"/>
                <w14:textFill>
                  <w14:solidFill>
                    <w14:schemeClr w14:val="tx1"/>
                  </w14:solidFill>
                </w14:textFill>
              </w:rPr>
              <w:t>低氮燃烧技术、低氮燃烧+SCR 脱硝技术</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则本项目</w:t>
            </w:r>
            <w:r>
              <w:rPr>
                <w:rFonts w:hint="eastAsia"/>
                <w:color w:val="000000" w:themeColor="text1"/>
                <w:sz w:val="24"/>
                <w:lang w:val="en-US" w:eastAsia="zh-CN"/>
                <w14:textFill>
                  <w14:solidFill>
                    <w14:schemeClr w14:val="tx1"/>
                  </w14:solidFill>
                </w14:textFill>
              </w:rPr>
              <w:t>9T锅炉废气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低氮燃烧技术</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米高排气筒（DA00</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”处理，因此本项目废气处理工艺为可行性技术。</w:t>
            </w:r>
          </w:p>
          <w:p w14:paraId="74A11FC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非正常工况分析</w:t>
            </w:r>
          </w:p>
          <w:p w14:paraId="003C4D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非正常工况是指生产过程中开停车（工、炉）、设备检修、工艺设备运转异常等非正常工况下的污染物排放，以及污染物排放控制措施达不到应有效率等情况下的排放</w:t>
            </w:r>
            <w:r>
              <w:rPr>
                <w:rFonts w:hint="eastAsia" w:ascii="Times New Roman" w:hAnsi="Times New Roman" w:eastAsia="宋体" w:cs="Times New Roman"/>
                <w:b w:val="0"/>
                <w:bCs w:val="0"/>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根据本项目的污染物特点及工程分析，项目非正工况污染源主要是污染物排放控制措施达不到应有效率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，即</w:t>
            </w:r>
            <w:r>
              <w:rPr>
                <w:rFonts w:hint="eastAsia" w:ascii="Times New Roman" w:hAnsi="Times New Roman" w:eastAsia="宋体"/>
                <w:color w:val="000000" w:themeColor="text1"/>
                <w:sz w:val="24"/>
                <w:szCs w:val="24"/>
                <w:lang w:val="en-US" w:eastAsia="zh-CN"/>
                <w14:textFill>
                  <w14:solidFill>
                    <w14:schemeClr w14:val="tx1"/>
                  </w14:solidFill>
                </w14:textFill>
              </w:rPr>
              <w:t>9T锅炉废气</w:t>
            </w:r>
            <w:r>
              <w:rPr>
                <w:rFonts w:hint="eastAsia" w:ascii="宋体" w:hAnsi="宋体" w:eastAsia="宋体" w:cs="宋体"/>
                <w:color w:val="000000" w:themeColor="text1"/>
                <w:kern w:val="0"/>
                <w:sz w:val="24"/>
                <w:szCs w:val="24"/>
                <w:lang w:val="en-US" w:eastAsia="zh-CN" w:bidi="ar"/>
                <w14:textFill>
                  <w14:solidFill>
                    <w14:schemeClr w14:val="tx1"/>
                  </w14:solidFill>
                </w14:textFill>
              </w:rPr>
              <w:t>处理装置“低氮燃烧器”故障引起氮氧化物的事故排放，</w:t>
            </w:r>
            <w:r>
              <w:rPr>
                <w:color w:val="000000" w:themeColor="text1"/>
                <w:kern w:val="0"/>
                <w:sz w:val="24"/>
                <w:lang w:bidi="ar"/>
                <w14:textFill>
                  <w14:solidFill>
                    <w14:schemeClr w14:val="tx1"/>
                  </w14:solidFill>
                </w14:textFill>
              </w:rPr>
              <w:t>非正常工况条件下废气排放源强及排放情况见下表</w:t>
            </w:r>
            <w:r>
              <w:rPr>
                <w:color w:val="000000" w:themeColor="text1"/>
                <w:sz w:val="24"/>
                <w14:textFill>
                  <w14:solidFill>
                    <w14:schemeClr w14:val="tx1"/>
                  </w14:solidFill>
                </w14:textFill>
              </w:rPr>
              <w:t>：</w:t>
            </w:r>
          </w:p>
          <w:p w14:paraId="6A1E2885">
            <w:pPr>
              <w:adjustRightInd w:val="0"/>
              <w:snapToGrid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表4.</w:t>
            </w:r>
            <w:r>
              <w:rPr>
                <w:rFonts w:hint="eastAsia"/>
                <w:b/>
                <w:bCs/>
                <w:color w:val="000000" w:themeColor="text1"/>
                <w:sz w:val="24"/>
                <w:lang w:val="en-US" w:eastAsia="zh-CN"/>
                <w14:textFill>
                  <w14:solidFill>
                    <w14:schemeClr w14:val="tx1"/>
                  </w14:solidFill>
                </w14:textFill>
              </w:rPr>
              <w:t xml:space="preserve">5  </w:t>
            </w:r>
            <w:r>
              <w:rPr>
                <w:b/>
                <w:bCs/>
                <w:color w:val="000000" w:themeColor="text1"/>
                <w:sz w:val="24"/>
                <w14:textFill>
                  <w14:solidFill>
                    <w14:schemeClr w14:val="tx1"/>
                  </w14:solidFill>
                </w14:textFill>
              </w:rPr>
              <w:t>非正常工况下污染物排放一览表</w:t>
            </w:r>
          </w:p>
          <w:tbl>
            <w:tblPr>
              <w:tblStyle w:val="24"/>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914"/>
              <w:gridCol w:w="888"/>
              <w:gridCol w:w="660"/>
              <w:gridCol w:w="1092"/>
              <w:gridCol w:w="1059"/>
              <w:gridCol w:w="785"/>
              <w:gridCol w:w="883"/>
              <w:gridCol w:w="1486"/>
            </w:tblGrid>
            <w:tr w14:paraId="6C89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noWrap w:val="0"/>
                  <w:vAlign w:val="center"/>
                </w:tcPr>
                <w:p w14:paraId="1102E99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序号</w:t>
                  </w:r>
                </w:p>
              </w:tc>
              <w:tc>
                <w:tcPr>
                  <w:tcW w:w="557" w:type="pct"/>
                  <w:noWrap w:val="0"/>
                  <w:vAlign w:val="center"/>
                </w:tcPr>
                <w:p w14:paraId="1EA05C5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污染源</w:t>
                  </w:r>
                </w:p>
              </w:tc>
              <w:tc>
                <w:tcPr>
                  <w:tcW w:w="541" w:type="pct"/>
                  <w:noWrap w:val="0"/>
                  <w:vAlign w:val="center"/>
                </w:tcPr>
                <w:p w14:paraId="26FA8D7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非正常排放原因</w:t>
                  </w:r>
                </w:p>
              </w:tc>
              <w:tc>
                <w:tcPr>
                  <w:tcW w:w="402" w:type="pct"/>
                  <w:noWrap w:val="0"/>
                  <w:vAlign w:val="center"/>
                </w:tcPr>
                <w:p w14:paraId="3BD2A99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污染物</w:t>
                  </w:r>
                </w:p>
              </w:tc>
              <w:tc>
                <w:tcPr>
                  <w:tcW w:w="665" w:type="pct"/>
                  <w:noWrap w:val="0"/>
                  <w:vAlign w:val="center"/>
                </w:tcPr>
                <w:p w14:paraId="74C952C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排放量t/a</w:t>
                  </w:r>
                </w:p>
              </w:tc>
              <w:tc>
                <w:tcPr>
                  <w:tcW w:w="645" w:type="pct"/>
                  <w:noWrap w:val="0"/>
                  <w:vAlign w:val="center"/>
                </w:tcPr>
                <w:p w14:paraId="4DDAEDE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排放浓度</w:t>
                  </w:r>
                  <w:r>
                    <w:rPr>
                      <w:rFonts w:hint="default" w:ascii="Times New Roman" w:hAnsi="Times New Roman" w:eastAsia="宋体" w:cs="Times New Roman"/>
                      <w:color w:val="000000" w:themeColor="text1"/>
                      <w:lang w:val="en-US" w:eastAsia="zh-CN"/>
                      <w14:textFill>
                        <w14:solidFill>
                          <w14:schemeClr w14:val="tx1"/>
                        </w14:solidFill>
                      </w14:textFill>
                    </w:rPr>
                    <w:t>mg/m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3</w:t>
                  </w:r>
                </w:p>
              </w:tc>
              <w:tc>
                <w:tcPr>
                  <w:tcW w:w="478" w:type="pct"/>
                  <w:noWrap w:val="0"/>
                  <w:vAlign w:val="center"/>
                </w:tcPr>
                <w:p w14:paraId="1003DB2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单次持续时间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h</w:t>
                  </w:r>
                </w:p>
              </w:tc>
              <w:tc>
                <w:tcPr>
                  <w:tcW w:w="538" w:type="pct"/>
                  <w:noWrap w:val="0"/>
                  <w:vAlign w:val="center"/>
                </w:tcPr>
                <w:p w14:paraId="5751208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年发生频次</w:t>
                  </w:r>
                </w:p>
                <w:p w14:paraId="5213BC0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次</w:t>
                  </w:r>
                </w:p>
              </w:tc>
              <w:tc>
                <w:tcPr>
                  <w:tcW w:w="905" w:type="pct"/>
                  <w:noWrap w:val="0"/>
                  <w:vAlign w:val="center"/>
                </w:tcPr>
                <w:p w14:paraId="6AE1116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措施</w:t>
                  </w:r>
                </w:p>
              </w:tc>
            </w:tr>
            <w:tr w14:paraId="51BF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4" w:type="pct"/>
                  <w:noWrap w:val="0"/>
                  <w:vAlign w:val="center"/>
                </w:tcPr>
                <w:p w14:paraId="004D4F5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557" w:type="pct"/>
                  <w:vMerge w:val="restart"/>
                  <w:noWrap w:val="0"/>
                  <w:vAlign w:val="center"/>
                </w:tcPr>
                <w:p w14:paraId="4F71D18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DA001</w:t>
                  </w:r>
                </w:p>
              </w:tc>
              <w:tc>
                <w:tcPr>
                  <w:tcW w:w="541" w:type="pct"/>
                  <w:vMerge w:val="restart"/>
                  <w:noWrap w:val="0"/>
                  <w:vAlign w:val="center"/>
                </w:tcPr>
                <w:p w14:paraId="1FAD8C4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废气处理设施故障，处理效率为50%</w:t>
                  </w:r>
                </w:p>
              </w:tc>
              <w:tc>
                <w:tcPr>
                  <w:tcW w:w="402" w:type="pct"/>
                  <w:noWrap w:val="0"/>
                  <w:vAlign w:val="center"/>
                </w:tcPr>
                <w:p w14:paraId="613E77A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SO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2</w:t>
                  </w:r>
                </w:p>
              </w:tc>
              <w:tc>
                <w:tcPr>
                  <w:tcW w:w="665" w:type="pct"/>
                  <w:noWrap w:val="0"/>
                  <w:vAlign w:val="center"/>
                </w:tcPr>
                <w:p w14:paraId="774CEC7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0.063</w:t>
                  </w:r>
                </w:p>
              </w:tc>
              <w:tc>
                <w:tcPr>
                  <w:tcW w:w="645" w:type="pct"/>
                  <w:noWrap w:val="0"/>
                  <w:vAlign w:val="center"/>
                </w:tcPr>
                <w:p w14:paraId="2C14EADB">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15.77</w:t>
                  </w:r>
                </w:p>
              </w:tc>
              <w:tc>
                <w:tcPr>
                  <w:tcW w:w="478" w:type="pct"/>
                  <w:vMerge w:val="restart"/>
                  <w:noWrap w:val="0"/>
                  <w:vAlign w:val="center"/>
                </w:tcPr>
                <w:p w14:paraId="0322E2F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0.5</w:t>
                  </w:r>
                </w:p>
              </w:tc>
              <w:tc>
                <w:tcPr>
                  <w:tcW w:w="538" w:type="pct"/>
                  <w:vMerge w:val="restart"/>
                  <w:noWrap w:val="0"/>
                  <w:vAlign w:val="center"/>
                </w:tcPr>
                <w:p w14:paraId="1BB4EB3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905" w:type="pct"/>
                  <w:vMerge w:val="restart"/>
                  <w:noWrap w:val="0"/>
                  <w:vAlign w:val="center"/>
                </w:tcPr>
                <w:p w14:paraId="4DCC393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立即停止</w:t>
                  </w:r>
                  <w:r>
                    <w:rPr>
                      <w:rFonts w:hint="eastAsia" w:ascii="Times New Roman" w:hAnsi="Times New Roman" w:eastAsia="宋体" w:cs="Times New Roman"/>
                      <w:color w:val="000000" w:themeColor="text1"/>
                      <w:sz w:val="21"/>
                      <w:szCs w:val="21"/>
                      <w:lang w:eastAsia="zh-CN"/>
                      <w14:textFill>
                        <w14:solidFill>
                          <w14:schemeClr w14:val="tx1"/>
                        </w14:solidFill>
                      </w14:textFill>
                    </w:rPr>
                    <w:t>生产进行检修，</w:t>
                  </w:r>
                  <w:r>
                    <w:rPr>
                      <w:rFonts w:hint="default" w:ascii="Times New Roman" w:hAnsi="Times New Roman" w:eastAsia="宋体" w:cs="Times New Roman"/>
                      <w:color w:val="000000" w:themeColor="text1"/>
                      <w:sz w:val="21"/>
                      <w:szCs w:val="21"/>
                      <w14:textFill>
                        <w14:solidFill>
                          <w14:schemeClr w14:val="tx1"/>
                        </w14:solidFill>
                      </w14:textFill>
                    </w:rPr>
                    <w:t>直至废气治理设施正常运行。</w:t>
                  </w:r>
                </w:p>
              </w:tc>
            </w:tr>
            <w:tr w14:paraId="4EE1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4" w:type="pct"/>
                  <w:noWrap w:val="0"/>
                  <w:vAlign w:val="center"/>
                </w:tcPr>
                <w:p w14:paraId="2489FED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557" w:type="pct"/>
                  <w:vMerge w:val="continue"/>
                  <w:noWrap w:val="0"/>
                  <w:vAlign w:val="center"/>
                </w:tcPr>
                <w:p w14:paraId="7BD2A31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41" w:type="pct"/>
                  <w:vMerge w:val="continue"/>
                  <w:noWrap w:val="0"/>
                  <w:vAlign w:val="center"/>
                </w:tcPr>
                <w:p w14:paraId="7F8462D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02" w:type="pct"/>
                  <w:noWrap w:val="0"/>
                  <w:vAlign w:val="center"/>
                </w:tcPr>
                <w:p w14:paraId="44708B0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NO</w:t>
                  </w:r>
                  <w:r>
                    <w:rPr>
                      <w:rFonts w:hint="eastAsia" w:ascii="Times New Roman" w:hAnsi="Times New Roman" w:cs="Times New Roman"/>
                      <w:color w:val="000000" w:themeColor="text1"/>
                      <w:sz w:val="21"/>
                      <w:szCs w:val="21"/>
                      <w:vertAlign w:val="subscript"/>
                      <w:lang w:val="en-US" w:eastAsia="zh-CN"/>
                      <w14:textFill>
                        <w14:solidFill>
                          <w14:schemeClr w14:val="tx1"/>
                        </w14:solidFill>
                      </w14:textFill>
                    </w:rPr>
                    <w:t>X</w:t>
                  </w:r>
                </w:p>
              </w:tc>
              <w:tc>
                <w:tcPr>
                  <w:tcW w:w="665" w:type="pct"/>
                  <w:noWrap w:val="0"/>
                  <w:vAlign w:val="center"/>
                </w:tcPr>
                <w:p w14:paraId="0678E962">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0.589</w:t>
                  </w:r>
                </w:p>
              </w:tc>
              <w:tc>
                <w:tcPr>
                  <w:tcW w:w="645" w:type="pct"/>
                  <w:noWrap w:val="0"/>
                  <w:vAlign w:val="center"/>
                </w:tcPr>
                <w:p w14:paraId="5EBC50FC">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147.26</w:t>
                  </w:r>
                </w:p>
              </w:tc>
              <w:tc>
                <w:tcPr>
                  <w:tcW w:w="478" w:type="pct"/>
                  <w:vMerge w:val="continue"/>
                  <w:noWrap w:val="0"/>
                  <w:vAlign w:val="center"/>
                </w:tcPr>
                <w:p w14:paraId="3CDC0F8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38" w:type="pct"/>
                  <w:vMerge w:val="continue"/>
                  <w:noWrap w:val="0"/>
                  <w:vAlign w:val="center"/>
                </w:tcPr>
                <w:p w14:paraId="4B37C4F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5" w:type="pct"/>
                  <w:vMerge w:val="continue"/>
                  <w:noWrap w:val="0"/>
                  <w:vAlign w:val="center"/>
                </w:tcPr>
                <w:p w14:paraId="0FB4A8F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p>
              </w:tc>
            </w:tr>
            <w:tr w14:paraId="06A2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4" w:type="pct"/>
                  <w:noWrap w:val="0"/>
                  <w:vAlign w:val="center"/>
                </w:tcPr>
                <w:p w14:paraId="7A54D30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p>
              </w:tc>
              <w:tc>
                <w:tcPr>
                  <w:tcW w:w="557" w:type="pct"/>
                  <w:vMerge w:val="continue"/>
                  <w:noWrap w:val="0"/>
                  <w:vAlign w:val="center"/>
                </w:tcPr>
                <w:p w14:paraId="7A76AF0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41" w:type="pct"/>
                  <w:vMerge w:val="continue"/>
                  <w:noWrap w:val="0"/>
                  <w:vAlign w:val="center"/>
                </w:tcPr>
                <w:p w14:paraId="3CCF762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02" w:type="pct"/>
                  <w:noWrap w:val="0"/>
                  <w:vAlign w:val="center"/>
                </w:tcPr>
                <w:p w14:paraId="34C248D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颗粒物</w:t>
                  </w:r>
                </w:p>
              </w:tc>
              <w:tc>
                <w:tcPr>
                  <w:tcW w:w="665" w:type="pct"/>
                  <w:noWrap w:val="0"/>
                  <w:vAlign w:val="center"/>
                </w:tcPr>
                <w:p w14:paraId="520F64B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0.076</w:t>
                  </w:r>
                </w:p>
              </w:tc>
              <w:tc>
                <w:tcPr>
                  <w:tcW w:w="645" w:type="pct"/>
                  <w:noWrap w:val="0"/>
                  <w:vAlign w:val="center"/>
                </w:tcPr>
                <w:p w14:paraId="2FDE9486">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18.89</w:t>
                  </w:r>
                </w:p>
              </w:tc>
              <w:tc>
                <w:tcPr>
                  <w:tcW w:w="478" w:type="pct"/>
                  <w:vMerge w:val="continue"/>
                  <w:noWrap w:val="0"/>
                  <w:vAlign w:val="center"/>
                </w:tcPr>
                <w:p w14:paraId="60B98D3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538" w:type="pct"/>
                  <w:vMerge w:val="continue"/>
                  <w:noWrap w:val="0"/>
                  <w:vAlign w:val="center"/>
                </w:tcPr>
                <w:p w14:paraId="6EB1ADF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5" w:type="pct"/>
                  <w:vMerge w:val="continue"/>
                  <w:noWrap w:val="0"/>
                  <w:vAlign w:val="center"/>
                </w:tcPr>
                <w:p w14:paraId="5C3B5DA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color w:val="000000" w:themeColor="text1"/>
                      <w:sz w:val="21"/>
                      <w:szCs w:val="21"/>
                      <w14:textFill>
                        <w14:solidFill>
                          <w14:schemeClr w14:val="tx1"/>
                        </w14:solidFill>
                      </w14:textFill>
                    </w:rPr>
                  </w:pPr>
                </w:p>
              </w:tc>
            </w:tr>
          </w:tbl>
          <w:p w14:paraId="230E37A4">
            <w:pPr>
              <w:pStyle w:val="15"/>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2" w:firstLineChars="200"/>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废气影响分析</w:t>
            </w:r>
          </w:p>
          <w:p w14:paraId="15B3F399">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项县位于</w:t>
            </w:r>
            <w:r>
              <w:rPr>
                <w:rFonts w:hint="eastAsia" w:cs="Times New Roman"/>
                <w:snapToGrid/>
                <w:color w:val="000000" w:themeColor="text1"/>
                <w:spacing w:val="0"/>
                <w:kern w:val="0"/>
                <w:position w:val="0"/>
                <w:sz w:val="24"/>
                <w:szCs w:val="24"/>
                <w:u w:val="none"/>
                <w:lang w:eastAsia="zh-CN"/>
                <w14:textFill>
                  <w14:solidFill>
                    <w14:schemeClr w14:val="tx1"/>
                  </w14:solidFill>
                </w14:textFill>
              </w:rPr>
              <w:t>宿州市高新技术产业开发区拂晓大道9号</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w:t>
            </w:r>
            <w:r>
              <w:rPr>
                <w:rFonts w:hint="eastAsia" w:cs="Times New Roman"/>
                <w:b w:val="0"/>
                <w:bCs w:val="0"/>
                <w:color w:val="000000" w:themeColor="text1"/>
                <w:kern w:val="0"/>
                <w:sz w:val="24"/>
                <w:szCs w:val="24"/>
                <w:lang w:val="en-US" w:eastAsia="zh-CN"/>
                <w14:textFill>
                  <w14:solidFill>
                    <w14:schemeClr w14:val="tx1"/>
                  </w14:solidFill>
                </w14:textFill>
              </w:rPr>
              <w:t>根</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据《20</w:t>
            </w:r>
            <w:r>
              <w:rPr>
                <w:rFonts w:hint="eastAsia" w:cs="Times New Roman"/>
                <w:b w:val="0"/>
                <w:bCs w:val="0"/>
                <w:color w:val="000000" w:themeColor="text1"/>
                <w:kern w:val="0"/>
                <w:sz w:val="24"/>
                <w:szCs w:val="24"/>
                <w:lang w:val="en-US" w:eastAsia="zh-CN"/>
                <w14:textFill>
                  <w14:solidFill>
                    <w14:schemeClr w14:val="tx1"/>
                  </w14:solidFill>
                </w14:textFill>
              </w:rPr>
              <w:t>24</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年宿州市环境质量公报》</w:t>
            </w:r>
            <w:r>
              <w:rPr>
                <w:rFonts w:hint="eastAsia" w:eastAsia="宋体" w:cs="Times New Roman"/>
                <w:b w:val="0"/>
                <w:bCs w:val="0"/>
                <w:color w:val="000000" w:themeColor="text1"/>
                <w:kern w:val="0"/>
                <w:sz w:val="24"/>
                <w:szCs w:val="24"/>
                <w:lang w:val="en-US" w:eastAsia="zh-CN"/>
                <w14:textFill>
                  <w14:solidFill>
                    <w14:schemeClr w14:val="tx1"/>
                  </w14:solidFill>
                </w14:textFill>
              </w:rPr>
              <w:t>，项</w:t>
            </w:r>
            <w:r>
              <w:rPr>
                <w:rFonts w:hint="eastAsia" w:cs="Times New Roman"/>
                <w:b w:val="0"/>
                <w:bCs w:val="0"/>
                <w:color w:val="000000" w:themeColor="text1"/>
                <w:kern w:val="0"/>
                <w:sz w:val="24"/>
                <w:szCs w:val="24"/>
                <w:lang w:val="en-US" w:eastAsia="zh-CN"/>
                <w14:textFill>
                  <w14:solidFill>
                    <w14:schemeClr w14:val="tx1"/>
                  </w14:solidFill>
                </w14:textFill>
              </w:rPr>
              <w:t>目</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所在地为大气</w:t>
            </w:r>
            <w:r>
              <w:rPr>
                <w:rFonts w:hint="eastAsia" w:eastAsia="宋体" w:cs="Times New Roman"/>
                <w:b w:val="0"/>
                <w:bCs w:val="0"/>
                <w:color w:val="000000" w:themeColor="text1"/>
                <w:kern w:val="0"/>
                <w:sz w:val="24"/>
                <w:szCs w:val="24"/>
                <w:lang w:val="en-US" w:eastAsia="zh-CN"/>
                <w14:textFill>
                  <w14:solidFill>
                    <w14:schemeClr w14:val="tx1"/>
                  </w14:solidFill>
                </w14:textFill>
              </w:rPr>
              <w:t>环境</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空气质量不达标区。项目厂界外500m范围内环境空气保护目标</w:t>
            </w:r>
            <w:r>
              <w:rPr>
                <w:rFonts w:hint="eastAsia" w:cs="Times New Roman"/>
                <w:b w:val="0"/>
                <w:bCs w:val="0"/>
                <w:color w:val="000000" w:themeColor="text1"/>
                <w:kern w:val="0"/>
                <w:sz w:val="24"/>
                <w:szCs w:val="24"/>
                <w:lang w:val="en-US" w:eastAsia="zh-CN"/>
                <w14:textFill>
                  <w14:solidFill>
                    <w14:schemeClr w14:val="tx1"/>
                  </w14:solidFill>
                </w14:textFill>
              </w:rPr>
              <w:t>为观云郡、临东安置区</w:t>
            </w: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w:t>
            </w:r>
          </w:p>
          <w:p w14:paraId="6AF46BAE">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snapToGrid/>
                <w:color w:val="000000" w:themeColor="text1"/>
                <w:spacing w:val="0"/>
                <w:kern w:val="0"/>
                <w:position w:val="0"/>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宋体"/>
                <w:color w:val="000000" w:themeColor="text1"/>
                <w:sz w:val="24"/>
                <w:szCs w:val="24"/>
                <w:lang w:val="en-US" w:eastAsia="zh-CN"/>
                <w14:textFill>
                  <w14:solidFill>
                    <w14:schemeClr w14:val="tx1"/>
                  </w14:solidFill>
                </w14:textFill>
              </w:rPr>
              <w:t>9T锅炉废气</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w:t>
            </w:r>
            <w:r>
              <w:rPr>
                <w:rFonts w:hint="eastAsia" w:cs="Times New Roman"/>
                <w:color w:val="000000" w:themeColor="text1"/>
                <w:sz w:val="24"/>
                <w:szCs w:val="24"/>
                <w:lang w:val="en-US" w:eastAsia="zh-CN"/>
                <w14:textFill>
                  <w14:solidFill>
                    <w14:schemeClr w14:val="tx1"/>
                  </w14:solidFill>
                </w14:textFill>
              </w:rPr>
              <w:t>“低氮燃烧器+12m高排气筒（DA001）”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处理后排放</w:t>
            </w:r>
            <w:r>
              <w:rPr>
                <w:rFonts w:hint="default" w:ascii="Times New Roman" w:hAnsi="Times New Roman" w:eastAsia="宋体" w:cs="Times New Roman"/>
                <w:bCs/>
                <w:color w:val="000000" w:themeColor="text1"/>
                <w:kern w:val="24"/>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ascii="Times New Roman" w:hAnsi="Times New Roman" w:eastAsia="宋体"/>
                <w:color w:val="000000" w:themeColor="text1"/>
                <w:sz w:val="24"/>
                <w:szCs w:val="24"/>
                <w:lang w:val="en-US" w:eastAsia="zh-CN"/>
                <w14:textFill>
                  <w14:solidFill>
                    <w14:schemeClr w14:val="tx1"/>
                  </w14:solidFill>
                </w14:textFill>
              </w:rPr>
              <w:t>9T锅炉废气</w:t>
            </w:r>
            <w:r>
              <w:rPr>
                <w:rFonts w:hint="eastAsia" w:cs="Times New Roman"/>
                <w:color w:val="000000" w:themeColor="text1"/>
                <w:sz w:val="24"/>
                <w:lang w:val="en-US" w:eastAsia="zh-CN"/>
                <w14:textFill>
                  <w14:solidFill>
                    <w14:schemeClr w14:val="tx1"/>
                  </w14:solidFill>
                </w14:textFill>
              </w:rPr>
              <w:t>有组织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排放</w:t>
            </w:r>
            <w:r>
              <w:rPr>
                <w:rFonts w:hint="eastAsia" w:cs="Times New Roman"/>
                <w:color w:val="000000" w:themeColor="text1"/>
                <w:sz w:val="24"/>
                <w:szCs w:val="24"/>
                <w:lang w:val="en-US" w:eastAsia="zh-CN"/>
                <w14:textFill>
                  <w14:solidFill>
                    <w14:schemeClr w14:val="tx1"/>
                  </w14:solidFill>
                </w14:textFill>
              </w:rPr>
              <w:t>满足</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锅炉大气污染物排放标准》（GB13271-2014）表3中燃气锅炉特别排放限值要求，其中氮氧化物排放浓度执行“安徽省大气办关于印发《安徽省2020年大气污染防治重点工作任务》的通知”（皖大气办【2020】2号）中氮氧化物排放浓度不高于50毫克/立方米的限值要求。</w:t>
            </w:r>
          </w:p>
          <w:p w14:paraId="2B64B81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综上</w:t>
            </w:r>
            <w:r>
              <w:rPr>
                <w:rFonts w:hint="eastAsia"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该项目产生的大气污染物在落实本次评价的废气防治措施后，对区域大气环境质量影响较小。</w:t>
            </w:r>
          </w:p>
          <w:p w14:paraId="330523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废水</w:t>
            </w:r>
          </w:p>
          <w:p w14:paraId="76B4C576">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本项目涉及的废水主要为锅炉废水和生活污水，和现有工程废水经污水处理站（格栅+调节池+沉淀池+A/O池+二沉池）预处理后，经园区污水管网排入汴北污水处理厂统一处理</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对周围水环境影响较小。</w:t>
            </w:r>
          </w:p>
          <w:p w14:paraId="6BE460F2">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cs="Times New Roman"/>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排放口设置及监测计划</w:t>
            </w:r>
          </w:p>
          <w:p w14:paraId="7EA60C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14:textFill>
                  <w14:solidFill>
                    <w14:schemeClr w14:val="tx1"/>
                  </w14:solidFill>
                </w14:textFill>
              </w:rPr>
              <w:t>采取雨污分流制，</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项目废水经污水处理站（格栅+调节池+沉淀池+A/O池+二沉池）预处理后，经园区污水管网排入汴北污水处理厂统一处理</w:t>
            </w:r>
            <w:r>
              <w:rPr>
                <w:rFonts w:hint="eastAsia"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因此无需额外制定废水监测计划，排放口监测计划不变</w:t>
            </w:r>
            <w:r>
              <w:rPr>
                <w:rFonts w:hint="default" w:ascii="Times New Roman" w:hAnsi="Times New Roman" w:eastAsia="宋体" w:cs="Times New Roman"/>
                <w:color w:val="000000" w:themeColor="text1"/>
                <w:sz w:val="24"/>
                <w:szCs w:val="24"/>
                <w14:textFill>
                  <w14:solidFill>
                    <w14:schemeClr w14:val="tx1"/>
                  </w14:solidFill>
                </w14:textFill>
              </w:rPr>
              <w:t>。</w:t>
            </w:r>
          </w:p>
          <w:p w14:paraId="149B30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2" w:firstLineChars="200"/>
              <w:textAlignment w:val="auto"/>
              <w:rPr>
                <w:b/>
                <w:bCs/>
                <w:color w:val="000000" w:themeColor="text1"/>
                <w:kern w:val="0"/>
                <w:sz w:val="24"/>
                <w:szCs w:val="24"/>
                <w:lang w:val="zh-CN"/>
                <w14:textFill>
                  <w14:solidFill>
                    <w14:schemeClr w14:val="tx1"/>
                  </w14:solidFill>
                </w14:textFill>
              </w:rPr>
            </w:pPr>
            <w:r>
              <w:rPr>
                <w:b/>
                <w:bCs/>
                <w:color w:val="000000" w:themeColor="text1"/>
                <w:kern w:val="0"/>
                <w:sz w:val="24"/>
                <w:szCs w:val="24"/>
                <w:lang w:val="zh-CN"/>
                <w14:textFill>
                  <w14:solidFill>
                    <w14:schemeClr w14:val="tx1"/>
                  </w14:solidFill>
                </w14:textFill>
              </w:rPr>
              <w:t>污水处理可行性分析</w:t>
            </w:r>
          </w:p>
          <w:p w14:paraId="5C5639E7">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（1）废水达标排放可行性</w:t>
            </w:r>
          </w:p>
          <w:p w14:paraId="4F3C9851">
            <w:pPr>
              <w:pStyle w:val="29"/>
              <w:spacing w:line="360" w:lineRule="auto"/>
              <w:ind w:firstLine="480"/>
              <w:rPr>
                <w:rFonts w:hint="default"/>
                <w:b w:val="0"/>
                <w:bCs w:val="0"/>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根据工程分析，</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本项目涉及的废水主要为锅炉废水和生活污水，</w:t>
            </w:r>
            <w:r>
              <w:rPr>
                <w:rFonts w:hint="default"/>
                <w:b w:val="0"/>
                <w:bCs w:val="0"/>
                <w:color w:val="000000" w:themeColor="text1"/>
                <w:sz w:val="24"/>
                <w:szCs w:val="24"/>
                <w:lang w:val="en-US" w:eastAsia="zh-CN"/>
                <w14:textFill>
                  <w14:solidFill>
                    <w14:schemeClr w14:val="tx1"/>
                  </w14:solidFill>
                </w14:textFill>
              </w:rPr>
              <w:t>废水产生量为</w:t>
            </w:r>
            <w:r>
              <w:rPr>
                <w:rFonts w:hint="eastAsia"/>
                <w:b w:val="0"/>
                <w:bCs w:val="0"/>
                <w:color w:val="000000" w:themeColor="text1"/>
                <w:sz w:val="24"/>
                <w:szCs w:val="24"/>
                <w:lang w:val="en-US" w:eastAsia="zh-CN"/>
                <w14:textFill>
                  <w14:solidFill>
                    <w14:schemeClr w14:val="tx1"/>
                  </w14:solidFill>
                </w14:textFill>
              </w:rPr>
              <w:t>2255.972</w:t>
            </w:r>
            <w:r>
              <w:rPr>
                <w:rFonts w:hint="default"/>
                <w:b w:val="0"/>
                <w:bCs w:val="0"/>
                <w:color w:val="000000" w:themeColor="text1"/>
                <w:sz w:val="24"/>
                <w:szCs w:val="24"/>
                <w:lang w:val="en-US" w:eastAsia="zh-CN"/>
                <w14:textFill>
                  <w14:solidFill>
                    <w14:schemeClr w14:val="tx1"/>
                  </w14:solidFill>
                </w14:textFill>
              </w:rPr>
              <w:t>t/a</w:t>
            </w:r>
            <w:r>
              <w:rPr>
                <w:rFonts w:hint="eastAsia"/>
                <w:b w:val="0"/>
                <w:bCs w:val="0"/>
                <w:color w:val="000000" w:themeColor="text1"/>
                <w:sz w:val="24"/>
                <w:szCs w:val="24"/>
                <w:lang w:val="en-US" w:eastAsia="zh-CN"/>
                <w14:textFill>
                  <w14:solidFill>
                    <w14:schemeClr w14:val="tx1"/>
                  </w14:solidFill>
                </w14:textFill>
              </w:rPr>
              <w:t>（6.836t/d）</w:t>
            </w:r>
            <w:r>
              <w:rPr>
                <w:rFonts w:hint="default"/>
                <w:b w:val="0"/>
                <w:bCs w:val="0"/>
                <w:color w:val="000000" w:themeColor="text1"/>
                <w:sz w:val="24"/>
                <w:szCs w:val="24"/>
                <w:lang w:val="en-US" w:eastAsia="zh-CN"/>
                <w14:textFill>
                  <w14:solidFill>
                    <w14:schemeClr w14:val="tx1"/>
                  </w14:solidFill>
                </w14:textFill>
              </w:rPr>
              <w:t>，主要污染物为COD、SS、BOD</w:t>
            </w:r>
            <w:r>
              <w:rPr>
                <w:rFonts w:hint="default"/>
                <w:b w:val="0"/>
                <w:bCs w:val="0"/>
                <w:color w:val="000000" w:themeColor="text1"/>
                <w:sz w:val="24"/>
                <w:szCs w:val="24"/>
                <w:vertAlign w:val="subscript"/>
                <w:lang w:val="en-US" w:eastAsia="zh-CN"/>
                <w14:textFill>
                  <w14:solidFill>
                    <w14:schemeClr w14:val="tx1"/>
                  </w14:solidFill>
                </w14:textFill>
              </w:rPr>
              <w:t>5</w:t>
            </w:r>
            <w:r>
              <w:rPr>
                <w:rFonts w:hint="default"/>
                <w:b w:val="0"/>
                <w:bCs w:val="0"/>
                <w:color w:val="000000" w:themeColor="text1"/>
                <w:sz w:val="24"/>
                <w:szCs w:val="24"/>
                <w:lang w:val="en-US" w:eastAsia="zh-CN"/>
                <w14:textFill>
                  <w14:solidFill>
                    <w14:schemeClr w14:val="tx1"/>
                  </w14:solidFill>
                </w14:textFill>
              </w:rPr>
              <w:t>、NH</w:t>
            </w:r>
            <w:r>
              <w:rPr>
                <w:rFonts w:hint="default"/>
                <w:b w:val="0"/>
                <w:bCs w:val="0"/>
                <w:color w:val="000000" w:themeColor="text1"/>
                <w:sz w:val="24"/>
                <w:szCs w:val="24"/>
                <w:vertAlign w:val="subscript"/>
                <w:lang w:val="en-US" w:eastAsia="zh-CN"/>
                <w14:textFill>
                  <w14:solidFill>
                    <w14:schemeClr w14:val="tx1"/>
                  </w14:solidFill>
                </w14:textFill>
              </w:rPr>
              <w:t>3</w:t>
            </w:r>
            <w:r>
              <w:rPr>
                <w:rFonts w:hint="default"/>
                <w:b w:val="0"/>
                <w:bCs w:val="0"/>
                <w:color w:val="000000" w:themeColor="text1"/>
                <w:sz w:val="24"/>
                <w:szCs w:val="24"/>
                <w:lang w:val="en-US" w:eastAsia="zh-CN"/>
                <w14:textFill>
                  <w14:solidFill>
                    <w14:schemeClr w14:val="tx1"/>
                  </w14:solidFill>
                </w14:textFill>
              </w:rPr>
              <w:t>-N等</w:t>
            </w:r>
            <w:r>
              <w:rPr>
                <w:rFonts w:hint="eastAsia" w:cs="Times New Roman"/>
                <w:color w:val="000000" w:themeColor="text1"/>
                <w:sz w:val="24"/>
                <w:szCs w:val="24"/>
                <w:lang w:val="en-US" w:eastAsia="zh-CN"/>
                <w14:textFill>
                  <w14:solidFill>
                    <w14:schemeClr w14:val="tx1"/>
                  </w14:solidFill>
                </w14:textFill>
              </w:rPr>
              <w:t>，根据建设单位提供资料，</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现有工程日最大排水量为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71.126</w:t>
            </w:r>
            <w:r>
              <w:rPr>
                <w:rFonts w:hint="eastAsia" w:cs="Times New Roman"/>
                <w:color w:val="000000" w:themeColor="text1"/>
                <w:sz w:val="24"/>
                <w:szCs w:val="24"/>
                <w:lang w:val="en-US" w:eastAsia="zh-CN"/>
                <w14:textFill>
                  <w14:solidFill>
                    <w14:schemeClr w14:val="tx1"/>
                  </w14:solidFill>
                </w14:textFill>
              </w:rPr>
              <w:t>t/d，</w:t>
            </w:r>
            <w:r>
              <w:rPr>
                <w:rFonts w:hint="eastAsia" w:ascii="Times New Roman" w:hAnsi="Times New Roman" w:eastAsia="宋体" w:cs="Times New Roman"/>
                <w:color w:val="000000" w:themeColor="text1"/>
                <w:sz w:val="24"/>
                <w:szCs w:val="24"/>
                <w:lang w:eastAsia="zh-CN"/>
                <w14:textFill>
                  <w14:solidFill>
                    <w14:schemeClr w14:val="tx1"/>
                  </w14:solidFill>
                </w14:textFill>
              </w:rPr>
              <w:t>本项目废水</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和现有工程废水经污水处理站（格栅+调节池+沉淀池+A/O池+二沉池）预处理后，经园区污水管网排入汴北污水处理厂统一处理</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则全厂</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日最大排水量为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77.956</w:t>
            </w:r>
            <w:r>
              <w:rPr>
                <w:rFonts w:hint="eastAsia" w:cs="Times New Roman"/>
                <w:color w:val="000000" w:themeColor="text1"/>
                <w:sz w:val="24"/>
                <w:szCs w:val="24"/>
                <w:lang w:val="en-US" w:eastAsia="zh-CN"/>
                <w14:textFill>
                  <w14:solidFill>
                    <w14:schemeClr w14:val="tx1"/>
                  </w14:solidFill>
                </w14:textFill>
              </w:rPr>
              <w:t>t/d，</w:t>
            </w:r>
            <w:r>
              <w:rPr>
                <w:rFonts w:hint="default"/>
                <w:b w:val="0"/>
                <w:bCs w:val="0"/>
                <w:color w:val="000000" w:themeColor="text1"/>
                <w:sz w:val="24"/>
                <w:szCs w:val="24"/>
                <w:lang w:val="en-US" w:eastAsia="zh-CN"/>
                <w14:textFill>
                  <w14:solidFill>
                    <w14:schemeClr w14:val="tx1"/>
                  </w14:solidFill>
                </w14:textFill>
              </w:rPr>
              <w:t>厂区自建污水处理站</w:t>
            </w:r>
            <w:r>
              <w:rPr>
                <w:rFonts w:hint="eastAsia"/>
                <w:b w:val="0"/>
                <w:bCs w:val="0"/>
                <w:color w:val="000000" w:themeColor="text1"/>
                <w:sz w:val="24"/>
                <w:szCs w:val="24"/>
                <w:lang w:val="en-US" w:eastAsia="zh-CN"/>
                <w14:textFill>
                  <w14:solidFill>
                    <w14:schemeClr w14:val="tx1"/>
                  </w14:solidFill>
                </w14:textFill>
              </w:rPr>
              <w:t>处理能力为100</w:t>
            </w:r>
            <w:r>
              <w:rPr>
                <w:rFonts w:hint="default" w:ascii="Times New Roman" w:hAnsi="Times New Roman" w:cs="Times New Roman"/>
                <w:color w:val="000000" w:themeColor="text1"/>
                <w:sz w:val="24"/>
                <w:szCs w:val="24"/>
                <w:lang w:val="en-US" w:eastAsia="zh-CN"/>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Courier New" w:hAnsi="Courier New" w:eastAsia="Courier New" w:cs="Courier New"/>
                <w:color w:val="000000" w:themeColor="text1"/>
                <w:sz w:val="24"/>
                <w:szCs w:val="24"/>
                <w:lang w:val="en-US" w:eastAsia="zh-CN" w:bidi="ar-SA"/>
                <w14:textFill>
                  <w14:solidFill>
                    <w14:schemeClr w14:val="tx1"/>
                  </w14:solidFill>
                </w14:textFill>
              </w:rPr>
              <w:t>项目废水水量不会对</w:t>
            </w:r>
            <w:r>
              <w:rPr>
                <w:rFonts w:hint="default"/>
                <w:b w:val="0"/>
                <w:bCs w:val="0"/>
                <w:color w:val="000000" w:themeColor="text1"/>
                <w:sz w:val="24"/>
                <w:szCs w:val="24"/>
                <w:lang w:val="en-US" w:eastAsia="zh-CN"/>
                <w14:textFill>
                  <w14:solidFill>
                    <w14:schemeClr w14:val="tx1"/>
                  </w14:solidFill>
                </w14:textFill>
              </w:rPr>
              <w:t>厂区自建污水处理站</w:t>
            </w:r>
            <w:r>
              <w:rPr>
                <w:rFonts w:hint="eastAsia" w:ascii="Courier New" w:hAnsi="Courier New" w:eastAsia="Courier New" w:cs="Courier New"/>
                <w:color w:val="000000" w:themeColor="text1"/>
                <w:sz w:val="24"/>
                <w:szCs w:val="24"/>
                <w:lang w:val="en-US" w:eastAsia="zh-CN" w:bidi="ar-SA"/>
                <w14:textFill>
                  <w14:solidFill>
                    <w14:schemeClr w14:val="tx1"/>
                  </w14:solidFill>
                </w14:textFill>
              </w:rPr>
              <w:t>造成冲击，</w:t>
            </w:r>
            <w:r>
              <w:rPr>
                <w:rFonts w:hint="eastAsia" w:ascii="Times New Roman" w:hAnsi="Times New Roman" w:cs="Times New Roman"/>
                <w:color w:val="000000" w:themeColor="text1"/>
                <w:sz w:val="24"/>
                <w:szCs w:val="24"/>
                <w:lang w:val="en-US" w:eastAsia="zh-CN"/>
                <w14:textFill>
                  <w14:solidFill>
                    <w14:schemeClr w14:val="tx1"/>
                  </w14:solidFill>
                </w14:textFill>
              </w:rPr>
              <w:t>处理工艺为“格栅+调节池+沉淀池+A/O池+二沉池”，废水</w:t>
            </w:r>
            <w:r>
              <w:rPr>
                <w:rFonts w:hint="default"/>
                <w:b w:val="0"/>
                <w:bCs w:val="0"/>
                <w:color w:val="000000" w:themeColor="text1"/>
                <w:sz w:val="24"/>
                <w:szCs w:val="24"/>
                <w:lang w:val="en-US" w:eastAsia="zh-CN"/>
                <w14:textFill>
                  <w14:solidFill>
                    <w14:schemeClr w14:val="tx1"/>
                  </w14:solidFill>
                </w14:textFill>
              </w:rPr>
              <w:t>经厂区自建污水处理站预处理达到</w:t>
            </w: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w:t>
            </w:r>
            <w:r>
              <w:rPr>
                <w:rFonts w:hint="default"/>
                <w:b w:val="0"/>
                <w:bCs w:val="0"/>
                <w:color w:val="000000" w:themeColor="text1"/>
                <w:sz w:val="24"/>
                <w:szCs w:val="24"/>
                <w:lang w:val="en-US" w:eastAsia="zh-CN"/>
                <w14:textFill>
                  <w14:solidFill>
                    <w14:schemeClr w14:val="tx1"/>
                  </w14:solidFill>
                </w14:textFill>
              </w:rPr>
              <w:t>后排入</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汴北污水处理厂</w:t>
            </w:r>
            <w:r>
              <w:rPr>
                <w:rFonts w:hint="default"/>
                <w:b w:val="0"/>
                <w:bCs w:val="0"/>
                <w:color w:val="000000" w:themeColor="text1"/>
                <w:sz w:val="24"/>
                <w:szCs w:val="24"/>
                <w:lang w:val="en-US" w:eastAsia="zh-CN"/>
                <w14:textFill>
                  <w14:solidFill>
                    <w14:schemeClr w14:val="tx1"/>
                  </w14:solidFill>
                </w14:textFill>
              </w:rPr>
              <w:t>集中处理。</w:t>
            </w:r>
          </w:p>
          <w:p w14:paraId="51EC8C66">
            <w:pPr>
              <w:pStyle w:val="29"/>
              <w:spacing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bCs/>
                <w:color w:val="000000" w:themeColor="text1"/>
                <w:lang w:val="zh-CN"/>
                <w14:textFill>
                  <w14:solidFill>
                    <w14:schemeClr w14:val="tx1"/>
                  </w14:solidFill>
                </w14:textFill>
              </w:rPr>
              <w:t>汴北污水处理</w:t>
            </w:r>
            <w:r>
              <w:rPr>
                <w:rFonts w:hint="eastAsia"/>
                <w:bCs/>
                <w:color w:val="000000" w:themeColor="text1"/>
                <w14:textFill>
                  <w14:solidFill>
                    <w14:schemeClr w14:val="tx1"/>
                  </w14:solidFill>
                </w14:textFill>
              </w:rPr>
              <w:t>厂</w:t>
            </w:r>
            <w:r>
              <w:rPr>
                <w:rFonts w:hint="eastAsia"/>
                <w:color w:val="000000" w:themeColor="text1"/>
                <w14:textFill>
                  <w14:solidFill>
                    <w14:schemeClr w14:val="tx1"/>
                  </w14:solidFill>
                </w14:textFill>
              </w:rPr>
              <w:t>简介</w:t>
            </w:r>
          </w:p>
          <w:p w14:paraId="6F87B5E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宿州市汴北污水处理厂于2017年建设，一期工程预计2018年6月底完工，安徽宿州市汴北污水处理厂采用较为先进的污水处理工艺改良A</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/O，其设计规模为5万m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/d，先期日处理规模达到5万m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/d，项目投资近30919.34万元，宿州市汴北污水处理厂建设地点：北邻汴北新区唐河路，东侧为规划中的晓岚路，南接泗州路206国道东段，西接刘香庄居民区。</w:t>
            </w:r>
          </w:p>
          <w:p w14:paraId="599ED480">
            <w:pPr>
              <w:adjustRightInd w:val="0"/>
              <w:snapToGrid w:val="0"/>
              <w:spacing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（3）纳管可行性分析</w:t>
            </w:r>
          </w:p>
          <w:p w14:paraId="1AFFF0F7">
            <w:pPr>
              <w:autoSpaceDE w:val="0"/>
              <w:autoSpaceDN w:val="0"/>
              <w:adjustRightInd w:val="0"/>
              <w:snapToGrid w:val="0"/>
              <w:spacing w:line="360" w:lineRule="auto"/>
              <w:ind w:firstLine="480" w:firstLineChars="200"/>
              <w:rPr>
                <w:rFonts w:hint="eastAsia" w:ascii="Courier New" w:hAnsi="Courier New" w:eastAsia="Courier New" w:cs="Courier New"/>
                <w:color w:val="000000" w:themeColor="text1"/>
                <w:sz w:val="24"/>
                <w14:textFill>
                  <w14:solidFill>
                    <w14:schemeClr w14:val="tx1"/>
                  </w14:solidFill>
                </w14:textFill>
              </w:rPr>
            </w:pPr>
            <w:r>
              <w:rPr>
                <w:rFonts w:hint="eastAsia" w:ascii="Courier New" w:hAnsi="Courier New" w:eastAsia="Courier New" w:cs="Courier New"/>
                <w:color w:val="000000" w:themeColor="text1"/>
                <w:sz w:val="24"/>
                <w14:textFill>
                  <w14:solidFill>
                    <w14:schemeClr w14:val="tx1"/>
                  </w14:solidFill>
                </w14:textFill>
              </w:rPr>
              <w:t>① 水质可行性分析</w:t>
            </w:r>
          </w:p>
          <w:p w14:paraId="7076947D">
            <w:pPr>
              <w:autoSpaceDE w:val="0"/>
              <w:autoSpaceDN w:val="0"/>
              <w:adjustRightInd w:val="0"/>
              <w:snapToGrid w:val="0"/>
              <w:spacing w:line="360" w:lineRule="auto"/>
              <w:ind w:firstLine="480" w:firstLineChars="200"/>
              <w:rPr>
                <w:rFonts w:hint="eastAsia" w:eastAsia="Courier New"/>
                <w:color w:val="000000" w:themeColor="text1"/>
                <w:sz w:val="24"/>
                <w14:textFill>
                  <w14:solidFill>
                    <w14:schemeClr w14:val="tx1"/>
                  </w14:solidFill>
                </w14:textFill>
              </w:rPr>
            </w:pPr>
            <w:r>
              <w:rPr>
                <w:rFonts w:hint="eastAsia" w:ascii="Courier New" w:hAnsi="Courier New" w:eastAsia="Courier New" w:cs="Courier New"/>
                <w:color w:val="000000" w:themeColor="text1"/>
                <w:sz w:val="24"/>
                <w14:textFill>
                  <w14:solidFill>
                    <w14:schemeClr w14:val="tx1"/>
                  </w14:solidFill>
                </w14:textFill>
              </w:rPr>
              <w:t>由工程分析可知，该项目废水</w:t>
            </w:r>
            <w:r>
              <w:rPr>
                <w:rFonts w:hint="eastAsia"/>
                <w:color w:val="000000" w:themeColor="text1"/>
                <w:sz w:val="24"/>
                <w14:textFill>
                  <w14:solidFill>
                    <w14:schemeClr w14:val="tx1"/>
                  </w14:solidFill>
                </w14:textFill>
              </w:rPr>
              <w:t>主要污染物为COD、NH</w:t>
            </w:r>
            <w:r>
              <w:rPr>
                <w:rFonts w:hint="eastAsia"/>
                <w:color w:val="000000" w:themeColor="text1"/>
                <w:sz w:val="24"/>
                <w:vertAlign w:val="subscript"/>
                <w14:textFill>
                  <w14:solidFill>
                    <w14:schemeClr w14:val="tx1"/>
                  </w14:solidFill>
                </w14:textFill>
              </w:rPr>
              <w:t>3</w:t>
            </w:r>
            <w:r>
              <w:rPr>
                <w:rFonts w:hint="eastAsia"/>
                <w:color w:val="000000" w:themeColor="text1"/>
                <w:sz w:val="24"/>
                <w14:textFill>
                  <w14:solidFill>
                    <w14:schemeClr w14:val="tx1"/>
                  </w14:solidFill>
                </w14:textFill>
              </w:rPr>
              <w:t>-N、SS、BOD</w:t>
            </w:r>
            <w:r>
              <w:rPr>
                <w:rFonts w:hint="eastAsia"/>
                <w:color w:val="000000" w:themeColor="text1"/>
                <w:sz w:val="24"/>
                <w:vertAlign w:val="subscript"/>
                <w14:textFill>
                  <w14:solidFill>
                    <w14:schemeClr w14:val="tx1"/>
                  </w14:solidFill>
                </w14:textFill>
              </w:rPr>
              <w:t>5</w:t>
            </w:r>
            <w:r>
              <w:rPr>
                <w:rFonts w:hint="eastAsia" w:ascii="Courier New" w:hAnsi="Courier New" w:eastAsia="Courier New" w:cs="Courier New"/>
                <w:color w:val="000000" w:themeColor="text1"/>
                <w:sz w:val="24"/>
                <w14:textFill>
                  <w14:solidFill>
                    <w14:schemeClr w14:val="tx1"/>
                  </w14:solidFill>
                </w14:textFill>
              </w:rPr>
              <w:t>，水质简单，水污染为常规因子，在总排口水质可以达到</w:t>
            </w:r>
            <w:r>
              <w:rPr>
                <w:color w:val="000000" w:themeColor="text1"/>
                <w:sz w:val="24"/>
                <w14:textFill>
                  <w14:solidFill>
                    <w14:schemeClr w14:val="tx1"/>
                  </w14:solidFill>
                </w14:textFill>
              </w:rPr>
              <w:t>汴北污水处理厂</w:t>
            </w:r>
            <w:r>
              <w:rPr>
                <w:rFonts w:hint="eastAsia" w:ascii="Courier New" w:hAnsi="Courier New" w:eastAsia="Courier New" w:cs="Courier New"/>
                <w:color w:val="000000" w:themeColor="text1"/>
                <w:sz w:val="24"/>
                <w14:textFill>
                  <w14:solidFill>
                    <w14:schemeClr w14:val="tx1"/>
                  </w14:solidFill>
                </w14:textFill>
              </w:rPr>
              <w:t>接管</w:t>
            </w:r>
            <w:r>
              <w:rPr>
                <w:rFonts w:hint="eastAsia" w:ascii="Courier New" w:hAnsi="Courier New" w:cs="Courier New"/>
                <w:color w:val="000000" w:themeColor="text1"/>
                <w:sz w:val="24"/>
                <w14:textFill>
                  <w14:solidFill>
                    <w14:schemeClr w14:val="tx1"/>
                  </w14:solidFill>
                </w14:textFill>
              </w:rPr>
              <w:t>限值</w:t>
            </w:r>
            <w:r>
              <w:rPr>
                <w:rFonts w:hint="eastAsia" w:ascii="Courier New" w:hAnsi="Courier New" w:eastAsia="Courier New" w:cs="Courier New"/>
                <w:color w:val="000000" w:themeColor="text1"/>
                <w:sz w:val="24"/>
                <w14:textFill>
                  <w14:solidFill>
                    <w14:schemeClr w14:val="tx1"/>
                  </w14:solidFill>
                </w14:textFill>
              </w:rPr>
              <w:t>要求，不会对区域地表水环境产生不利影响，项目废水水质不会对污水处理厂处理工艺造成冲击。</w:t>
            </w:r>
          </w:p>
          <w:p w14:paraId="554EEDD2">
            <w:pPr>
              <w:autoSpaceDE w:val="0"/>
              <w:autoSpaceDN w:val="0"/>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eastAsia="Courier New"/>
                <w:color w:val="000000" w:themeColor="text1"/>
                <w:sz w:val="24"/>
                <w14:textFill>
                  <w14:solidFill>
                    <w14:schemeClr w14:val="tx1"/>
                  </w14:solidFill>
                </w14:textFill>
              </w:rPr>
              <w:t>② 水量可行性</w:t>
            </w:r>
            <w:r>
              <w:rPr>
                <w:rFonts w:hint="eastAsia" w:ascii="Courier New" w:hAnsi="Courier New" w:eastAsia="Courier New" w:cs="Courier New"/>
                <w:color w:val="000000" w:themeColor="text1"/>
                <w:sz w:val="24"/>
                <w14:textFill>
                  <w14:solidFill>
                    <w14:schemeClr w14:val="tx1"/>
                  </w14:solidFill>
                </w14:textFill>
              </w:rPr>
              <w:t>分析</w:t>
            </w:r>
            <w:r>
              <w:rPr>
                <w:rFonts w:hint="eastAsia" w:ascii="Courier New" w:hAnsi="Courier New" w:cs="Courier New"/>
                <w:color w:val="000000" w:themeColor="text1"/>
                <w:sz w:val="24"/>
                <w14:textFill>
                  <w14:solidFill>
                    <w14:schemeClr w14:val="tx1"/>
                  </w14:solidFill>
                </w14:textFill>
              </w:rPr>
              <w:t xml:space="preserve"> </w:t>
            </w:r>
          </w:p>
          <w:p w14:paraId="545E943D">
            <w:pPr>
              <w:autoSpaceDE w:val="0"/>
              <w:autoSpaceDN w:val="0"/>
              <w:adjustRightInd w:val="0"/>
              <w:snapToGrid w:val="0"/>
              <w:spacing w:line="360" w:lineRule="auto"/>
              <w:ind w:firstLine="480" w:firstLineChars="200"/>
              <w:rPr>
                <w:rFonts w:hint="eastAsia" w:eastAsia="Courier New"/>
                <w:color w:val="000000" w:themeColor="text1"/>
                <w:sz w:val="24"/>
                <w14:textFill>
                  <w14:solidFill>
                    <w14:schemeClr w14:val="tx1"/>
                  </w14:solidFill>
                </w14:textFill>
              </w:rPr>
            </w:pPr>
            <w:r>
              <w:rPr>
                <w:color w:val="000000" w:themeColor="text1"/>
                <w:sz w:val="24"/>
                <w14:textFill>
                  <w14:solidFill>
                    <w14:schemeClr w14:val="tx1"/>
                  </w14:solidFill>
                </w14:textFill>
              </w:rPr>
              <w:t>汴北污水处理厂先期污水处理设计规模为5万m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w:t>
            </w:r>
            <w:r>
              <w:rPr>
                <w:rFonts w:hint="eastAsia" w:eastAsia="Courier New"/>
                <w:color w:val="000000" w:themeColor="text1"/>
                <w:sz w:val="24"/>
                <w14:textFill>
                  <w14:solidFill>
                    <w14:schemeClr w14:val="tx1"/>
                  </w14:solidFill>
                </w14:textFill>
              </w:rPr>
              <w:t>。项目废水量</w:t>
            </w:r>
            <w:r>
              <w:rPr>
                <w:rFonts w:hint="eastAsia"/>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6.836</w:t>
            </w:r>
            <w:r>
              <w:rPr>
                <w:rFonts w:hint="eastAsia" w:eastAsia="Courier New"/>
                <w:color w:val="000000" w:themeColor="text1"/>
                <w:sz w:val="24"/>
                <w14:textFill>
                  <w14:solidFill>
                    <w14:schemeClr w14:val="tx1"/>
                  </w14:solidFill>
                </w14:textFill>
              </w:rPr>
              <w:t>t/d，占</w:t>
            </w:r>
            <w:r>
              <w:rPr>
                <w:color w:val="000000" w:themeColor="text1"/>
                <w:sz w:val="24"/>
                <w14:textFill>
                  <w14:solidFill>
                    <w14:schemeClr w14:val="tx1"/>
                  </w14:solidFill>
                </w14:textFill>
              </w:rPr>
              <w:t>汴北污水处理厂污水处理量</w:t>
            </w:r>
            <w:r>
              <w:rPr>
                <w:rFonts w:hint="eastAsia" w:eastAsia="Courier New"/>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014</w:t>
            </w:r>
            <w:r>
              <w:rPr>
                <w:rFonts w:hint="eastAsia" w:eastAsia="Courier New"/>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rFonts w:hint="eastAsia" w:eastAsia="Courier New"/>
                <w:color w:val="000000" w:themeColor="text1"/>
                <w:sz w:val="24"/>
                <w14:textFill>
                  <w14:solidFill>
                    <w14:schemeClr w14:val="tx1"/>
                  </w14:solidFill>
                </w14:textFill>
              </w:rPr>
              <w:t>项目建成后，</w:t>
            </w:r>
            <w:r>
              <w:rPr>
                <w:color w:val="000000" w:themeColor="text1"/>
                <w:sz w:val="24"/>
                <w14:textFill>
                  <w14:solidFill>
                    <w14:schemeClr w14:val="tx1"/>
                  </w14:solidFill>
                </w14:textFill>
              </w:rPr>
              <w:t>汴北污水处理厂</w:t>
            </w:r>
            <w:r>
              <w:rPr>
                <w:rFonts w:hint="eastAsia" w:eastAsia="Courier New"/>
                <w:color w:val="000000" w:themeColor="text1"/>
                <w:sz w:val="24"/>
                <w14:textFill>
                  <w14:solidFill>
                    <w14:schemeClr w14:val="tx1"/>
                  </w14:solidFill>
                </w14:textFill>
              </w:rPr>
              <w:t>完全有能力接收本项目废水，在水量上不会对污水处理厂造成冲击，可确保本项目接管处理的废水得到有效处理。</w:t>
            </w:r>
          </w:p>
          <w:p w14:paraId="5AA43B9E">
            <w:pPr>
              <w:autoSpaceDE w:val="0"/>
              <w:autoSpaceDN w:val="0"/>
              <w:adjustRightInd w:val="0"/>
              <w:snapToGrid w:val="0"/>
              <w:spacing w:line="360" w:lineRule="auto"/>
              <w:ind w:firstLine="480" w:firstLineChars="200"/>
              <w:rPr>
                <w:rFonts w:hint="eastAsia" w:eastAsia="Courier New"/>
                <w:color w:val="000000" w:themeColor="text1"/>
                <w:sz w:val="24"/>
                <w14:textFill>
                  <w14:solidFill>
                    <w14:schemeClr w14:val="tx1"/>
                  </w14:solidFill>
                </w14:textFill>
              </w:rPr>
            </w:pPr>
            <w:r>
              <w:rPr>
                <w:rFonts w:hint="eastAsia" w:eastAsia="Courier New"/>
                <w:color w:val="000000" w:themeColor="text1"/>
                <w:sz w:val="24"/>
                <w14:textFill>
                  <w14:solidFill>
                    <w14:schemeClr w14:val="tx1"/>
                  </w14:solidFill>
                </w14:textFill>
              </w:rPr>
              <w:t>③ 管道范围可行性</w:t>
            </w:r>
          </w:p>
          <w:p w14:paraId="2E95AE29">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汴北污水处理厂工程规划建设总规模10万m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/d，分二期建设，一期工程规模5万m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d。配套排水设施包括新建污水管线99.61公里，已建污水管线29公里，污水提升泵站3座；其中，汴北新区新建污水管线80.71公里，污水提升泵站2座；符离镇地区新建管网15.00公里，污水提升泵站1座，以及汴北污水厂出水排放至环城河的压力管线3.90公里，委托运营已建污水管网29公里。</w:t>
            </w:r>
            <w:r>
              <w:rPr>
                <w:rFonts w:hint="eastAsia"/>
                <w:color w:val="000000" w:themeColor="text1"/>
                <w:sz w:val="24"/>
                <w14:textFill>
                  <w14:solidFill>
                    <w14:schemeClr w14:val="tx1"/>
                  </w14:solidFill>
                </w14:textFill>
              </w:rPr>
              <w:t>根据对项目厂区雨污水管网的建设调查和分析，目前雨污分流式污水主干管网的建设已基本实现了全覆盖。根据管网敷设范围，项目处于其收水范围内，目前已接通。</w:t>
            </w:r>
          </w:p>
          <w:p w14:paraId="3A304338">
            <w:pPr>
              <w:adjustRightInd w:val="0"/>
              <w:snapToGrid w:val="0"/>
              <w:spacing w:line="360" w:lineRule="auto"/>
              <w:ind w:firstLine="480" w:firstLineChars="200"/>
              <w:jc w:val="left"/>
              <w:rPr>
                <w:rFonts w:hint="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w:t>
            </w:r>
            <w:r>
              <w:rPr>
                <w:rFonts w:hint="eastAsia"/>
                <w:color w:val="000000" w:themeColor="text1"/>
                <w:sz w:val="24"/>
                <w14:textFill>
                  <w14:solidFill>
                    <w14:schemeClr w14:val="tx1"/>
                  </w14:solidFill>
                </w14:textFill>
              </w:rPr>
              <w:t xml:space="preserve"> 处理工艺可行性</w:t>
            </w:r>
          </w:p>
          <w:p w14:paraId="4109F2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汴北污水处理厂采用改良A</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/O生化池+高效混凝沉淀池+深床滤池+二氧化氯消毒工艺处理污水。出水水质可达《城镇污水处理厂污染物排放标准》（GB18918-2002）表1中一级A标准。</w:t>
            </w:r>
            <w:r>
              <w:rPr>
                <w:rFonts w:hint="eastAsia"/>
                <w:color w:val="000000" w:themeColor="text1"/>
                <w:sz w:val="24"/>
                <w14:textFill>
                  <w14:solidFill>
                    <w14:schemeClr w14:val="tx1"/>
                  </w14:solidFill>
                </w14:textFill>
              </w:rPr>
              <w:t>本项目废水量小、水质简单，项目区的废水预处理效果完全在</w:t>
            </w:r>
            <w:r>
              <w:rPr>
                <w:color w:val="000000" w:themeColor="text1"/>
                <w:sz w:val="24"/>
                <w14:textFill>
                  <w14:solidFill>
                    <w14:schemeClr w14:val="tx1"/>
                  </w14:solidFill>
                </w14:textFill>
              </w:rPr>
              <w:t>汴北污水处理厂</w:t>
            </w:r>
            <w:r>
              <w:rPr>
                <w:rFonts w:hint="eastAsia"/>
                <w:color w:val="000000" w:themeColor="text1"/>
                <w:sz w:val="24"/>
                <w14:textFill>
                  <w14:solidFill>
                    <w14:schemeClr w14:val="tx1"/>
                  </w14:solidFill>
                </w14:textFill>
              </w:rPr>
              <w:t>的进水水质范围内，完全可采用污水处理厂的处理工艺进行处理，不会对其工艺造成冲击。因此，本项目废水经厂区预处理后进入</w:t>
            </w:r>
            <w:r>
              <w:rPr>
                <w:color w:val="000000" w:themeColor="text1"/>
                <w:sz w:val="24"/>
                <w14:textFill>
                  <w14:solidFill>
                    <w14:schemeClr w14:val="tx1"/>
                  </w14:solidFill>
                </w14:textFill>
              </w:rPr>
              <w:t>汴北污水处理厂</w:t>
            </w:r>
            <w:r>
              <w:rPr>
                <w:rFonts w:hint="eastAsia"/>
                <w:color w:val="000000" w:themeColor="text1"/>
                <w:sz w:val="24"/>
                <w14:textFill>
                  <w14:solidFill>
                    <w14:schemeClr w14:val="tx1"/>
                  </w14:solidFill>
                </w14:textFill>
              </w:rPr>
              <w:t>进一步处理，对周边环境影响较小。</w:t>
            </w:r>
          </w:p>
          <w:p w14:paraId="6FE183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kern w:val="0"/>
                <w:sz w:val="24"/>
                <w:szCs w:val="24"/>
                <w14:textFill>
                  <w14:solidFill>
                    <w14:schemeClr w14:val="tx1"/>
                  </w14:solidFill>
                </w14:textFill>
              </w:rPr>
            </w:pPr>
            <w:r>
              <w:rPr>
                <w:rFonts w:hint="eastAsia"/>
                <w:color w:val="000000" w:themeColor="text1"/>
                <w:sz w:val="24"/>
                <w:szCs w:val="24"/>
                <w14:textFill>
                  <w14:solidFill>
                    <w14:schemeClr w14:val="tx1"/>
                  </w14:solidFill>
                </w14:textFill>
              </w:rPr>
              <w:t>综上，本项目外排废水水质、水量均满足</w:t>
            </w:r>
            <w:r>
              <w:rPr>
                <w:color w:val="000000" w:themeColor="text1"/>
                <w:sz w:val="24"/>
                <w:szCs w:val="24"/>
                <w14:textFill>
                  <w14:solidFill>
                    <w14:schemeClr w14:val="tx1"/>
                  </w14:solidFill>
                </w14:textFill>
              </w:rPr>
              <w:t>汴北污水处理厂</w:t>
            </w:r>
            <w:r>
              <w:rPr>
                <w:rFonts w:hint="eastAsia"/>
                <w:color w:val="000000" w:themeColor="text1"/>
                <w:sz w:val="24"/>
                <w:szCs w:val="24"/>
                <w14:textFill>
                  <w14:solidFill>
                    <w14:schemeClr w14:val="tx1"/>
                  </w14:solidFill>
                </w14:textFill>
              </w:rPr>
              <w:t>接管要求，不会对污水处理厂造成冲击负荷</w:t>
            </w:r>
            <w:r>
              <w:rPr>
                <w:color w:val="000000" w:themeColor="text1"/>
                <w:sz w:val="24"/>
                <w:szCs w:val="24"/>
                <w14:textFill>
                  <w14:solidFill>
                    <w14:schemeClr w14:val="tx1"/>
                  </w14:solidFill>
                </w14:textFill>
              </w:rPr>
              <w:t>，不会降低项目区现有水环境功能</w:t>
            </w:r>
            <w:r>
              <w:rPr>
                <w:rFonts w:hint="eastAsia"/>
                <w:color w:val="000000" w:themeColor="text1"/>
                <w:sz w:val="24"/>
                <w:szCs w:val="24"/>
                <w14:textFill>
                  <w14:solidFill>
                    <w14:schemeClr w14:val="tx1"/>
                  </w14:solidFill>
                </w14:textFill>
              </w:rPr>
              <w:t>。因此本项目污水进入</w:t>
            </w:r>
            <w:r>
              <w:rPr>
                <w:color w:val="000000" w:themeColor="text1"/>
                <w:sz w:val="24"/>
                <w:szCs w:val="24"/>
                <w14:textFill>
                  <w14:solidFill>
                    <w14:schemeClr w14:val="tx1"/>
                  </w14:solidFill>
                </w14:textFill>
              </w:rPr>
              <w:t>汴北污水处理厂</w:t>
            </w:r>
            <w:r>
              <w:rPr>
                <w:rFonts w:hint="eastAsia"/>
                <w:color w:val="000000" w:themeColor="text1"/>
                <w:sz w:val="24"/>
                <w:szCs w:val="24"/>
                <w14:textFill>
                  <w14:solidFill>
                    <w14:schemeClr w14:val="tx1"/>
                  </w14:solidFill>
                </w14:textFill>
              </w:rPr>
              <w:t>处理是可行的。</w:t>
            </w:r>
          </w:p>
          <w:p w14:paraId="562C50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噪声</w:t>
            </w:r>
          </w:p>
          <w:p w14:paraId="0C230AE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本次改建项目噪声源主要为杀青机、</w:t>
            </w:r>
            <w:r>
              <w:rPr>
                <w:rFonts w:hint="eastAsia"/>
                <w:color w:val="000000" w:themeColor="text1"/>
                <w:lang w:eastAsia="zh-CN"/>
                <w14:textFill>
                  <w14:solidFill>
                    <w14:schemeClr w14:val="tx1"/>
                  </w14:solidFill>
                </w14:textFill>
              </w:rPr>
              <w:t>锅炉</w:t>
            </w:r>
            <w:r>
              <w:rPr>
                <w:rFonts w:hint="eastAsia"/>
                <w:b w:val="0"/>
                <w:bCs w:val="0"/>
                <w:color w:val="000000" w:themeColor="text1"/>
                <w:sz w:val="24"/>
                <w:szCs w:val="24"/>
                <w:highlight w:val="none"/>
                <w:lang w:val="en-US" w:eastAsia="zh-CN"/>
                <w14:textFill>
                  <w14:solidFill>
                    <w14:schemeClr w14:val="tx1"/>
                  </w14:solidFill>
                </w14:textFill>
              </w:rPr>
              <w:t>等设备运行时产生的噪声</w:t>
            </w:r>
            <w:r>
              <w:rPr>
                <w:rFonts w:hint="eastAsia" w:ascii="Times New Roman" w:hAnsi="Times New Roman" w:cs="Times New Roman"/>
                <w:b w:val="0"/>
                <w:bCs w:val="0"/>
                <w:color w:val="000000" w:themeColor="text1"/>
                <w:sz w:val="24"/>
                <w:szCs w:val="24"/>
                <w:highlight w:val="none"/>
                <w:shd w:val="clear" w:color="auto" w:fill="auto"/>
                <w:lang w:val="en-US" w:eastAsia="zh-CN"/>
                <w14:textFill>
                  <w14:solidFill>
                    <w14:schemeClr w14:val="tx1"/>
                  </w14:solidFill>
                </w14:textFill>
              </w:rPr>
              <w:t>，噪声</w:t>
            </w:r>
            <w:r>
              <w:rPr>
                <w:rFonts w:hint="default" w:ascii="Times New Roman" w:hAnsi="Times New Roman" w:eastAsia="宋体" w:cs="Times New Roman"/>
                <w:color w:val="000000" w:themeColor="text1"/>
                <w:sz w:val="24"/>
                <w:szCs w:val="24"/>
                <w:highlight w:val="none"/>
                <w14:textFill>
                  <w14:solidFill>
                    <w14:schemeClr w14:val="tx1"/>
                  </w14:solidFill>
                </w14:textFill>
              </w:rPr>
              <w:t>级在</w:t>
            </w:r>
            <w:r>
              <w:rPr>
                <w:rFonts w:hint="eastAsia" w:cs="Times New Roman"/>
                <w:color w:val="000000" w:themeColor="text1"/>
                <w:sz w:val="24"/>
                <w:szCs w:val="24"/>
                <w:highlight w:val="none"/>
                <w:lang w:val="en-US" w:eastAsia="zh-CN"/>
                <w14:textFill>
                  <w14:solidFill>
                    <w14:schemeClr w14:val="tx1"/>
                  </w14:solidFill>
                </w14:textFill>
              </w:rPr>
              <w:t>80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0dB（A）之间</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项目的设备噪声强度见表</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12DB810C">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4D57F3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BA4EBB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8E35A5F">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5DB811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83F967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A0422A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260BDB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DF7CDD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48F68BB">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E8184B1">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83B456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1B0E83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CEECE98">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ADD05FA">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7803A6C0">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B7C90D7">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8A7D5A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6ED5AC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6D5BBD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7FA3BDE">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BEAF3F5">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BE036B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69D0A5DC">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p>
          <w:p w14:paraId="385EE419">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p>
          <w:p w14:paraId="3CA1E544">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p>
          <w:p w14:paraId="32BD3F4D">
            <w:pPr>
              <w:pStyle w:val="15"/>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p>
        </w:tc>
      </w:tr>
    </w:tbl>
    <w:p w14:paraId="538D988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3643"/>
      </w:tblGrid>
      <w:tr w14:paraId="783D5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508" w:type="dxa"/>
            <w:tcBorders>
              <w:tl2br w:val="nil"/>
              <w:tr2bl w:val="nil"/>
            </w:tcBorders>
            <w:noWrap w:val="0"/>
            <w:vAlign w:val="center"/>
          </w:tcPr>
          <w:p w14:paraId="7482039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481EC98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50AF29D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560D76C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40E07E1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6A034F3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34D5F55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w:t>
            </w:r>
          </w:p>
          <w:p w14:paraId="0A77E26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00366B0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11F3A177">
            <w:pPr>
              <w:adjustRightInd w:val="0"/>
              <w:snapToGrid w:val="0"/>
              <w:jc w:val="center"/>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护措施</w:t>
            </w:r>
          </w:p>
        </w:tc>
        <w:tc>
          <w:tcPr>
            <w:tcW w:w="13044" w:type="dxa"/>
            <w:tcBorders>
              <w:tl2br w:val="nil"/>
              <w:tr2bl w:val="nil"/>
            </w:tcBorders>
            <w:noWrap w:val="0"/>
            <w:vAlign w:val="top"/>
          </w:tcPr>
          <w:p w14:paraId="784CDB83">
            <w:pPr>
              <w:pStyle w:val="36"/>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rPr>
                <w:rFonts w:ascii="Times New Roman" w:hAnsi="Times New Roman" w:eastAsia="宋体" w:cs="Times New Roman"/>
                <w:b/>
                <w:bCs/>
                <w:snapToGrid/>
                <w:color w:val="000000" w:themeColor="text1"/>
                <w:spacing w:val="0"/>
                <w:kern w:val="0"/>
                <w:position w:val="0"/>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Cs w:val="24"/>
                <w:lang w:eastAsia="zh-CN"/>
                <w14:textFill>
                  <w14:solidFill>
                    <w14:schemeClr w14:val="tx1"/>
                  </w14:solidFill>
                </w14:textFill>
              </w:rPr>
              <w:t>表</w:t>
            </w:r>
            <w:r>
              <w:rPr>
                <w:rFonts w:hint="eastAsia" w:ascii="Times New Roman" w:hAnsi="Times New Roman" w:eastAsia="宋体" w:cs="Times New Roman"/>
                <w:b/>
                <w:bCs/>
                <w:snapToGrid/>
                <w:color w:val="000000" w:themeColor="text1"/>
                <w:spacing w:val="0"/>
                <w:kern w:val="0"/>
                <w:position w:val="0"/>
                <w:szCs w:val="24"/>
                <w:lang w:val="en-US" w:eastAsia="zh-CN"/>
                <w14:textFill>
                  <w14:solidFill>
                    <w14:schemeClr w14:val="tx1"/>
                  </w14:solidFill>
                </w14:textFill>
              </w:rPr>
              <w:t>4.6  项目生产车间噪声源强 单位：</w:t>
            </w:r>
            <w:r>
              <w:rPr>
                <w:rFonts w:ascii="Times New Roman" w:hAnsi="Times New Roman" w:eastAsia="宋体" w:cs="Times New Roman"/>
                <w:b/>
                <w:bCs/>
                <w:snapToGrid/>
                <w:color w:val="000000" w:themeColor="text1"/>
                <w:spacing w:val="0"/>
                <w:kern w:val="0"/>
                <w:position w:val="0"/>
                <w:szCs w:val="24"/>
                <w14:textFill>
                  <w14:solidFill>
                    <w14:schemeClr w14:val="tx1"/>
                  </w14:solidFill>
                </w14:textFill>
              </w:rPr>
              <w:t>dB（A）</w:t>
            </w:r>
          </w:p>
          <w:tbl>
            <w:tblPr>
              <w:tblStyle w:val="25"/>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40"/>
              <w:gridCol w:w="742"/>
              <w:gridCol w:w="875"/>
              <w:gridCol w:w="882"/>
              <w:gridCol w:w="759"/>
              <w:gridCol w:w="647"/>
              <w:gridCol w:w="498"/>
              <w:gridCol w:w="498"/>
              <w:gridCol w:w="538"/>
              <w:gridCol w:w="538"/>
              <w:gridCol w:w="495"/>
              <w:gridCol w:w="559"/>
              <w:gridCol w:w="426"/>
              <w:gridCol w:w="463"/>
              <w:gridCol w:w="469"/>
              <w:gridCol w:w="511"/>
              <w:gridCol w:w="602"/>
              <w:gridCol w:w="799"/>
              <w:gridCol w:w="1205"/>
              <w:gridCol w:w="651"/>
            </w:tblGrid>
            <w:tr w14:paraId="18B9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Merge w:val="restart"/>
                  <w:tcBorders>
                    <w:tl2br w:val="nil"/>
                    <w:tr2bl w:val="nil"/>
                  </w:tcBorders>
                  <w:noWrap w:val="0"/>
                  <w:vAlign w:val="center"/>
                </w:tcPr>
                <w:p w14:paraId="64F50D8F">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277" w:type="pct"/>
                  <w:vMerge w:val="restart"/>
                  <w:tcBorders>
                    <w:tl2br w:val="nil"/>
                    <w:tr2bl w:val="nil"/>
                  </w:tcBorders>
                  <w:noWrap w:val="0"/>
                  <w:vAlign w:val="center"/>
                </w:tcPr>
                <w:p w14:paraId="2D9F3400">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建筑物名称</w:t>
                  </w:r>
                </w:p>
              </w:tc>
              <w:tc>
                <w:tcPr>
                  <w:tcW w:w="278" w:type="pct"/>
                  <w:vMerge w:val="restart"/>
                  <w:tcBorders>
                    <w:tl2br w:val="nil"/>
                    <w:tr2bl w:val="nil"/>
                  </w:tcBorders>
                  <w:noWrap w:val="0"/>
                  <w:vAlign w:val="center"/>
                </w:tcPr>
                <w:p w14:paraId="4C43038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声源名称</w:t>
                  </w:r>
                </w:p>
              </w:tc>
              <w:tc>
                <w:tcPr>
                  <w:tcW w:w="328" w:type="pct"/>
                  <w:vMerge w:val="restart"/>
                  <w:tcBorders>
                    <w:tl2br w:val="nil"/>
                    <w:tr2bl w:val="nil"/>
                  </w:tcBorders>
                  <w:noWrap w:val="0"/>
                  <w:vAlign w:val="center"/>
                </w:tcPr>
                <w:p w14:paraId="2EE5DA9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型号</w:t>
                  </w:r>
                </w:p>
              </w:tc>
              <w:tc>
                <w:tcPr>
                  <w:tcW w:w="331" w:type="pct"/>
                  <w:tcBorders>
                    <w:tl2br w:val="nil"/>
                    <w:tr2bl w:val="nil"/>
                  </w:tcBorders>
                  <w:noWrap w:val="0"/>
                  <w:vAlign w:val="center"/>
                </w:tcPr>
                <w:p w14:paraId="094F1D7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声源源强dB（A）</w:t>
                  </w:r>
                </w:p>
              </w:tc>
              <w:tc>
                <w:tcPr>
                  <w:tcW w:w="284" w:type="pct"/>
                  <w:vMerge w:val="restart"/>
                  <w:tcBorders>
                    <w:tl2br w:val="nil"/>
                    <w:tr2bl w:val="nil"/>
                  </w:tcBorders>
                  <w:noWrap w:val="0"/>
                  <w:vAlign w:val="center"/>
                </w:tcPr>
                <w:p w14:paraId="01E1A44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声源控制措施</w:t>
                  </w:r>
                </w:p>
              </w:tc>
              <w:tc>
                <w:tcPr>
                  <w:tcW w:w="616" w:type="pct"/>
                  <w:gridSpan w:val="3"/>
                  <w:tcBorders>
                    <w:tl2br w:val="nil"/>
                    <w:tr2bl w:val="nil"/>
                  </w:tcBorders>
                  <w:noWrap w:val="0"/>
                  <w:vAlign w:val="center"/>
                </w:tcPr>
                <w:p w14:paraId="44343CB8">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空间相对位置m</w:t>
                  </w:r>
                </w:p>
              </w:tc>
              <w:tc>
                <w:tcPr>
                  <w:tcW w:w="799" w:type="pct"/>
                  <w:gridSpan w:val="4"/>
                  <w:tcBorders>
                    <w:tl2br w:val="nil"/>
                    <w:tr2bl w:val="nil"/>
                  </w:tcBorders>
                  <w:noWrap w:val="0"/>
                  <w:vAlign w:val="center"/>
                </w:tcPr>
                <w:p w14:paraId="4CBF2BD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距离室内边界距离m</w:t>
                  </w:r>
                </w:p>
              </w:tc>
              <w:tc>
                <w:tcPr>
                  <w:tcW w:w="701" w:type="pct"/>
                  <w:gridSpan w:val="4"/>
                  <w:tcBorders>
                    <w:tl2br w:val="nil"/>
                    <w:tr2bl w:val="nil"/>
                  </w:tcBorders>
                  <w:noWrap w:val="0"/>
                  <w:vAlign w:val="center"/>
                </w:tcPr>
                <w:p w14:paraId="3516816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室内边界声级dB（A）</w:t>
                  </w:r>
                </w:p>
              </w:tc>
              <w:tc>
                <w:tcPr>
                  <w:tcW w:w="226" w:type="pct"/>
                  <w:vMerge w:val="restart"/>
                  <w:tcBorders>
                    <w:tl2br w:val="nil"/>
                    <w:tr2bl w:val="nil"/>
                  </w:tcBorders>
                  <w:noWrap w:val="0"/>
                  <w:vAlign w:val="center"/>
                </w:tcPr>
                <w:p w14:paraId="2E34364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运行时段</w:t>
                  </w:r>
                </w:p>
              </w:tc>
              <w:tc>
                <w:tcPr>
                  <w:tcW w:w="299" w:type="pct"/>
                  <w:vMerge w:val="restart"/>
                  <w:tcBorders>
                    <w:tl2br w:val="nil"/>
                    <w:tr2bl w:val="nil"/>
                  </w:tcBorders>
                  <w:noWrap w:val="0"/>
                  <w:vAlign w:val="center"/>
                </w:tcPr>
                <w:p w14:paraId="3E25A2D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建筑物插入损失dB（A）</w:t>
                  </w:r>
                </w:p>
              </w:tc>
              <w:tc>
                <w:tcPr>
                  <w:tcW w:w="696" w:type="pct"/>
                  <w:gridSpan w:val="2"/>
                  <w:tcBorders>
                    <w:tl2br w:val="nil"/>
                    <w:tr2bl w:val="nil"/>
                  </w:tcBorders>
                  <w:noWrap w:val="0"/>
                  <w:vAlign w:val="center"/>
                </w:tcPr>
                <w:p w14:paraId="562A7453">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建筑物外噪声</w:t>
                  </w:r>
                </w:p>
              </w:tc>
            </w:tr>
            <w:tr w14:paraId="442D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vMerge w:val="continue"/>
                  <w:tcBorders>
                    <w:tl2br w:val="nil"/>
                    <w:tr2bl w:val="nil"/>
                  </w:tcBorders>
                  <w:noWrap w:val="0"/>
                  <w:vAlign w:val="center"/>
                </w:tcPr>
                <w:p w14:paraId="7AC8F5BA">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77" w:type="pct"/>
                  <w:vMerge w:val="continue"/>
                  <w:tcBorders>
                    <w:tl2br w:val="nil"/>
                    <w:tr2bl w:val="nil"/>
                  </w:tcBorders>
                  <w:noWrap w:val="0"/>
                  <w:vAlign w:val="center"/>
                </w:tcPr>
                <w:p w14:paraId="15BB6A6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78" w:type="pct"/>
                  <w:vMerge w:val="continue"/>
                  <w:tcBorders>
                    <w:tl2br w:val="nil"/>
                    <w:tr2bl w:val="nil"/>
                  </w:tcBorders>
                  <w:noWrap w:val="0"/>
                  <w:vAlign w:val="center"/>
                </w:tcPr>
                <w:p w14:paraId="4A7DE71C">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28" w:type="pct"/>
                  <w:vMerge w:val="continue"/>
                  <w:tcBorders>
                    <w:tl2br w:val="nil"/>
                    <w:tr2bl w:val="nil"/>
                  </w:tcBorders>
                  <w:noWrap w:val="0"/>
                  <w:vAlign w:val="center"/>
                </w:tcPr>
                <w:p w14:paraId="553431D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31" w:type="pct"/>
                  <w:tcBorders>
                    <w:tl2br w:val="nil"/>
                    <w:tr2bl w:val="nil"/>
                  </w:tcBorders>
                  <w:noWrap w:val="0"/>
                  <w:vAlign w:val="center"/>
                </w:tcPr>
                <w:p w14:paraId="13A83F7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声功率级</w:t>
                  </w:r>
                </w:p>
              </w:tc>
              <w:tc>
                <w:tcPr>
                  <w:tcW w:w="284" w:type="pct"/>
                  <w:vMerge w:val="continue"/>
                  <w:tcBorders>
                    <w:tl2br w:val="nil"/>
                    <w:tr2bl w:val="nil"/>
                  </w:tcBorders>
                  <w:noWrap w:val="0"/>
                  <w:vAlign w:val="center"/>
                </w:tcPr>
                <w:p w14:paraId="1CF52F94">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42" w:type="pct"/>
                  <w:tcBorders>
                    <w:tl2br w:val="nil"/>
                    <w:tr2bl w:val="nil"/>
                  </w:tcBorders>
                  <w:noWrap w:val="0"/>
                  <w:vAlign w:val="center"/>
                </w:tcPr>
                <w:p w14:paraId="1054CD06">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X</w:t>
                  </w:r>
                </w:p>
              </w:tc>
              <w:tc>
                <w:tcPr>
                  <w:tcW w:w="186" w:type="pct"/>
                  <w:tcBorders>
                    <w:tl2br w:val="nil"/>
                    <w:tr2bl w:val="nil"/>
                  </w:tcBorders>
                  <w:noWrap w:val="0"/>
                  <w:vAlign w:val="center"/>
                </w:tcPr>
                <w:p w14:paraId="6FE4F52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Y</w:t>
                  </w:r>
                </w:p>
              </w:tc>
              <w:tc>
                <w:tcPr>
                  <w:tcW w:w="186" w:type="pct"/>
                  <w:tcBorders>
                    <w:tl2br w:val="nil"/>
                    <w:tr2bl w:val="nil"/>
                  </w:tcBorders>
                  <w:noWrap w:val="0"/>
                  <w:vAlign w:val="center"/>
                </w:tcPr>
                <w:p w14:paraId="16E0001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Z</w:t>
                  </w:r>
                </w:p>
              </w:tc>
              <w:tc>
                <w:tcPr>
                  <w:tcW w:w="201" w:type="pct"/>
                  <w:tcBorders>
                    <w:tl2br w:val="nil"/>
                    <w:tr2bl w:val="nil"/>
                  </w:tcBorders>
                  <w:noWrap w:val="0"/>
                  <w:vAlign w:val="center"/>
                </w:tcPr>
                <w:p w14:paraId="6CCFF29E">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E</w:t>
                  </w:r>
                </w:p>
              </w:tc>
              <w:tc>
                <w:tcPr>
                  <w:tcW w:w="201" w:type="pct"/>
                  <w:tcBorders>
                    <w:tl2br w:val="nil"/>
                    <w:tr2bl w:val="nil"/>
                  </w:tcBorders>
                  <w:noWrap w:val="0"/>
                  <w:vAlign w:val="center"/>
                </w:tcPr>
                <w:p w14:paraId="52E1A84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w:t>
                  </w:r>
                </w:p>
              </w:tc>
              <w:tc>
                <w:tcPr>
                  <w:tcW w:w="185" w:type="pct"/>
                  <w:tcBorders>
                    <w:tl2br w:val="nil"/>
                    <w:tr2bl w:val="nil"/>
                  </w:tcBorders>
                  <w:noWrap w:val="0"/>
                  <w:vAlign w:val="center"/>
                </w:tcPr>
                <w:p w14:paraId="3D9244A3">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w:t>
                  </w:r>
                </w:p>
              </w:tc>
              <w:tc>
                <w:tcPr>
                  <w:tcW w:w="209" w:type="pct"/>
                  <w:tcBorders>
                    <w:tl2br w:val="nil"/>
                    <w:tr2bl w:val="nil"/>
                  </w:tcBorders>
                  <w:noWrap w:val="0"/>
                  <w:vAlign w:val="center"/>
                </w:tcPr>
                <w:p w14:paraId="4DA1363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159" w:type="pct"/>
                  <w:tcBorders>
                    <w:tl2br w:val="nil"/>
                    <w:tr2bl w:val="nil"/>
                  </w:tcBorders>
                  <w:noWrap w:val="0"/>
                  <w:vAlign w:val="center"/>
                </w:tcPr>
                <w:p w14:paraId="1349E32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E</w:t>
                  </w:r>
                </w:p>
              </w:tc>
              <w:tc>
                <w:tcPr>
                  <w:tcW w:w="173" w:type="pct"/>
                  <w:tcBorders>
                    <w:tl2br w:val="nil"/>
                    <w:tr2bl w:val="nil"/>
                  </w:tcBorders>
                  <w:noWrap w:val="0"/>
                  <w:vAlign w:val="center"/>
                </w:tcPr>
                <w:p w14:paraId="65F5DE6E">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w:t>
                  </w:r>
                </w:p>
              </w:tc>
              <w:tc>
                <w:tcPr>
                  <w:tcW w:w="176" w:type="pct"/>
                  <w:tcBorders>
                    <w:tl2br w:val="nil"/>
                    <w:tr2bl w:val="nil"/>
                  </w:tcBorders>
                  <w:noWrap w:val="0"/>
                  <w:vAlign w:val="center"/>
                </w:tcPr>
                <w:p w14:paraId="0E9AD55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w:t>
                  </w:r>
                </w:p>
              </w:tc>
              <w:tc>
                <w:tcPr>
                  <w:tcW w:w="191" w:type="pct"/>
                  <w:tcBorders>
                    <w:tl2br w:val="nil"/>
                    <w:tr2bl w:val="nil"/>
                  </w:tcBorders>
                  <w:noWrap w:val="0"/>
                  <w:vAlign w:val="center"/>
                </w:tcPr>
                <w:p w14:paraId="5A48D6A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226" w:type="pct"/>
                  <w:vMerge w:val="continue"/>
                  <w:tcBorders>
                    <w:tl2br w:val="nil"/>
                    <w:tr2bl w:val="nil"/>
                  </w:tcBorders>
                  <w:noWrap w:val="0"/>
                  <w:vAlign w:val="center"/>
                </w:tcPr>
                <w:p w14:paraId="25681D5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9" w:type="pct"/>
                  <w:vMerge w:val="continue"/>
                  <w:tcBorders>
                    <w:tl2br w:val="nil"/>
                    <w:tr2bl w:val="nil"/>
                  </w:tcBorders>
                  <w:noWrap w:val="0"/>
                  <w:vAlign w:val="center"/>
                </w:tcPr>
                <w:p w14:paraId="2CAC8320">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52" w:type="pct"/>
                  <w:tcBorders>
                    <w:tl2br w:val="nil"/>
                    <w:tr2bl w:val="nil"/>
                  </w:tcBorders>
                  <w:noWrap w:val="0"/>
                  <w:vAlign w:val="center"/>
                </w:tcPr>
                <w:p w14:paraId="444C7AA6">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声压级dB（A）</w:t>
                  </w:r>
                </w:p>
              </w:tc>
              <w:tc>
                <w:tcPr>
                  <w:tcW w:w="244" w:type="pct"/>
                  <w:tcBorders>
                    <w:tl2br w:val="nil"/>
                    <w:tr2bl w:val="nil"/>
                  </w:tcBorders>
                  <w:noWrap w:val="0"/>
                  <w:vAlign w:val="center"/>
                </w:tcPr>
                <w:p w14:paraId="50BB9C2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建筑物外距离</w:t>
                  </w:r>
                </w:p>
              </w:tc>
            </w:tr>
            <w:tr w14:paraId="5A0E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8" w:type="pct"/>
                  <w:tcBorders>
                    <w:tl2br w:val="nil"/>
                    <w:tr2bl w:val="nil"/>
                  </w:tcBorders>
                  <w:noWrap w:val="0"/>
                  <w:vAlign w:val="center"/>
                </w:tcPr>
                <w:p w14:paraId="4DE5AC7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77" w:type="pct"/>
                  <w:tcBorders>
                    <w:tl2br w:val="nil"/>
                    <w:tr2bl w:val="nil"/>
                  </w:tcBorders>
                  <w:noWrap w:val="0"/>
                  <w:vAlign w:val="center"/>
                </w:tcPr>
                <w:p w14:paraId="15314FAF">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6#生产车间</w:t>
                  </w:r>
                </w:p>
              </w:tc>
              <w:tc>
                <w:tcPr>
                  <w:tcW w:w="278" w:type="pct"/>
                  <w:tcBorders>
                    <w:tl2br w:val="nil"/>
                    <w:tr2bl w:val="nil"/>
                  </w:tcBorders>
                  <w:noWrap w:val="0"/>
                  <w:vAlign w:val="center"/>
                </w:tcPr>
                <w:p w14:paraId="185EF4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杀青机</w:t>
                  </w:r>
                </w:p>
              </w:tc>
              <w:tc>
                <w:tcPr>
                  <w:tcW w:w="328" w:type="pct"/>
                  <w:tcBorders>
                    <w:tl2br w:val="nil"/>
                    <w:tr2bl w:val="nil"/>
                  </w:tcBorders>
                  <w:noWrap w:val="0"/>
                  <w:vAlign w:val="center"/>
                </w:tcPr>
                <w:p w14:paraId="4CBC9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5T/H</w:t>
                  </w:r>
                </w:p>
              </w:tc>
              <w:tc>
                <w:tcPr>
                  <w:tcW w:w="331" w:type="pct"/>
                  <w:tcBorders>
                    <w:tl2br w:val="nil"/>
                    <w:tr2bl w:val="nil"/>
                  </w:tcBorders>
                  <w:noWrap w:val="0"/>
                  <w:vAlign w:val="center"/>
                </w:tcPr>
                <w:p w14:paraId="65F83E63">
                  <w:pPr>
                    <w:widowControl/>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80</w:t>
                  </w:r>
                </w:p>
              </w:tc>
              <w:tc>
                <w:tcPr>
                  <w:tcW w:w="284" w:type="pct"/>
                  <w:vMerge w:val="restart"/>
                  <w:tcBorders>
                    <w:tl2br w:val="nil"/>
                    <w:tr2bl w:val="nil"/>
                  </w:tcBorders>
                  <w:noWrap w:val="0"/>
                  <w:vAlign w:val="center"/>
                </w:tcPr>
                <w:p w14:paraId="3F72671F">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选用低噪声设备、加设减振基础、厂房隔声、距离衰减</w:t>
                  </w:r>
                </w:p>
              </w:tc>
              <w:tc>
                <w:tcPr>
                  <w:tcW w:w="242" w:type="pct"/>
                  <w:tcBorders>
                    <w:tl2br w:val="nil"/>
                    <w:tr2bl w:val="nil"/>
                  </w:tcBorders>
                  <w:shd w:val="clear" w:color="auto" w:fill="auto"/>
                  <w:noWrap w:val="0"/>
                  <w:vAlign w:val="center"/>
                </w:tcPr>
                <w:p w14:paraId="3236DE5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25</w:t>
                  </w:r>
                </w:p>
              </w:tc>
              <w:tc>
                <w:tcPr>
                  <w:tcW w:w="186" w:type="pct"/>
                  <w:tcBorders>
                    <w:tl2br w:val="nil"/>
                    <w:tr2bl w:val="nil"/>
                  </w:tcBorders>
                  <w:shd w:val="clear" w:color="auto" w:fill="auto"/>
                  <w:noWrap w:val="0"/>
                  <w:vAlign w:val="center"/>
                </w:tcPr>
                <w:p w14:paraId="334D23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-5</w:t>
                  </w:r>
                </w:p>
              </w:tc>
              <w:tc>
                <w:tcPr>
                  <w:tcW w:w="186" w:type="pct"/>
                  <w:tcBorders>
                    <w:tl2br w:val="nil"/>
                    <w:tr2bl w:val="nil"/>
                  </w:tcBorders>
                  <w:shd w:val="clear" w:color="auto" w:fill="auto"/>
                  <w:noWrap w:val="0"/>
                  <w:vAlign w:val="center"/>
                </w:tcPr>
                <w:p w14:paraId="099205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w:t>
                  </w:r>
                </w:p>
              </w:tc>
              <w:tc>
                <w:tcPr>
                  <w:tcW w:w="201" w:type="pct"/>
                  <w:tcBorders>
                    <w:tl2br w:val="nil"/>
                    <w:tr2bl w:val="nil"/>
                  </w:tcBorders>
                  <w:shd w:val="clear" w:color="auto" w:fill="auto"/>
                  <w:noWrap w:val="0"/>
                  <w:vAlign w:val="center"/>
                </w:tcPr>
                <w:p w14:paraId="2D91DD58">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100</w:t>
                  </w:r>
                </w:p>
              </w:tc>
              <w:tc>
                <w:tcPr>
                  <w:tcW w:w="201" w:type="pct"/>
                  <w:tcBorders>
                    <w:tl2br w:val="nil"/>
                    <w:tr2bl w:val="nil"/>
                  </w:tcBorders>
                  <w:shd w:val="clear" w:color="auto" w:fill="auto"/>
                  <w:noWrap w:val="0"/>
                  <w:vAlign w:val="center"/>
                </w:tcPr>
                <w:p w14:paraId="2892AA2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15</w:t>
                  </w:r>
                </w:p>
              </w:tc>
              <w:tc>
                <w:tcPr>
                  <w:tcW w:w="185" w:type="pct"/>
                  <w:tcBorders>
                    <w:tl2br w:val="nil"/>
                    <w:tr2bl w:val="nil"/>
                  </w:tcBorders>
                  <w:shd w:val="clear" w:color="auto" w:fill="auto"/>
                  <w:noWrap w:val="0"/>
                  <w:vAlign w:val="center"/>
                </w:tcPr>
                <w:p w14:paraId="5DED90B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50</w:t>
                  </w:r>
                </w:p>
              </w:tc>
              <w:tc>
                <w:tcPr>
                  <w:tcW w:w="209" w:type="pct"/>
                  <w:tcBorders>
                    <w:tl2br w:val="nil"/>
                    <w:tr2bl w:val="nil"/>
                  </w:tcBorders>
                  <w:shd w:val="clear" w:color="auto" w:fill="auto"/>
                  <w:noWrap w:val="0"/>
                  <w:vAlign w:val="center"/>
                </w:tcPr>
                <w:p w14:paraId="3292945D">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spacing w:val="-2"/>
                      <w:kern w:val="2"/>
                      <w:sz w:val="21"/>
                      <w:szCs w:val="21"/>
                      <w:highlight w:val="none"/>
                      <w:lang w:val="en-US" w:eastAsia="zh-CN" w:bidi="ar-SA"/>
                      <w14:textFill>
                        <w14:solidFill>
                          <w14:schemeClr w14:val="tx1"/>
                        </w14:solidFill>
                      </w14:textFill>
                    </w:rPr>
                  </w:pPr>
                  <w:r>
                    <w:rPr>
                      <w:rFonts w:hint="eastAsia" w:cs="Times New Roman"/>
                      <w:b w:val="0"/>
                      <w:color w:val="000000" w:themeColor="text1"/>
                      <w:spacing w:val="-2"/>
                      <w:kern w:val="2"/>
                      <w:sz w:val="21"/>
                      <w:szCs w:val="21"/>
                      <w:highlight w:val="none"/>
                      <w:lang w:val="en-US" w:eastAsia="zh-CN" w:bidi="ar-SA"/>
                      <w14:textFill>
                        <w14:solidFill>
                          <w14:schemeClr w14:val="tx1"/>
                        </w14:solidFill>
                      </w14:textFill>
                    </w:rPr>
                    <w:t>25</w:t>
                  </w:r>
                </w:p>
              </w:tc>
              <w:tc>
                <w:tcPr>
                  <w:tcW w:w="159" w:type="pct"/>
                  <w:tcBorders>
                    <w:tl2br w:val="nil"/>
                    <w:tr2bl w:val="nil"/>
                  </w:tcBorders>
                  <w:shd w:val="clear" w:color="auto" w:fill="auto"/>
                  <w:noWrap w:val="0"/>
                  <w:vAlign w:val="center"/>
                </w:tcPr>
                <w:p w14:paraId="524EF607">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40</w:t>
                  </w:r>
                </w:p>
              </w:tc>
              <w:tc>
                <w:tcPr>
                  <w:tcW w:w="173" w:type="pct"/>
                  <w:tcBorders>
                    <w:tl2br w:val="nil"/>
                    <w:tr2bl w:val="nil"/>
                  </w:tcBorders>
                  <w:shd w:val="clear" w:color="auto" w:fill="auto"/>
                  <w:noWrap w:val="0"/>
                  <w:vAlign w:val="center"/>
                </w:tcPr>
                <w:p w14:paraId="0E14B9FA">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56</w:t>
                  </w:r>
                </w:p>
              </w:tc>
              <w:tc>
                <w:tcPr>
                  <w:tcW w:w="176" w:type="pct"/>
                  <w:tcBorders>
                    <w:tl2br w:val="nil"/>
                    <w:tr2bl w:val="nil"/>
                  </w:tcBorders>
                  <w:shd w:val="clear" w:color="auto" w:fill="auto"/>
                  <w:noWrap w:val="0"/>
                  <w:vAlign w:val="center"/>
                </w:tcPr>
                <w:p w14:paraId="540CAEC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46</w:t>
                  </w:r>
                </w:p>
              </w:tc>
              <w:tc>
                <w:tcPr>
                  <w:tcW w:w="191" w:type="pct"/>
                  <w:tcBorders>
                    <w:tl2br w:val="nil"/>
                    <w:tr2bl w:val="nil"/>
                  </w:tcBorders>
                  <w:shd w:val="clear" w:color="auto" w:fill="auto"/>
                  <w:noWrap w:val="0"/>
                  <w:vAlign w:val="center"/>
                </w:tcPr>
                <w:p w14:paraId="175CEE6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52</w:t>
                  </w:r>
                </w:p>
              </w:tc>
              <w:tc>
                <w:tcPr>
                  <w:tcW w:w="226" w:type="pct"/>
                  <w:tcBorders>
                    <w:tl2br w:val="nil"/>
                    <w:tr2bl w:val="nil"/>
                  </w:tcBorders>
                  <w:noWrap w:val="0"/>
                  <w:vAlign w:val="center"/>
                </w:tcPr>
                <w:p w14:paraId="333558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99" w:type="pct"/>
                  <w:tcBorders>
                    <w:tl2br w:val="nil"/>
                    <w:tr2bl w:val="nil"/>
                  </w:tcBorders>
                  <w:noWrap w:val="0"/>
                  <w:vAlign w:val="center"/>
                </w:tcPr>
                <w:p w14:paraId="0273755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452" w:type="pct"/>
                  <w:tcBorders>
                    <w:tl2br w:val="nil"/>
                    <w:tr2bl w:val="nil"/>
                  </w:tcBorders>
                  <w:shd w:val="clear" w:color="auto" w:fill="auto"/>
                  <w:noWrap w:val="0"/>
                  <w:vAlign w:val="center"/>
                </w:tcPr>
                <w:p w14:paraId="0E444A4F">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b w:val="0"/>
                      <w:bCs w:val="0"/>
                      <w:color w:val="000000" w:themeColor="text1"/>
                      <w:sz w:val="21"/>
                      <w:szCs w:val="20"/>
                      <w:lang w:val="en-US" w:eastAsia="zh-CN"/>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E:20、S:36</w:t>
                  </w:r>
                </w:p>
                <w:p w14:paraId="44266015">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W:26、N:32</w:t>
                  </w:r>
                </w:p>
              </w:tc>
              <w:tc>
                <w:tcPr>
                  <w:tcW w:w="244" w:type="pct"/>
                  <w:tcBorders>
                    <w:tl2br w:val="nil"/>
                    <w:tr2bl w:val="nil"/>
                  </w:tcBorders>
                  <w:noWrap w:val="0"/>
                  <w:vAlign w:val="center"/>
                </w:tcPr>
                <w:p w14:paraId="719B3044">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1m</w:t>
                  </w:r>
                </w:p>
              </w:tc>
            </w:tr>
            <w:tr w14:paraId="54D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 w:type="pct"/>
                  <w:tcBorders>
                    <w:tl2br w:val="nil"/>
                    <w:tr2bl w:val="nil"/>
                  </w:tcBorders>
                  <w:noWrap w:val="0"/>
                  <w:vAlign w:val="center"/>
                </w:tcPr>
                <w:p w14:paraId="576079AE">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277" w:type="pct"/>
                  <w:tcBorders>
                    <w:tl2br w:val="nil"/>
                    <w:tr2bl w:val="nil"/>
                  </w:tcBorders>
                  <w:noWrap w:val="0"/>
                  <w:vAlign w:val="center"/>
                </w:tcPr>
                <w:p w14:paraId="0513D8D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锅炉房</w:t>
                  </w:r>
                </w:p>
              </w:tc>
              <w:tc>
                <w:tcPr>
                  <w:tcW w:w="278" w:type="pct"/>
                  <w:tcBorders>
                    <w:tl2br w:val="nil"/>
                    <w:tr2bl w:val="nil"/>
                  </w:tcBorders>
                  <w:noWrap w:val="0"/>
                  <w:vAlign w:val="center"/>
                </w:tcPr>
                <w:p w14:paraId="7FAE86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燃气蒸汽锅炉</w:t>
                  </w:r>
                </w:p>
              </w:tc>
              <w:tc>
                <w:tcPr>
                  <w:tcW w:w="328" w:type="pct"/>
                  <w:tcBorders>
                    <w:tl2br w:val="nil"/>
                    <w:tr2bl w:val="nil"/>
                  </w:tcBorders>
                  <w:noWrap w:val="0"/>
                  <w:vAlign w:val="center"/>
                </w:tcPr>
                <w:p w14:paraId="2E0FABDB">
                  <w:pPr>
                    <w:keepNext w:val="0"/>
                    <w:keepLines w:val="0"/>
                    <w:pageBreakBefore w:val="0"/>
                    <w:tabs>
                      <w:tab w:val="left" w:pos="337"/>
                    </w:tabs>
                    <w:kinsoku/>
                    <w:wordWrap/>
                    <w:overflowPunct/>
                    <w:topLinePunct w:val="0"/>
                    <w:bidi w:val="0"/>
                    <w:adjustRightInd w:val="0"/>
                    <w:snapToGrid w:val="0"/>
                    <w:spacing w:line="240" w:lineRule="auto"/>
                    <w:ind w:right="0" w:righ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WNS9-</w:t>
                  </w:r>
                </w:p>
                <w:p w14:paraId="5AB764C5">
                  <w:pPr>
                    <w:keepNext w:val="0"/>
                    <w:keepLines w:val="0"/>
                    <w:pageBreakBefore w:val="0"/>
                    <w:tabs>
                      <w:tab w:val="left" w:pos="337"/>
                    </w:tabs>
                    <w:kinsoku/>
                    <w:wordWrap/>
                    <w:overflowPunct/>
                    <w:topLinePunct w:val="0"/>
                    <w:bidi w:val="0"/>
                    <w:adjustRightInd w:val="0"/>
                    <w:snapToGrid w:val="0"/>
                    <w:spacing w:line="240" w:lineRule="auto"/>
                    <w:ind w:right="0" w:rightChars="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1.25-QT</w:t>
                  </w:r>
                </w:p>
              </w:tc>
              <w:tc>
                <w:tcPr>
                  <w:tcW w:w="331" w:type="pct"/>
                  <w:tcBorders>
                    <w:tl2br w:val="nil"/>
                    <w:tr2bl w:val="nil"/>
                  </w:tcBorders>
                  <w:noWrap w:val="0"/>
                  <w:vAlign w:val="center"/>
                </w:tcPr>
                <w:p w14:paraId="53557AEF">
                  <w:pPr>
                    <w:widowControl/>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90</w:t>
                  </w:r>
                </w:p>
              </w:tc>
              <w:tc>
                <w:tcPr>
                  <w:tcW w:w="284" w:type="pct"/>
                  <w:vMerge w:val="continue"/>
                  <w:tcBorders>
                    <w:tl2br w:val="nil"/>
                    <w:tr2bl w:val="nil"/>
                  </w:tcBorders>
                  <w:noWrap w:val="0"/>
                  <w:vAlign w:val="center"/>
                </w:tcPr>
                <w:p w14:paraId="7559F05B">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42" w:type="pct"/>
                  <w:tcBorders>
                    <w:tl2br w:val="nil"/>
                    <w:tr2bl w:val="nil"/>
                  </w:tcBorders>
                  <w:shd w:val="clear" w:color="auto" w:fill="auto"/>
                  <w:noWrap w:val="0"/>
                  <w:vAlign w:val="center"/>
                </w:tcPr>
                <w:p w14:paraId="7C947B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3</w:t>
                  </w:r>
                </w:p>
              </w:tc>
              <w:tc>
                <w:tcPr>
                  <w:tcW w:w="186" w:type="pct"/>
                  <w:tcBorders>
                    <w:tl2br w:val="nil"/>
                    <w:tr2bl w:val="nil"/>
                  </w:tcBorders>
                  <w:shd w:val="clear" w:color="auto" w:fill="auto"/>
                  <w:noWrap w:val="0"/>
                  <w:vAlign w:val="center"/>
                </w:tcPr>
                <w:p w14:paraId="21EC59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w:t>
                  </w:r>
                </w:p>
              </w:tc>
              <w:tc>
                <w:tcPr>
                  <w:tcW w:w="186" w:type="pct"/>
                  <w:tcBorders>
                    <w:tl2br w:val="nil"/>
                    <w:tr2bl w:val="nil"/>
                  </w:tcBorders>
                  <w:shd w:val="clear" w:color="auto" w:fill="auto"/>
                  <w:noWrap w:val="0"/>
                  <w:vAlign w:val="center"/>
                </w:tcPr>
                <w:p w14:paraId="4D6C9A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w:t>
                  </w:r>
                </w:p>
              </w:tc>
              <w:tc>
                <w:tcPr>
                  <w:tcW w:w="201" w:type="pct"/>
                  <w:tcBorders>
                    <w:tl2br w:val="nil"/>
                    <w:tr2bl w:val="nil"/>
                  </w:tcBorders>
                  <w:shd w:val="clear" w:color="auto" w:fill="auto"/>
                  <w:noWrap w:val="0"/>
                  <w:vAlign w:val="center"/>
                </w:tcPr>
                <w:p w14:paraId="65276B63">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13</w:t>
                  </w:r>
                </w:p>
              </w:tc>
              <w:tc>
                <w:tcPr>
                  <w:tcW w:w="201" w:type="pct"/>
                  <w:tcBorders>
                    <w:tl2br w:val="nil"/>
                    <w:tr2bl w:val="nil"/>
                  </w:tcBorders>
                  <w:shd w:val="clear" w:color="auto" w:fill="auto"/>
                  <w:noWrap w:val="0"/>
                  <w:vAlign w:val="center"/>
                </w:tcPr>
                <w:p w14:paraId="0F71F25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6</w:t>
                  </w:r>
                </w:p>
              </w:tc>
              <w:tc>
                <w:tcPr>
                  <w:tcW w:w="185" w:type="pct"/>
                  <w:tcBorders>
                    <w:tl2br w:val="nil"/>
                    <w:tr2bl w:val="nil"/>
                  </w:tcBorders>
                  <w:shd w:val="clear" w:color="auto" w:fill="auto"/>
                  <w:noWrap w:val="0"/>
                  <w:vAlign w:val="center"/>
                </w:tcPr>
                <w:p w14:paraId="296BD50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w:t>
                  </w:r>
                </w:p>
              </w:tc>
              <w:tc>
                <w:tcPr>
                  <w:tcW w:w="209" w:type="pct"/>
                  <w:tcBorders>
                    <w:tl2br w:val="nil"/>
                    <w:tr2bl w:val="nil"/>
                  </w:tcBorders>
                  <w:shd w:val="clear" w:color="auto" w:fill="auto"/>
                  <w:noWrap w:val="0"/>
                  <w:vAlign w:val="center"/>
                </w:tcPr>
                <w:p w14:paraId="1CFA8009">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spacing w:val="-2"/>
                      <w:kern w:val="2"/>
                      <w:sz w:val="21"/>
                      <w:szCs w:val="21"/>
                      <w:highlight w:val="none"/>
                      <w:lang w:val="en-US" w:eastAsia="zh-CN" w:bidi="ar-SA"/>
                      <w14:textFill>
                        <w14:solidFill>
                          <w14:schemeClr w14:val="tx1"/>
                        </w14:solidFill>
                      </w14:textFill>
                    </w:rPr>
                  </w:pPr>
                  <w:r>
                    <w:rPr>
                      <w:rFonts w:hint="eastAsia" w:cs="Times New Roman"/>
                      <w:b w:val="0"/>
                      <w:color w:val="000000" w:themeColor="text1"/>
                      <w:spacing w:val="-2"/>
                      <w:kern w:val="2"/>
                      <w:sz w:val="21"/>
                      <w:szCs w:val="21"/>
                      <w:highlight w:val="none"/>
                      <w:lang w:val="en-US" w:eastAsia="zh-CN" w:bidi="ar-SA"/>
                      <w14:textFill>
                        <w14:solidFill>
                          <w14:schemeClr w14:val="tx1"/>
                        </w14:solidFill>
                      </w14:textFill>
                    </w:rPr>
                    <w:t>4</w:t>
                  </w:r>
                </w:p>
              </w:tc>
              <w:tc>
                <w:tcPr>
                  <w:tcW w:w="159" w:type="pct"/>
                  <w:tcBorders>
                    <w:tl2br w:val="nil"/>
                    <w:tr2bl w:val="nil"/>
                  </w:tcBorders>
                  <w:shd w:val="clear" w:color="auto" w:fill="auto"/>
                  <w:noWrap w:val="0"/>
                  <w:vAlign w:val="center"/>
                </w:tcPr>
                <w:p w14:paraId="502E8F4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67</w:t>
                  </w:r>
                </w:p>
              </w:tc>
              <w:tc>
                <w:tcPr>
                  <w:tcW w:w="173" w:type="pct"/>
                  <w:tcBorders>
                    <w:tl2br w:val="nil"/>
                    <w:tr2bl w:val="nil"/>
                  </w:tcBorders>
                  <w:shd w:val="clear" w:color="auto" w:fill="auto"/>
                  <w:noWrap w:val="0"/>
                  <w:vAlign w:val="center"/>
                </w:tcPr>
                <w:p w14:paraId="53A97702">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74</w:t>
                  </w:r>
                </w:p>
              </w:tc>
              <w:tc>
                <w:tcPr>
                  <w:tcW w:w="176" w:type="pct"/>
                  <w:tcBorders>
                    <w:tl2br w:val="nil"/>
                    <w:tr2bl w:val="nil"/>
                  </w:tcBorders>
                  <w:shd w:val="clear" w:color="auto" w:fill="auto"/>
                  <w:noWrap w:val="0"/>
                  <w:vAlign w:val="center"/>
                </w:tcPr>
                <w:p w14:paraId="4E2EA2DA">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73</w:t>
                  </w:r>
                </w:p>
              </w:tc>
              <w:tc>
                <w:tcPr>
                  <w:tcW w:w="191" w:type="pct"/>
                  <w:tcBorders>
                    <w:tl2br w:val="nil"/>
                    <w:tr2bl w:val="nil"/>
                  </w:tcBorders>
                  <w:shd w:val="clear" w:color="auto" w:fill="auto"/>
                  <w:noWrap w:val="0"/>
                  <w:vAlign w:val="center"/>
                </w:tcPr>
                <w:p w14:paraId="682C9341">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78</w:t>
                  </w:r>
                </w:p>
              </w:tc>
              <w:tc>
                <w:tcPr>
                  <w:tcW w:w="226" w:type="pct"/>
                  <w:tcBorders>
                    <w:tl2br w:val="nil"/>
                    <w:tr2bl w:val="nil"/>
                  </w:tcBorders>
                  <w:noWrap w:val="0"/>
                  <w:vAlign w:val="center"/>
                </w:tcPr>
                <w:p w14:paraId="2A319C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99" w:type="pct"/>
                  <w:tcBorders>
                    <w:tl2br w:val="nil"/>
                    <w:tr2bl w:val="nil"/>
                  </w:tcBorders>
                  <w:noWrap w:val="0"/>
                  <w:vAlign w:val="center"/>
                </w:tcPr>
                <w:p w14:paraId="764D4F9C">
                  <w:pPr>
                    <w:pStyle w:val="34"/>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452" w:type="pct"/>
                  <w:tcBorders>
                    <w:tl2br w:val="nil"/>
                    <w:tr2bl w:val="nil"/>
                  </w:tcBorders>
                  <w:noWrap w:val="0"/>
                  <w:vAlign w:val="center"/>
                </w:tcPr>
                <w:p w14:paraId="75C48A4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b w:val="0"/>
                      <w:bCs w:val="0"/>
                      <w:color w:val="000000" w:themeColor="text1"/>
                      <w:sz w:val="21"/>
                      <w:szCs w:val="20"/>
                      <w:lang w:val="en-US" w:eastAsia="zh-CN"/>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E:47、S:54</w:t>
                  </w:r>
                </w:p>
                <w:p w14:paraId="4543D59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0"/>
                      <w:lang w:val="en-US" w:eastAsia="zh-CN"/>
                      <w14:textFill>
                        <w14:solidFill>
                          <w14:schemeClr w14:val="tx1"/>
                        </w14:solidFill>
                      </w14:textFill>
                    </w:rPr>
                    <w:t>W:53、N:58</w:t>
                  </w:r>
                </w:p>
              </w:tc>
              <w:tc>
                <w:tcPr>
                  <w:tcW w:w="244" w:type="pct"/>
                  <w:tcBorders>
                    <w:tl2br w:val="nil"/>
                    <w:tr2bl w:val="nil"/>
                  </w:tcBorders>
                  <w:noWrap w:val="0"/>
                  <w:vAlign w:val="center"/>
                </w:tcPr>
                <w:p w14:paraId="14F1A4D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1m</w:t>
                  </w:r>
                </w:p>
              </w:tc>
            </w:tr>
          </w:tbl>
          <w:p w14:paraId="59551BE9">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注：室内声源分别以各建筑物中心为原点。</w:t>
            </w:r>
          </w:p>
        </w:tc>
      </w:tr>
    </w:tbl>
    <w:p w14:paraId="45F231C6">
      <w:pPr>
        <w:rPr>
          <w:rFonts w:hint="eastAsia" w:eastAsia="宋体"/>
          <w:snapToGrid/>
          <w:color w:val="000000" w:themeColor="text1"/>
          <w:spacing w:val="0"/>
          <w:kern w:val="0"/>
          <w:position w:val="0"/>
          <w:lang w:eastAsia="zh-CN"/>
          <w14:textFill>
            <w14:solidFill>
              <w14:schemeClr w14:val="tx1"/>
            </w14:solidFill>
          </w14:textFill>
        </w:rPr>
        <w:sectPr>
          <w:pgSz w:w="16838" w:h="11906" w:orient="landscape"/>
          <w:pgMar w:top="1803" w:right="1440" w:bottom="1803"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5"/>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438"/>
      </w:tblGrid>
      <w:tr w14:paraId="72257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9" w:hRule="atLeast"/>
          <w:jc w:val="center"/>
        </w:trPr>
        <w:tc>
          <w:tcPr>
            <w:tcW w:w="553" w:type="dxa"/>
            <w:tcBorders>
              <w:tl2br w:val="nil"/>
              <w:tr2bl w:val="nil"/>
            </w:tcBorders>
            <w:noWrap w:val="0"/>
            <w:vAlign w:val="center"/>
          </w:tcPr>
          <w:p w14:paraId="6C3500F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5B2A700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7D320AE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0F8B147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048ED75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5356A8E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4340423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w:t>
            </w:r>
          </w:p>
          <w:p w14:paraId="3903E13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116B852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3120D54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57484BEA">
            <w:pPr>
              <w:pStyle w:val="29"/>
              <w:numPr>
                <w:ilvl w:val="1"/>
                <w:numId w:val="0"/>
              </w:numPr>
              <w:spacing w:line="240" w:lineRule="auto"/>
              <w:ind w:leftChars="0"/>
              <w:jc w:val="both"/>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8438" w:type="dxa"/>
            <w:tcBorders>
              <w:tl2br w:val="nil"/>
              <w:tr2bl w:val="nil"/>
            </w:tcBorders>
            <w:noWrap w:val="0"/>
            <w:vAlign w:val="center"/>
          </w:tcPr>
          <w:p w14:paraId="52340E4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厂界和环境保护目标达标情况分析：</w:t>
            </w:r>
          </w:p>
          <w:p w14:paraId="7D4E4D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lang w:val="zh-CN"/>
                <w14:textFill>
                  <w14:solidFill>
                    <w14:schemeClr w14:val="tx1"/>
                  </w14:solidFill>
                </w14:textFill>
              </w:rPr>
              <w:t>根据设备噪声强度，采用距离衰减模式分析该项目对声环境的影响。预测模式采用《环境影响评价技术导则</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zh-CN"/>
                <w14:textFill>
                  <w14:solidFill>
                    <w14:schemeClr w14:val="tx1"/>
                  </w14:solidFill>
                </w14:textFill>
              </w:rPr>
              <w:t>声环境》</w:t>
            </w:r>
            <w:r>
              <w:rPr>
                <w:rFonts w:hint="eastAsia" w:ascii="Times New Roman" w:hAnsi="Times New Roman" w:eastAsia="宋体" w:cs="Times New Roman"/>
                <w:color w:val="000000" w:themeColor="text1"/>
                <w:sz w:val="24"/>
                <w:szCs w:val="24"/>
                <w:lang w:val="zh-CN"/>
                <w14:textFill>
                  <w14:solidFill>
                    <w14:schemeClr w14:val="tx1"/>
                  </w14:solidFill>
                </w14:textFill>
              </w:rPr>
              <w:t>（</w:t>
            </w:r>
            <w:r>
              <w:rPr>
                <w:rFonts w:hint="default" w:ascii="Times New Roman" w:hAnsi="Times New Roman" w:eastAsia="宋体" w:cs="Times New Roman"/>
                <w:color w:val="000000" w:themeColor="text1"/>
                <w:sz w:val="24"/>
                <w:szCs w:val="24"/>
                <w:lang w:val="zh-CN"/>
                <w14:textFill>
                  <w14:solidFill>
                    <w14:schemeClr w14:val="tx1"/>
                  </w14:solidFill>
                </w14:textFill>
              </w:rPr>
              <w:t>HJ2.4-2021</w:t>
            </w:r>
            <w:r>
              <w:rPr>
                <w:rFonts w:hint="eastAsia" w:ascii="Times New Roman" w:hAnsi="Times New Roman" w:eastAsia="宋体" w:cs="Times New Roman"/>
                <w:color w:val="000000" w:themeColor="text1"/>
                <w:sz w:val="24"/>
                <w:szCs w:val="24"/>
                <w:lang w:val="zh-CN"/>
                <w14:textFill>
                  <w14:solidFill>
                    <w14:schemeClr w14:val="tx1"/>
                  </w14:solidFill>
                </w14:textFill>
              </w:rPr>
              <w:t>）</w:t>
            </w:r>
            <w:r>
              <w:rPr>
                <w:rFonts w:hint="default" w:ascii="Times New Roman" w:hAnsi="Times New Roman" w:eastAsia="宋体" w:cs="Times New Roman"/>
                <w:color w:val="000000" w:themeColor="text1"/>
                <w:sz w:val="24"/>
                <w:szCs w:val="24"/>
                <w:lang w:val="zh-CN"/>
                <w14:textFill>
                  <w14:solidFill>
                    <w14:schemeClr w14:val="tx1"/>
                  </w14:solidFill>
                </w14:textFill>
              </w:rPr>
              <w:t>中推荐的噪声预测模式，噪声衰减公式：</w:t>
            </w:r>
          </w:p>
          <w:p w14:paraId="1E7B2EE8">
            <w:pPr>
              <w:pStyle w:val="23"/>
              <w:keepNext w:val="0"/>
              <w:keepLines w:val="0"/>
              <w:pageBreakBefore w:val="0"/>
              <w:widowControl/>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①如图B.1所示，声源位于室内，室内声源可采用等效室外声源声功率级法进行计算。设靠近开口处（或窗户）室内、室外某倍频带的声压级或A声级分别为L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sz w:val="24"/>
                <w:szCs w:val="24"/>
                <w14:textFill>
                  <w14:solidFill>
                    <w14:schemeClr w14:val="tx1"/>
                  </w14:solidFill>
                </w14:textFill>
              </w:rPr>
              <w:t>和L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sz w:val="24"/>
                <w:szCs w:val="24"/>
                <w14:textFill>
                  <w14:solidFill>
                    <w14:schemeClr w14:val="tx1"/>
                  </w14:solidFill>
                </w14:textFill>
              </w:rPr>
              <w:t>。若声源所在室内声场为近似扩散声场，则室外的倍频带声压级可按式（B.1）近似求出：</w:t>
            </w:r>
          </w:p>
          <w:p w14:paraId="568B1234">
            <w:pPr>
              <w:pStyle w:val="23"/>
              <w:keepNext w:val="0"/>
              <w:keepLines w:val="0"/>
              <w:pageBreakBefore w:val="0"/>
              <w:kinsoku/>
              <w:wordWrap/>
              <w:overflowPunct/>
              <w:topLinePunct w:val="0"/>
              <w:autoSpaceDE/>
              <w:autoSpaceDN/>
              <w:bidi w:val="0"/>
              <w:adjustRightInd w:val="0"/>
              <w:snapToGrid w:val="0"/>
              <w:spacing w:before="0" w:after="0" w:line="360" w:lineRule="auto"/>
              <w:ind w:right="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482975" cy="373380"/>
                  <wp:effectExtent l="0" t="0" r="3810" b="444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a:stretch>
                            <a:fillRect/>
                          </a:stretch>
                        </pic:blipFill>
                        <pic:spPr>
                          <a:xfrm>
                            <a:off x="0" y="0"/>
                            <a:ext cx="3482975" cy="373380"/>
                          </a:xfrm>
                          <a:prstGeom prst="rect">
                            <a:avLst/>
                          </a:prstGeom>
                          <a:noFill/>
                          <a:ln>
                            <a:noFill/>
                          </a:ln>
                        </pic:spPr>
                      </pic:pic>
                    </a:graphicData>
                  </a:graphic>
                </wp:inline>
              </w:drawing>
            </w:r>
          </w:p>
          <w:p w14:paraId="1A6C54E5">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靠近开口处（或窗户）室内某倍频带的声压级或A声级，dB；</w:t>
            </w:r>
          </w:p>
          <w:p w14:paraId="5BF7FBC2">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靠近开口处（或窗户）室外某倍频带的声压级或A声级，dB；</w:t>
            </w:r>
          </w:p>
          <w:p w14:paraId="77891958">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TL</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隔墙（或窗户）倍频带或A声级的隔声量，dB。</w:t>
            </w:r>
          </w:p>
          <w:p w14:paraId="4620A7EC">
            <w:pPr>
              <w:pStyle w:val="23"/>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236595" cy="1656080"/>
                  <wp:effectExtent l="0" t="0" r="1905" b="635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8"/>
                          <a:stretch>
                            <a:fillRect/>
                          </a:stretch>
                        </pic:blipFill>
                        <pic:spPr>
                          <a:xfrm>
                            <a:off x="0" y="0"/>
                            <a:ext cx="3236595" cy="1656080"/>
                          </a:xfrm>
                          <a:prstGeom prst="rect">
                            <a:avLst/>
                          </a:prstGeom>
                          <a:noFill/>
                          <a:ln>
                            <a:noFill/>
                          </a:ln>
                        </pic:spPr>
                      </pic:pic>
                    </a:graphicData>
                  </a:graphic>
                </wp:inline>
              </w:drawing>
            </w:r>
          </w:p>
          <w:p w14:paraId="3B720748">
            <w:pPr>
              <w:pStyle w:val="23"/>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图</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B.1  室内声源等效为室外声源图例</w:t>
            </w:r>
          </w:p>
          <w:p w14:paraId="2EC5B5B3">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②也可按式（B.2）计算某一室内声源靠近围护结构处产生的倍频带声压级或A声级：</w:t>
            </w:r>
          </w:p>
          <w:p w14:paraId="33349E48">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04615" cy="575310"/>
                  <wp:effectExtent l="0" t="0" r="3175" b="762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9"/>
                          <a:stretch>
                            <a:fillRect/>
                          </a:stretch>
                        </pic:blipFill>
                        <pic:spPr>
                          <a:xfrm>
                            <a:off x="0" y="0"/>
                            <a:ext cx="3904615" cy="575310"/>
                          </a:xfrm>
                          <a:prstGeom prst="rect">
                            <a:avLst/>
                          </a:prstGeom>
                          <a:noFill/>
                          <a:ln>
                            <a:noFill/>
                          </a:ln>
                        </pic:spPr>
                      </pic:pic>
                    </a:graphicData>
                  </a:graphic>
                </wp:inline>
              </w:drawing>
            </w:r>
          </w:p>
          <w:p w14:paraId="0DD7519B">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式中：L</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bCs/>
                <w:color w:val="000000" w:themeColor="text1"/>
                <w:sz w:val="24"/>
                <w:szCs w:val="24"/>
                <w14:textFill>
                  <w14:solidFill>
                    <w14:schemeClr w14:val="tx1"/>
                  </w14:solidFill>
                </w14:textFill>
              </w:rPr>
              <w:t>——靠近开口处（或窗户）室内某倍频带的声压级或A声级，dB；</w:t>
            </w:r>
          </w:p>
          <w:p w14:paraId="428B9F17">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1200" w:firstLineChars="5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L</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 xml:space="preserve">w </w:t>
            </w:r>
            <w:r>
              <w:rPr>
                <w:rFonts w:hint="default" w:ascii="Times New Roman" w:hAnsi="Times New Roman" w:eastAsia="宋体" w:cs="Times New Roman"/>
                <w:bCs/>
                <w:color w:val="000000" w:themeColor="text1"/>
                <w:sz w:val="24"/>
                <w:szCs w:val="24"/>
                <w14:textFill>
                  <w14:solidFill>
                    <w14:schemeClr w14:val="tx1"/>
                  </w14:solidFill>
                </w14:textFill>
              </w:rPr>
              <w:t>——点声源声功率级（A计权或倍频带），dB；</w:t>
            </w:r>
          </w:p>
          <w:p w14:paraId="3D0AF608">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1200" w:firstLineChars="5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Q——指向性因数；通常对无指向性声源，当声源放在房间中心时，Q=1；当放在一面墙的中心时，Q=2；当放在两面墙夹角处时，Q=4；当放在三面墙夹角处时，Q=8；</w:t>
            </w:r>
          </w:p>
          <w:p w14:paraId="63C7F16A">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R——房间常数；</w:t>
            </w:r>
            <w:r>
              <w:rPr>
                <w:rFonts w:hint="default" w:ascii="Times New Roman" w:hAnsi="Times New Roman" w:eastAsia="宋体" w:cs="Times New Roman"/>
                <w:caps w:val="0"/>
                <w:smallCaps w:val="0"/>
                <w:color w:val="000000" w:themeColor="text1"/>
                <w:spacing w:val="0"/>
                <w:w w:val="100"/>
                <w:kern w:val="0"/>
                <w:position w:val="0"/>
                <w:sz w:val="24"/>
                <w:szCs w:val="24"/>
                <w:lang w:val="en-US" w:eastAsia="zh-CN"/>
                <w14:textFill>
                  <w14:solidFill>
                    <w14:schemeClr w14:val="tx1"/>
                  </w14:solidFill>
                </w14:textFill>
              </w:rPr>
              <w:t>R=Sα/（1-α）</w:t>
            </w:r>
            <w:r>
              <w:rPr>
                <w:rFonts w:hint="default" w:ascii="Times New Roman" w:hAnsi="Times New Roman" w:eastAsia="宋体" w:cs="Times New Roman"/>
                <w:bCs/>
                <w:color w:val="000000" w:themeColor="text1"/>
                <w:sz w:val="24"/>
                <w:szCs w:val="24"/>
                <w14:textFill>
                  <w14:solidFill>
                    <w14:schemeClr w14:val="tx1"/>
                  </w14:solidFill>
                </w14:textFill>
              </w:rPr>
              <w:t>，S为房间内表面面积，m</w:t>
            </w:r>
            <w:r>
              <w:rPr>
                <w:rFonts w:hint="default" w:ascii="Times New Roman" w:hAnsi="Times New Roman" w:eastAsia="宋体" w:cs="Times New Roman"/>
                <w:bCs/>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bCs/>
                <w:color w:val="000000" w:themeColor="text1"/>
                <w:sz w:val="24"/>
                <w:szCs w:val="24"/>
                <w14:textFill>
                  <w14:solidFill>
                    <w14:schemeClr w14:val="tx1"/>
                  </w14:solidFill>
                </w14:textFill>
              </w:rPr>
              <w:t>；α为平均吸声系数；</w:t>
            </w:r>
          </w:p>
          <w:p w14:paraId="6863C533">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r ——声源到靠近围护结构某点处的距离，m。</w:t>
            </w:r>
          </w:p>
          <w:p w14:paraId="7E1DC23B">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③然后按式（B.3）计算出所有室内声源在围护结构处产生的i倍频带叠加声压级：</w:t>
            </w:r>
          </w:p>
          <w:p w14:paraId="43BEB1C8">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57955" cy="560705"/>
                  <wp:effectExtent l="0" t="0" r="3810" b="63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0"/>
                          <a:stretch>
                            <a:fillRect/>
                          </a:stretch>
                        </pic:blipFill>
                        <pic:spPr>
                          <a:xfrm>
                            <a:off x="0" y="0"/>
                            <a:ext cx="3957955" cy="560705"/>
                          </a:xfrm>
                          <a:prstGeom prst="rect">
                            <a:avLst/>
                          </a:prstGeom>
                          <a:noFill/>
                          <a:ln>
                            <a:noFill/>
                          </a:ln>
                        </pic:spPr>
                      </pic:pic>
                    </a:graphicData>
                  </a:graphic>
                </wp:inline>
              </w:drawing>
            </w:r>
          </w:p>
          <w:p w14:paraId="3C0AB7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——靠近围护结构处室内N个声源i倍频带的叠加声压级，dB</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3710B597">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——室内j声源i倍频带的声压级，dB；</w:t>
            </w:r>
          </w:p>
          <w:p w14:paraId="390538A3">
            <w:pPr>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——室内</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声源总数。</w:t>
            </w:r>
          </w:p>
          <w:p w14:paraId="6C19226F">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④在室内近似为扩散声场时，按式（B.4）计算出靠近室外围护结构处的声压级：</w:t>
            </w:r>
          </w:p>
          <w:p w14:paraId="3439726E">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4064000" cy="332740"/>
                  <wp:effectExtent l="0" t="0" r="5715" b="190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21"/>
                          <a:stretch>
                            <a:fillRect/>
                          </a:stretch>
                        </pic:blipFill>
                        <pic:spPr>
                          <a:xfrm>
                            <a:off x="0" y="0"/>
                            <a:ext cx="4064000" cy="332740"/>
                          </a:xfrm>
                          <a:prstGeom prst="rect">
                            <a:avLst/>
                          </a:prstGeom>
                          <a:noFill/>
                          <a:ln>
                            <a:noFill/>
                          </a:ln>
                        </pic:spPr>
                      </pic:pic>
                    </a:graphicData>
                  </a:graphic>
                </wp:inline>
              </w:drawing>
            </w:r>
          </w:p>
          <w:p w14:paraId="62D757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p2i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——靠近围护结构处室外N个声源i倍频带的叠加声压级，dB</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610C059A">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——靠近围护结构处室内N个声源i倍频带的叠加声压级</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，dB；</w:t>
            </w:r>
          </w:p>
          <w:p w14:paraId="2F8D4297">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——围护结构i倍频带的隔声量，dB；</w:t>
            </w:r>
          </w:p>
          <w:p w14:paraId="779DC5C4">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⑤然后按式（B.5）将室外声源的声压级和透过面积换算成等效的室外声源，计算出中心位置位于透声面积（S）处的等效声源的倍频带声功率级。</w:t>
            </w:r>
          </w:p>
          <w:p w14:paraId="5E7D5C83">
            <w:pPr>
              <w:pStyle w:val="23"/>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23665" cy="304165"/>
                  <wp:effectExtent l="0" t="0" r="5715" b="889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2"/>
                          <a:stretch>
                            <a:fillRect/>
                          </a:stretch>
                        </pic:blipFill>
                        <pic:spPr>
                          <a:xfrm>
                            <a:off x="0" y="0"/>
                            <a:ext cx="3923665" cy="304165"/>
                          </a:xfrm>
                          <a:prstGeom prst="rect">
                            <a:avLst/>
                          </a:prstGeom>
                          <a:noFill/>
                          <a:ln>
                            <a:noFill/>
                          </a:ln>
                        </pic:spPr>
                      </pic:pic>
                    </a:graphicData>
                  </a:graphic>
                </wp:inline>
              </w:drawing>
            </w:r>
          </w:p>
          <w:p w14:paraId="4BB840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式中：</w:t>
            </w: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W</w:t>
            </w:r>
            <w:r>
              <w:rPr>
                <w:rFonts w:hint="default" w:ascii="Times New Roman" w:hAnsi="Times New Roman" w:eastAsia="宋体" w:cs="Times New Roman"/>
                <w:color w:val="000000" w:themeColor="text1"/>
                <w:sz w:val="24"/>
                <w:szCs w:val="24"/>
                <w14:textFill>
                  <w14:solidFill>
                    <w14:schemeClr w14:val="tx1"/>
                  </w14:solidFill>
                </w14:textFill>
              </w:rPr>
              <w:t>——中心位置位于透声面积（S）处的等效声源的倍频带声功率级，dB；</w:t>
            </w:r>
          </w:p>
          <w:p w14:paraId="5DCA4E34">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p2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（T）</w:t>
            </w:r>
            <w:r>
              <w:rPr>
                <w:rFonts w:hint="default" w:ascii="Times New Roman" w:hAnsi="Times New Roman" w:eastAsia="宋体" w:cs="Times New Roman"/>
                <w:color w:val="000000" w:themeColor="text1"/>
                <w:sz w:val="24"/>
                <w:szCs w:val="24"/>
                <w14:textFill>
                  <w14:solidFill>
                    <w14:schemeClr w14:val="tx1"/>
                  </w14:solidFill>
                </w14:textFill>
              </w:rPr>
              <w:t>——靠近围护结构处室外声源的声压级，dB；</w:t>
            </w:r>
          </w:p>
          <w:p w14:paraId="57965695">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S</w:t>
            </w:r>
            <w:r>
              <w:rPr>
                <w:rFonts w:hint="default" w:ascii="Times New Roman" w:hAnsi="Times New Roman" w:eastAsia="宋体" w:cs="Times New Roman"/>
                <w:color w:val="000000" w:themeColor="text1"/>
                <w:sz w:val="24"/>
                <w:szCs w:val="24"/>
                <w14:textFill>
                  <w14:solidFill>
                    <w14:schemeClr w14:val="tx1"/>
                  </w14:solidFill>
                </w14:textFill>
              </w:rPr>
              <w:t>——透声面积，m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50A094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然后按室外声源预测方法计算预测点处的 A 声级。</w:t>
            </w:r>
          </w:p>
          <w:p w14:paraId="06F46F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⑥工业企业噪声计算</w:t>
            </w:r>
          </w:p>
          <w:p w14:paraId="2B721E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设第i个室外声源在预测点产生的A声级为L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Ai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，在T时间内该声源工作时间为t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；第j个等效室外声源在预测点产生的A声级为L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 xml:space="preserve">Aj </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，在T时间内该声源工作时间为t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，则拟建工程声源对预测点产生的贡献值（L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eqg</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）为：</w:t>
            </w:r>
          </w:p>
          <w:p w14:paraId="066E85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4066540" cy="510540"/>
                  <wp:effectExtent l="0" t="0" r="3175" b="762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3"/>
                          <a:stretch>
                            <a:fillRect/>
                          </a:stretch>
                        </pic:blipFill>
                        <pic:spPr>
                          <a:xfrm>
                            <a:off x="0" y="0"/>
                            <a:ext cx="4066540" cy="510540"/>
                          </a:xfrm>
                          <a:prstGeom prst="rect">
                            <a:avLst/>
                          </a:prstGeom>
                          <a:noFill/>
                          <a:ln>
                            <a:noFill/>
                          </a:ln>
                        </pic:spPr>
                      </pic:pic>
                    </a:graphicData>
                  </a:graphic>
                </wp:inline>
              </w:drawing>
            </w:r>
          </w:p>
          <w:p w14:paraId="75AF7B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eqg</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——建设项目声源在预测点产生的噪声贡献值，dB；</w:t>
            </w:r>
          </w:p>
          <w:p w14:paraId="075040FC">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T——用于计算等效声级的时间，s；</w:t>
            </w:r>
          </w:p>
          <w:p w14:paraId="58BCFC99">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N——室外声源个数</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3941FE2E">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 xml:space="preserve">t </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——在T时间内i声源工作时间，s；</w:t>
            </w:r>
          </w:p>
          <w:p w14:paraId="32175B9F">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M——等效室外声源个数</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37961A52">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——在T时间内j声源工作时间，s。</w:t>
            </w:r>
          </w:p>
          <w:p w14:paraId="7A3BC96F">
            <w:pPr>
              <w:keepNext w:val="0"/>
              <w:keepLines w:val="0"/>
              <w:pageBreakBefore w:val="0"/>
              <w:widowControl w:val="0"/>
              <w:tabs>
                <w:tab w:val="left" w:pos="1219"/>
              </w:tabs>
              <w:kinsoku/>
              <w:wordWrap/>
              <w:overflowPunct/>
              <w:topLinePunct w:val="0"/>
              <w:autoSpaceDE w:val="0"/>
              <w:autoSpaceDN w:val="0"/>
              <w:bidi w:val="0"/>
              <w:adjustRightInd w:val="0"/>
              <w:snapToGrid w:val="0"/>
              <w:spacing w:line="360" w:lineRule="auto"/>
              <w:ind w:right="193" w:firstLine="436" w:firstLineChars="1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⑦预测结果</w:t>
            </w:r>
          </w:p>
          <w:p w14:paraId="28224E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根据噪声源衰减计算程序，</w:t>
            </w:r>
            <w:r>
              <w:rPr>
                <w:rFonts w:hint="eastAsia"/>
                <w:color w:val="000000" w:themeColor="text1"/>
                <w:sz w:val="24"/>
                <w:szCs w:val="24"/>
                <w14:textFill>
                  <w14:solidFill>
                    <w14:schemeClr w14:val="tx1"/>
                  </w14:solidFill>
                </w14:textFill>
              </w:rPr>
              <w:t>预测结果详见下表</w:t>
            </w:r>
            <w:r>
              <w:rPr>
                <w:rFonts w:hint="eastAsia"/>
                <w:color w:val="000000" w:themeColor="text1"/>
                <w:sz w:val="24"/>
                <w:szCs w:val="24"/>
                <w:lang w:eastAsia="zh-CN"/>
                <w14:textFill>
                  <w14:solidFill>
                    <w14:schemeClr w14:val="tx1"/>
                  </w14:solidFill>
                </w14:textFill>
              </w:rPr>
              <w:t>。</w:t>
            </w:r>
          </w:p>
          <w:p w14:paraId="37481D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napToGrid/>
                <w:color w:val="000000" w:themeColor="text1"/>
                <w:spacing w:val="0"/>
                <w:kern w:val="0"/>
                <w:position w:val="0"/>
                <w:sz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表</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7 </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b/>
                <w:bCs/>
                <w:snapToGrid/>
                <w:color w:val="000000" w:themeColor="text1"/>
                <w:spacing w:val="0"/>
                <w:kern w:val="0"/>
                <w:position w:val="0"/>
                <w:sz w:val="24"/>
                <w14:textFill>
                  <w14:solidFill>
                    <w14:schemeClr w14:val="tx1"/>
                  </w14:solidFill>
                </w14:textFill>
              </w:rPr>
              <w:t>厂界噪声预测结果一览表</w:t>
            </w:r>
            <w:r>
              <w:rPr>
                <w:rFonts w:hint="eastAsia"/>
                <w:b/>
                <w:bCs/>
                <w:snapToGrid/>
                <w:color w:val="000000" w:themeColor="text1"/>
                <w:spacing w:val="0"/>
                <w:kern w:val="0"/>
                <w:position w:val="0"/>
                <w:sz w:val="24"/>
                <w:lang w:val="en-US" w:eastAsia="zh-CN"/>
                <w14:textFill>
                  <w14:solidFill>
                    <w14:schemeClr w14:val="tx1"/>
                  </w14:solidFill>
                </w14:textFill>
              </w:rPr>
              <w:t xml:space="preserve"> 单位：dB（A）</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22"/>
              <w:gridCol w:w="823"/>
              <w:gridCol w:w="819"/>
              <w:gridCol w:w="826"/>
              <w:gridCol w:w="921"/>
              <w:gridCol w:w="811"/>
              <w:gridCol w:w="738"/>
              <w:gridCol w:w="752"/>
              <w:gridCol w:w="886"/>
            </w:tblGrid>
            <w:tr w14:paraId="0EF6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restart"/>
                  <w:noWrap w:val="0"/>
                  <w:vAlign w:val="center"/>
                </w:tcPr>
                <w:p w14:paraId="2E82F9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w:t>
                  </w:r>
                </w:p>
              </w:tc>
              <w:tc>
                <w:tcPr>
                  <w:tcW w:w="1645" w:type="dxa"/>
                  <w:gridSpan w:val="2"/>
                  <w:noWrap w:val="0"/>
                  <w:vAlign w:val="center"/>
                </w:tcPr>
                <w:p w14:paraId="7C7A99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背景值</w:t>
                  </w:r>
                </w:p>
              </w:tc>
              <w:tc>
                <w:tcPr>
                  <w:tcW w:w="1645" w:type="dxa"/>
                  <w:gridSpan w:val="2"/>
                  <w:noWrap w:val="0"/>
                  <w:vAlign w:val="center"/>
                </w:tcPr>
                <w:p w14:paraId="566A05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贡献值</w:t>
                  </w:r>
                </w:p>
              </w:tc>
              <w:tc>
                <w:tcPr>
                  <w:tcW w:w="1732" w:type="dxa"/>
                  <w:gridSpan w:val="2"/>
                  <w:noWrap w:val="0"/>
                  <w:vAlign w:val="center"/>
                </w:tcPr>
                <w:p w14:paraId="30ED7F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预测值</w:t>
                  </w:r>
                </w:p>
              </w:tc>
              <w:tc>
                <w:tcPr>
                  <w:tcW w:w="1490" w:type="dxa"/>
                  <w:gridSpan w:val="2"/>
                  <w:noWrap w:val="0"/>
                  <w:vAlign w:val="center"/>
                </w:tcPr>
                <w:p w14:paraId="57F2E0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评价标准</w:t>
                  </w:r>
                </w:p>
              </w:tc>
              <w:tc>
                <w:tcPr>
                  <w:tcW w:w="886" w:type="dxa"/>
                  <w:vMerge w:val="restart"/>
                  <w:noWrap w:val="0"/>
                  <w:vAlign w:val="center"/>
                </w:tcPr>
                <w:p w14:paraId="391E4A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达标情况</w:t>
                  </w:r>
                </w:p>
              </w:tc>
            </w:tr>
            <w:tr w14:paraId="0A8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vMerge w:val="continue"/>
                  <w:noWrap w:val="0"/>
                  <w:vAlign w:val="center"/>
                </w:tcPr>
                <w:p w14:paraId="26501C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p>
              </w:tc>
              <w:tc>
                <w:tcPr>
                  <w:tcW w:w="822" w:type="dxa"/>
                  <w:noWrap w:val="0"/>
                  <w:vAlign w:val="center"/>
                </w:tcPr>
                <w:p w14:paraId="067845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823" w:type="dxa"/>
                  <w:noWrap w:val="0"/>
                  <w:vAlign w:val="center"/>
                </w:tcPr>
                <w:p w14:paraId="2A2CB4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819" w:type="dxa"/>
                  <w:noWrap w:val="0"/>
                  <w:vAlign w:val="center"/>
                </w:tcPr>
                <w:p w14:paraId="308794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826" w:type="dxa"/>
                  <w:noWrap w:val="0"/>
                  <w:vAlign w:val="center"/>
                </w:tcPr>
                <w:p w14:paraId="7D7B28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921" w:type="dxa"/>
                  <w:noWrap w:val="0"/>
                  <w:vAlign w:val="center"/>
                </w:tcPr>
                <w:p w14:paraId="62BBCA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811" w:type="dxa"/>
                  <w:noWrap w:val="0"/>
                  <w:vAlign w:val="center"/>
                </w:tcPr>
                <w:p w14:paraId="33AD74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738" w:type="dxa"/>
                  <w:noWrap w:val="0"/>
                  <w:vAlign w:val="center"/>
                </w:tcPr>
                <w:p w14:paraId="49150A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752" w:type="dxa"/>
                  <w:noWrap w:val="0"/>
                  <w:vAlign w:val="center"/>
                </w:tcPr>
                <w:p w14:paraId="53782F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886" w:type="dxa"/>
                  <w:vMerge w:val="continue"/>
                  <w:noWrap w:val="0"/>
                  <w:vAlign w:val="center"/>
                </w:tcPr>
                <w:p w14:paraId="493B20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p>
              </w:tc>
            </w:tr>
            <w:tr w14:paraId="46FA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177201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厂界东侧</w:t>
                  </w:r>
                </w:p>
              </w:tc>
              <w:tc>
                <w:tcPr>
                  <w:tcW w:w="822" w:type="dxa"/>
                  <w:shd w:val="clear" w:color="auto" w:fill="auto"/>
                  <w:noWrap w:val="0"/>
                  <w:vAlign w:val="center"/>
                </w:tcPr>
                <w:p w14:paraId="77D96A84">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55</w:t>
                  </w:r>
                </w:p>
              </w:tc>
              <w:tc>
                <w:tcPr>
                  <w:tcW w:w="823" w:type="dxa"/>
                  <w:noWrap w:val="0"/>
                  <w:vAlign w:val="center"/>
                </w:tcPr>
                <w:p w14:paraId="20996E9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2386D0A7">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15</w:t>
                  </w:r>
                </w:p>
              </w:tc>
              <w:tc>
                <w:tcPr>
                  <w:tcW w:w="826" w:type="dxa"/>
                  <w:shd w:val="clear" w:color="auto" w:fill="auto"/>
                  <w:noWrap w:val="0"/>
                  <w:vAlign w:val="center"/>
                </w:tcPr>
                <w:p w14:paraId="63E3F9C1">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1360A84A">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56</w:t>
                  </w:r>
                </w:p>
              </w:tc>
              <w:tc>
                <w:tcPr>
                  <w:tcW w:w="811" w:type="dxa"/>
                  <w:shd w:val="clear" w:color="auto" w:fill="auto"/>
                  <w:noWrap w:val="0"/>
                  <w:vAlign w:val="center"/>
                </w:tcPr>
                <w:p w14:paraId="10CE537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7C01C28D">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281F1D23">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382FAD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0EAD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19A252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厂界南侧</w:t>
                  </w:r>
                </w:p>
              </w:tc>
              <w:tc>
                <w:tcPr>
                  <w:tcW w:w="822" w:type="dxa"/>
                  <w:shd w:val="clear" w:color="auto" w:fill="auto"/>
                  <w:noWrap w:val="0"/>
                  <w:vAlign w:val="center"/>
                </w:tcPr>
                <w:p w14:paraId="7A422F78">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58</w:t>
                  </w:r>
                </w:p>
              </w:tc>
              <w:tc>
                <w:tcPr>
                  <w:tcW w:w="823" w:type="dxa"/>
                  <w:noWrap w:val="0"/>
                  <w:vAlign w:val="center"/>
                </w:tcPr>
                <w:p w14:paraId="2A8FF06B">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0EF1F509">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48</w:t>
                  </w:r>
                </w:p>
              </w:tc>
              <w:tc>
                <w:tcPr>
                  <w:tcW w:w="826" w:type="dxa"/>
                  <w:shd w:val="clear" w:color="auto" w:fill="auto"/>
                  <w:noWrap w:val="0"/>
                  <w:vAlign w:val="center"/>
                </w:tcPr>
                <w:p w14:paraId="49ACC0E1">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0771F909">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59</w:t>
                  </w:r>
                </w:p>
              </w:tc>
              <w:tc>
                <w:tcPr>
                  <w:tcW w:w="811" w:type="dxa"/>
                  <w:shd w:val="clear" w:color="auto" w:fill="auto"/>
                  <w:noWrap w:val="0"/>
                  <w:vAlign w:val="center"/>
                </w:tcPr>
                <w:p w14:paraId="26879BFA">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3AC6D3C9">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208478A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1F84BE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62D7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67DF92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厂界西侧</w:t>
                  </w:r>
                </w:p>
              </w:tc>
              <w:tc>
                <w:tcPr>
                  <w:tcW w:w="822" w:type="dxa"/>
                  <w:shd w:val="clear" w:color="auto" w:fill="auto"/>
                  <w:noWrap w:val="0"/>
                  <w:vAlign w:val="center"/>
                </w:tcPr>
                <w:p w14:paraId="032E30D4">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61</w:t>
                  </w:r>
                </w:p>
              </w:tc>
              <w:tc>
                <w:tcPr>
                  <w:tcW w:w="823" w:type="dxa"/>
                  <w:noWrap w:val="0"/>
                  <w:vAlign w:val="center"/>
                </w:tcPr>
                <w:p w14:paraId="0882C4F3">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700E2809">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30</w:t>
                  </w:r>
                </w:p>
              </w:tc>
              <w:tc>
                <w:tcPr>
                  <w:tcW w:w="826" w:type="dxa"/>
                  <w:shd w:val="clear" w:color="auto" w:fill="auto"/>
                  <w:noWrap w:val="0"/>
                  <w:vAlign w:val="center"/>
                </w:tcPr>
                <w:p w14:paraId="759FCAB0">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21507CCA">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62</w:t>
                  </w:r>
                </w:p>
              </w:tc>
              <w:tc>
                <w:tcPr>
                  <w:tcW w:w="811" w:type="dxa"/>
                  <w:shd w:val="clear" w:color="auto" w:fill="auto"/>
                  <w:noWrap w:val="0"/>
                  <w:vAlign w:val="center"/>
                </w:tcPr>
                <w:p w14:paraId="501630E0">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6ED010F5">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35E06149">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1403E2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3FB3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dxa"/>
                  <w:noWrap w:val="0"/>
                  <w:vAlign w:val="center"/>
                </w:tcPr>
                <w:p w14:paraId="5B568F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厂界北侧</w:t>
                  </w:r>
                </w:p>
              </w:tc>
              <w:tc>
                <w:tcPr>
                  <w:tcW w:w="822" w:type="dxa"/>
                  <w:shd w:val="clear" w:color="auto" w:fill="auto"/>
                  <w:noWrap w:val="0"/>
                  <w:vAlign w:val="center"/>
                </w:tcPr>
                <w:p w14:paraId="436A046D">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53</w:t>
                  </w:r>
                </w:p>
              </w:tc>
              <w:tc>
                <w:tcPr>
                  <w:tcW w:w="823" w:type="dxa"/>
                  <w:noWrap w:val="0"/>
                  <w:vAlign w:val="center"/>
                </w:tcPr>
                <w:p w14:paraId="143BF733">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19" w:type="dxa"/>
                  <w:noWrap w:val="0"/>
                  <w:vAlign w:val="center"/>
                </w:tcPr>
                <w:p w14:paraId="63ADE920">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lang w:val="en-US" w:eastAsia="zh-CN" w:bidi="ar-SA"/>
                      <w14:textFill>
                        <w14:solidFill>
                          <w14:schemeClr w14:val="tx1"/>
                        </w14:solidFill>
                      </w14:textFill>
                    </w:rPr>
                    <w:t>15</w:t>
                  </w:r>
                </w:p>
              </w:tc>
              <w:tc>
                <w:tcPr>
                  <w:tcW w:w="826" w:type="dxa"/>
                  <w:shd w:val="clear" w:color="auto" w:fill="auto"/>
                  <w:noWrap w:val="0"/>
                  <w:vAlign w:val="center"/>
                </w:tcPr>
                <w:p w14:paraId="60D2B6BB">
                  <w:pPr>
                    <w:widowControl/>
                    <w:spacing w:line="240" w:lineRule="auto"/>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921" w:type="dxa"/>
                  <w:noWrap w:val="0"/>
                  <w:vAlign w:val="center"/>
                </w:tcPr>
                <w:p w14:paraId="18715F2B">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54</w:t>
                  </w:r>
                </w:p>
              </w:tc>
              <w:tc>
                <w:tcPr>
                  <w:tcW w:w="811" w:type="dxa"/>
                  <w:shd w:val="clear" w:color="auto" w:fill="auto"/>
                  <w:noWrap w:val="0"/>
                  <w:vAlign w:val="center"/>
                </w:tcPr>
                <w:p w14:paraId="5CE5F221">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738" w:type="dxa"/>
                  <w:noWrap w:val="0"/>
                  <w:vAlign w:val="center"/>
                </w:tcPr>
                <w:p w14:paraId="4586CB54">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65</w:t>
                  </w:r>
                </w:p>
              </w:tc>
              <w:tc>
                <w:tcPr>
                  <w:tcW w:w="752" w:type="dxa"/>
                  <w:shd w:val="clear" w:color="auto" w:fill="auto"/>
                  <w:noWrap w:val="0"/>
                  <w:vAlign w:val="center"/>
                </w:tcPr>
                <w:p w14:paraId="4C5C3F5E">
                  <w:pPr>
                    <w:widowControl/>
                    <w:spacing w:line="240" w:lineRule="auto"/>
                    <w:jc w:val="center"/>
                    <w:textAlignment w:val="center"/>
                    <w:rPr>
                      <w:rFonts w:hint="default" w:ascii="Times New Roman" w:hAnsi="Times New Roman" w:cs="Times New Roman" w:eastAsiaTheme="min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inorEastAsia"/>
                      <w:b w:val="0"/>
                      <w:bCs w:val="0"/>
                      <w:color w:val="000000" w:themeColor="text1"/>
                      <w:kern w:val="2"/>
                      <w:sz w:val="21"/>
                      <w:szCs w:val="21"/>
                      <w:lang w:val="en-US" w:eastAsia="zh-CN" w:bidi="ar-SA"/>
                      <w14:textFill>
                        <w14:solidFill>
                          <w14:schemeClr w14:val="tx1"/>
                        </w14:solidFill>
                      </w14:textFill>
                    </w:rPr>
                    <w:t>/</w:t>
                  </w:r>
                </w:p>
              </w:tc>
              <w:tc>
                <w:tcPr>
                  <w:tcW w:w="886" w:type="dxa"/>
                  <w:noWrap w:val="0"/>
                  <w:vAlign w:val="center"/>
                </w:tcPr>
                <w:p w14:paraId="61CCC1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w:t>
                  </w:r>
                </w:p>
              </w:tc>
            </w:tr>
            <w:tr w14:paraId="7B9C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12" w:type="dxa"/>
                  <w:gridSpan w:val="10"/>
                  <w:noWrap w:val="0"/>
                  <w:vAlign w:val="center"/>
                </w:tcPr>
                <w:p w14:paraId="3B05BE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eastAsia"/>
                      <w:color w:val="000000" w:themeColor="text1"/>
                      <w:lang w:eastAsia="zh-CN"/>
                      <w14:textFill>
                        <w14:solidFill>
                          <w14:schemeClr w14:val="tx1"/>
                        </w14:solidFill>
                      </w14:textFill>
                    </w:rPr>
                    <w:t>注：背景值取</w:t>
                  </w:r>
                  <w:r>
                    <w:rPr>
                      <w:rFonts w:hint="eastAsia" w:cs="Times New Roman"/>
                      <w:b w:val="0"/>
                      <w:bCs w:val="0"/>
                      <w:color w:val="000000" w:themeColor="text1"/>
                      <w:sz w:val="21"/>
                      <w:szCs w:val="21"/>
                      <w:lang w:val="en-US" w:eastAsia="zh-CN" w:bidi="ar"/>
                      <w14:textFill>
                        <w14:solidFill>
                          <w14:schemeClr w14:val="tx1"/>
                        </w14:solidFill>
                      </w14:textFill>
                    </w:rPr>
                    <w:t>2025年12月19日</w:t>
                  </w:r>
                  <w:r>
                    <w:rPr>
                      <w:rFonts w:hint="eastAsia"/>
                      <w:color w:val="000000" w:themeColor="text1"/>
                      <w:lang w:val="en-US" w:eastAsia="zh-CN"/>
                      <w14:textFill>
                        <w14:solidFill>
                          <w14:schemeClr w14:val="tx1"/>
                        </w14:solidFill>
                      </w14:textFill>
                    </w:rPr>
                    <w:t>界监测值</w:t>
                  </w:r>
                </w:p>
              </w:tc>
            </w:tr>
          </w:tbl>
          <w:p w14:paraId="5A07AD69">
            <w:pPr>
              <w:keepNext w:val="0"/>
              <w:keepLines w:val="0"/>
              <w:pageBreakBefore w:val="0"/>
              <w:widowControl w:val="0"/>
              <w:tabs>
                <w:tab w:val="left" w:pos="1380"/>
                <w:tab w:val="left" w:pos="1860"/>
                <w:tab w:val="center" w:pos="4535"/>
                <w:tab w:val="left" w:pos="5985"/>
                <w:tab w:val="left" w:pos="7740"/>
              </w:tabs>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14:textFill>
                  <w14:solidFill>
                    <w14:schemeClr w14:val="tx1"/>
                  </w14:solidFill>
                </w14:textFill>
              </w:rPr>
              <w:t>由上表可见，东侧、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南</w:t>
            </w:r>
            <w:r>
              <w:rPr>
                <w:rFonts w:hint="default" w:ascii="Times New Roman" w:hAnsi="Times New Roman" w:cs="Times New Roman"/>
                <w:snapToGrid/>
                <w:color w:val="000000" w:themeColor="text1"/>
                <w:spacing w:val="0"/>
                <w:kern w:val="0"/>
                <w:position w:val="0"/>
                <w:sz w:val="24"/>
                <w14:textFill>
                  <w14:solidFill>
                    <w14:schemeClr w14:val="tx1"/>
                  </w14:solidFill>
                </w14:textFill>
              </w:rPr>
              <w:t>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、西侧、北侧</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厂界噪声排放</w:t>
            </w:r>
            <w:r>
              <w:rPr>
                <w:rFonts w:hint="eastAsia" w:cs="Times New Roman"/>
                <w:snapToGrid/>
                <w:color w:val="000000" w:themeColor="text1"/>
                <w:spacing w:val="0"/>
                <w:kern w:val="0"/>
                <w:position w:val="0"/>
                <w:sz w:val="24"/>
                <w:lang w:eastAsia="zh-CN"/>
                <w14:textFill>
                  <w14:solidFill>
                    <w14:schemeClr w14:val="tx1"/>
                  </w14:solidFill>
                </w14:textFill>
              </w:rPr>
              <w:t>满足</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《工业企业厂界环境噪声排放标准》（GB12348-2008）中</w:t>
            </w:r>
            <w:r>
              <w:rPr>
                <w:rFonts w:hint="eastAsia" w:cs="Times New Roman"/>
                <w:snapToGrid/>
                <w:color w:val="000000" w:themeColor="text1"/>
                <w:spacing w:val="0"/>
                <w:kern w:val="0"/>
                <w:position w:val="0"/>
                <w:sz w:val="24"/>
                <w:lang w:val="en-US" w:eastAsia="zh-CN"/>
                <w14:textFill>
                  <w14:solidFill>
                    <w14:schemeClr w14:val="tx1"/>
                  </w14:solidFill>
                </w14:textFill>
              </w:rPr>
              <w:t>3</w:t>
            </w:r>
            <w:r>
              <w:rPr>
                <w:rFonts w:hint="default" w:ascii="Times New Roman" w:hAnsi="Times New Roman" w:cs="Times New Roman"/>
                <w:snapToGrid/>
                <w:color w:val="000000" w:themeColor="text1"/>
                <w:spacing w:val="0"/>
                <w:kern w:val="0"/>
                <w:position w:val="0"/>
                <w:sz w:val="24"/>
                <w14:textFill>
                  <w14:solidFill>
                    <w14:schemeClr w14:val="tx1"/>
                  </w14:solidFill>
                </w14:textFill>
              </w:rPr>
              <w:t>类标准要求</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（昼间：</w:t>
            </w:r>
            <w:r>
              <w:rPr>
                <w:rFonts w:hint="eastAsia" w:cs="Times New Roman"/>
                <w:snapToGrid/>
                <w:color w:val="000000" w:themeColor="text1"/>
                <w:spacing w:val="0"/>
                <w:kern w:val="0"/>
                <w:position w:val="0"/>
                <w:sz w:val="24"/>
                <w:lang w:val="en-US" w:eastAsia="zh-CN"/>
                <w14:textFill>
                  <w14:solidFill>
                    <w14:schemeClr w14:val="tx1"/>
                  </w14:solidFill>
                </w14:textFill>
              </w:rPr>
              <w:t>65</w:t>
            </w:r>
            <w:r>
              <w:rPr>
                <w:rFonts w:hint="default" w:ascii="Times New Roman" w:hAnsi="Times New Roman" w:cs="Times New Roman"/>
                <w:snapToGrid/>
                <w:color w:val="000000" w:themeColor="text1"/>
                <w:spacing w:val="0"/>
                <w:kern w:val="0"/>
                <w:position w:val="0"/>
                <w:sz w:val="24"/>
                <w:lang w:val="en-US" w:eastAsia="zh-CN"/>
                <w14:textFill>
                  <w14:solidFill>
                    <w14:schemeClr w14:val="tx1"/>
                  </w14:solidFill>
                </w14:textFill>
              </w:rPr>
              <w:t>dB（A）；夜间</w:t>
            </w:r>
            <w:r>
              <w:rPr>
                <w:rFonts w:hint="eastAsia" w:cs="Times New Roman"/>
                <w:snapToGrid/>
                <w:color w:val="000000" w:themeColor="text1"/>
                <w:spacing w:val="0"/>
                <w:kern w:val="0"/>
                <w:position w:val="0"/>
                <w:sz w:val="24"/>
                <w:lang w:val="en-US" w:eastAsia="zh-CN"/>
                <w14:textFill>
                  <w14:solidFill>
                    <w14:schemeClr w14:val="tx1"/>
                  </w14:solidFill>
                </w14:textFill>
              </w:rPr>
              <w:t>不生产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w:t>
            </w:r>
            <w:r>
              <w:rPr>
                <w:rFonts w:hint="eastAsia" w:cs="Times New Roman"/>
                <w:snapToGrid/>
                <w:color w:val="000000" w:themeColor="text1"/>
                <w:spacing w:val="0"/>
                <w:kern w:val="0"/>
                <w:position w:val="0"/>
                <w:sz w:val="24"/>
                <w:lang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对外环境的影响不大。</w:t>
            </w:r>
            <w:r>
              <w:rPr>
                <w:rFonts w:hint="default" w:ascii="Times New Roman" w:hAnsi="Times New Roman" w:eastAsia="宋体"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因此，本项目噪声源噪声值经厂房隔声和距离减震降噪措施后，可保证厂界噪声达标排放，</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对</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区域</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环境的影响</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较小</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w:t>
            </w:r>
          </w:p>
          <w:p w14:paraId="48CDCA3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监测计划</w:t>
            </w:r>
          </w:p>
          <w:p w14:paraId="7683036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根据《排污许可证申请与核发技术规范</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 xml:space="preserve"> </w:t>
            </w: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工业噪声》（HJ 1301-2023），制定本项目噪声监测计划如下：</w:t>
            </w:r>
          </w:p>
          <w:p w14:paraId="511022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表4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.8 </w:t>
            </w: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 xml:space="preserve"> 噪声监测一览表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00"/>
              <w:gridCol w:w="2540"/>
              <w:gridCol w:w="2739"/>
            </w:tblGrid>
            <w:tr w14:paraId="64C6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noWrap w:val="0"/>
                  <w:vAlign w:val="center"/>
                </w:tcPr>
                <w:p w14:paraId="2A5AAB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类别</w:t>
                  </w:r>
                </w:p>
              </w:tc>
              <w:tc>
                <w:tcPr>
                  <w:tcW w:w="913" w:type="pct"/>
                  <w:noWrap w:val="0"/>
                  <w:vAlign w:val="center"/>
                </w:tcPr>
                <w:p w14:paraId="3E9C9A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监测点位</w:t>
                  </w:r>
                </w:p>
              </w:tc>
              <w:tc>
                <w:tcPr>
                  <w:tcW w:w="1546" w:type="pct"/>
                  <w:noWrap w:val="0"/>
                  <w:vAlign w:val="center"/>
                </w:tcPr>
                <w:p w14:paraId="4C3E9C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监测项目</w:t>
                  </w:r>
                </w:p>
              </w:tc>
              <w:tc>
                <w:tcPr>
                  <w:tcW w:w="1667" w:type="pct"/>
                  <w:noWrap w:val="0"/>
                  <w:vAlign w:val="center"/>
                </w:tcPr>
                <w:p w14:paraId="5594AD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监测频率</w:t>
                  </w:r>
                </w:p>
              </w:tc>
            </w:tr>
            <w:tr w14:paraId="6319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noWrap w:val="0"/>
                  <w:vAlign w:val="center"/>
                </w:tcPr>
                <w:p w14:paraId="45C1A2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厂界噪声</w:t>
                  </w:r>
                </w:p>
              </w:tc>
              <w:tc>
                <w:tcPr>
                  <w:tcW w:w="913" w:type="pct"/>
                  <w:noWrap w:val="0"/>
                  <w:vAlign w:val="center"/>
                </w:tcPr>
                <w:p w14:paraId="15F50E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厂界</w:t>
                  </w:r>
                </w:p>
              </w:tc>
              <w:tc>
                <w:tcPr>
                  <w:tcW w:w="1546" w:type="pct"/>
                  <w:noWrap w:val="0"/>
                  <w:vAlign w:val="center"/>
                </w:tcPr>
                <w:p w14:paraId="39AA57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等效连续A声级</w:t>
                  </w:r>
                </w:p>
              </w:tc>
              <w:tc>
                <w:tcPr>
                  <w:tcW w:w="1667" w:type="pct"/>
                  <w:noWrap w:val="0"/>
                  <w:vAlign w:val="center"/>
                </w:tcPr>
                <w:p w14:paraId="2F70EA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1次/季度</w:t>
                  </w:r>
                </w:p>
              </w:tc>
            </w:tr>
          </w:tbl>
          <w:p w14:paraId="24DFE5D2">
            <w:pPr>
              <w:pStyle w:val="37"/>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left="0" w:leftChars="0" w:firstLine="0" w:firstLineChars="0"/>
              <w:jc w:val="both"/>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固</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体</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物</w:t>
            </w:r>
          </w:p>
          <w:p w14:paraId="298D0A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项目固废主要包括生活垃圾、</w:t>
            </w:r>
            <w:r>
              <w:rPr>
                <w:rFonts w:hint="eastAsia" w:ascii="宋体" w:hAnsi="宋体" w:eastAsia="宋体" w:cs="宋体"/>
                <w:color w:val="000000" w:themeColor="text1"/>
                <w:sz w:val="24"/>
                <w:szCs w:val="24"/>
                <w:lang w:val="en-US" w:eastAsia="zh-CN"/>
                <w14:textFill>
                  <w14:solidFill>
                    <w14:schemeClr w14:val="tx1"/>
                  </w14:solidFill>
                </w14:textFill>
              </w:rPr>
              <w:t>废反渗透膜</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15996E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（1）生活垃圾</w:t>
            </w:r>
          </w:p>
          <w:p w14:paraId="1DFE2C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本项目劳动定员为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人，生活垃圾的产生量按以</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kg/人·d计，年工作</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330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天，则垃圾产生量为</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3.96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t/a，经垃圾桶收集后委托当地环卫部门清运。</w:t>
            </w:r>
          </w:p>
          <w:p w14:paraId="5F5502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废反渗透膜</w:t>
            </w:r>
          </w:p>
          <w:p w14:paraId="257BE2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锅炉运行产生的主要固体废物为制备软水产生的废反渗透膜。制备软水装置每半年更换一次废反渗透膜，每次更换量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0.025t/次（折合0.05t/a）</w:t>
            </w:r>
            <w:r>
              <w:rPr>
                <w:rFonts w:hint="eastAsia" w:ascii="宋体" w:hAnsi="宋体" w:eastAsia="宋体" w:cs="宋体"/>
                <w:color w:val="000000" w:themeColor="text1"/>
                <w:sz w:val="24"/>
                <w:szCs w:val="24"/>
                <w:lang w:val="en-US" w:eastAsia="zh-CN"/>
                <w14:textFill>
                  <w14:solidFill>
                    <w14:schemeClr w14:val="tx1"/>
                  </w14:solidFill>
                </w14:textFill>
              </w:rPr>
              <w:t>，不属于危险废物。软水制备装置依托原有，并新增一个备用。废反渗透膜产生量不发生变化。</w:t>
            </w:r>
          </w:p>
          <w:p w14:paraId="68B6D6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9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项目固体废物产</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排污</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情况</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一览</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75"/>
              <w:gridCol w:w="668"/>
              <w:gridCol w:w="518"/>
              <w:gridCol w:w="867"/>
              <w:gridCol w:w="520"/>
              <w:gridCol w:w="839"/>
              <w:gridCol w:w="890"/>
              <w:gridCol w:w="464"/>
              <w:gridCol w:w="890"/>
              <w:gridCol w:w="867"/>
              <w:gridCol w:w="586"/>
            </w:tblGrid>
            <w:tr w14:paraId="79F5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0" w:type="pct"/>
                  <w:noWrap w:val="0"/>
                  <w:vAlign w:val="center"/>
                </w:tcPr>
                <w:p w14:paraId="634A76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序号</w:t>
                  </w:r>
                </w:p>
              </w:tc>
              <w:tc>
                <w:tcPr>
                  <w:tcW w:w="410" w:type="pct"/>
                  <w:noWrap w:val="0"/>
                  <w:vAlign w:val="center"/>
                </w:tcPr>
                <w:p w14:paraId="616FA3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产生环节</w:t>
                  </w:r>
                </w:p>
              </w:tc>
              <w:tc>
                <w:tcPr>
                  <w:tcW w:w="406" w:type="pct"/>
                  <w:noWrap w:val="0"/>
                  <w:vAlign w:val="center"/>
                </w:tcPr>
                <w:p w14:paraId="526663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固废名称</w:t>
                  </w:r>
                </w:p>
              </w:tc>
              <w:tc>
                <w:tcPr>
                  <w:tcW w:w="315" w:type="pct"/>
                  <w:noWrap w:val="0"/>
                  <w:vAlign w:val="center"/>
                </w:tcPr>
                <w:p w14:paraId="7FBD58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属性</w:t>
                  </w:r>
                </w:p>
              </w:tc>
              <w:tc>
                <w:tcPr>
                  <w:tcW w:w="527" w:type="pct"/>
                  <w:noWrap w:val="0"/>
                  <w:vAlign w:val="center"/>
                </w:tcPr>
                <w:p w14:paraId="60EA3F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主要有毒有害物质名称</w:t>
                  </w:r>
                </w:p>
              </w:tc>
              <w:tc>
                <w:tcPr>
                  <w:tcW w:w="316" w:type="pct"/>
                  <w:noWrap w:val="0"/>
                  <w:vAlign w:val="center"/>
                </w:tcPr>
                <w:p w14:paraId="63D948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物理性状</w:t>
                  </w:r>
                </w:p>
              </w:tc>
              <w:tc>
                <w:tcPr>
                  <w:tcW w:w="510" w:type="pct"/>
                  <w:noWrap w:val="0"/>
                  <w:vAlign w:val="center"/>
                </w:tcPr>
                <w:p w14:paraId="56A1D9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环境危险特性</w:t>
                  </w:r>
                </w:p>
              </w:tc>
              <w:tc>
                <w:tcPr>
                  <w:tcW w:w="541" w:type="pct"/>
                  <w:noWrap w:val="0"/>
                  <w:vAlign w:val="center"/>
                </w:tcPr>
                <w:p w14:paraId="05A1C2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282" w:type="pct"/>
                  <w:noWrap w:val="0"/>
                  <w:vAlign w:val="center"/>
                </w:tcPr>
                <w:p w14:paraId="7D140C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贮存方式</w:t>
                  </w:r>
                </w:p>
              </w:tc>
              <w:tc>
                <w:tcPr>
                  <w:tcW w:w="541" w:type="pct"/>
                  <w:noWrap w:val="0"/>
                  <w:vAlign w:val="center"/>
                </w:tcPr>
                <w:p w14:paraId="04EAE1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利用处置方式和去向</w:t>
                  </w:r>
                </w:p>
              </w:tc>
              <w:tc>
                <w:tcPr>
                  <w:tcW w:w="527" w:type="pct"/>
                  <w:noWrap w:val="0"/>
                  <w:vAlign w:val="center"/>
                </w:tcPr>
                <w:p w14:paraId="21B127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利用量或处置量（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356" w:type="pct"/>
                  <w:noWrap w:val="0"/>
                  <w:vAlign w:val="center"/>
                </w:tcPr>
                <w:p w14:paraId="5DC98E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环境管理要求</w:t>
                  </w:r>
                </w:p>
              </w:tc>
            </w:tr>
            <w:tr w14:paraId="01B3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noWrap w:val="0"/>
                  <w:vAlign w:val="center"/>
                </w:tcPr>
                <w:p w14:paraId="7A0830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w:t>
                  </w:r>
                </w:p>
              </w:tc>
              <w:tc>
                <w:tcPr>
                  <w:tcW w:w="410" w:type="pct"/>
                  <w:shd w:val="clear" w:color="auto" w:fill="auto"/>
                  <w:noWrap w:val="0"/>
                  <w:vAlign w:val="center"/>
                </w:tcPr>
                <w:p w14:paraId="627D7FF4">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员工生活</w:t>
                  </w:r>
                </w:p>
              </w:tc>
              <w:tc>
                <w:tcPr>
                  <w:tcW w:w="406" w:type="pct"/>
                  <w:shd w:val="clear" w:color="auto" w:fill="auto"/>
                  <w:noWrap w:val="0"/>
                  <w:vAlign w:val="center"/>
                </w:tcPr>
                <w:p w14:paraId="1377BED0">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315" w:type="pct"/>
                  <w:vMerge w:val="restart"/>
                  <w:noWrap w:val="0"/>
                  <w:vAlign w:val="center"/>
                </w:tcPr>
                <w:p w14:paraId="1361EE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w:t>
                  </w:r>
                </w:p>
                <w:p w14:paraId="511D92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固废</w:t>
                  </w:r>
                </w:p>
              </w:tc>
              <w:tc>
                <w:tcPr>
                  <w:tcW w:w="527" w:type="pct"/>
                  <w:noWrap w:val="0"/>
                  <w:vAlign w:val="center"/>
                </w:tcPr>
                <w:p w14:paraId="48B559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7526FE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7C6253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541" w:type="pct"/>
                  <w:noWrap w:val="0"/>
                  <w:vAlign w:val="center"/>
                </w:tcPr>
                <w:p w14:paraId="04AAAC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3.96</w:t>
                  </w:r>
                </w:p>
              </w:tc>
              <w:tc>
                <w:tcPr>
                  <w:tcW w:w="282" w:type="pct"/>
                  <w:noWrap w:val="0"/>
                  <w:vAlign w:val="center"/>
                </w:tcPr>
                <w:p w14:paraId="52315D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41" w:type="pct"/>
                  <w:noWrap w:val="0"/>
                  <w:vAlign w:val="center"/>
                </w:tcPr>
                <w:p w14:paraId="09F06D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环卫部门</w:t>
                  </w:r>
                </w:p>
              </w:tc>
              <w:tc>
                <w:tcPr>
                  <w:tcW w:w="527" w:type="pct"/>
                  <w:shd w:val="clear" w:color="auto" w:fill="auto"/>
                  <w:noWrap w:val="0"/>
                  <w:vAlign w:val="center"/>
                </w:tcPr>
                <w:p w14:paraId="5015332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3.96</w:t>
                  </w:r>
                </w:p>
              </w:tc>
              <w:tc>
                <w:tcPr>
                  <w:tcW w:w="356" w:type="pct"/>
                  <w:noWrap w:val="0"/>
                  <w:vAlign w:val="center"/>
                </w:tcPr>
                <w:p w14:paraId="02BB2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垃圾桶</w:t>
                  </w:r>
                </w:p>
              </w:tc>
            </w:tr>
            <w:tr w14:paraId="2A29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 w:type="pct"/>
                  <w:noWrap w:val="0"/>
                  <w:vAlign w:val="center"/>
                </w:tcPr>
                <w:p w14:paraId="495C23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w:t>
                  </w:r>
                </w:p>
              </w:tc>
              <w:tc>
                <w:tcPr>
                  <w:tcW w:w="410" w:type="pct"/>
                  <w:shd w:val="clear" w:color="auto" w:fill="auto"/>
                  <w:noWrap w:val="0"/>
                  <w:vAlign w:val="center"/>
                </w:tcPr>
                <w:p w14:paraId="1BFB956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制备软水</w:t>
                  </w:r>
                </w:p>
              </w:tc>
              <w:tc>
                <w:tcPr>
                  <w:tcW w:w="406" w:type="pct"/>
                  <w:shd w:val="clear" w:color="auto" w:fill="auto"/>
                  <w:noWrap w:val="0"/>
                  <w:vAlign w:val="center"/>
                </w:tcPr>
                <w:p w14:paraId="75304BBA">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废反渗透膜</w:t>
                  </w:r>
                </w:p>
              </w:tc>
              <w:tc>
                <w:tcPr>
                  <w:tcW w:w="315" w:type="pct"/>
                  <w:vMerge w:val="continue"/>
                  <w:noWrap w:val="0"/>
                  <w:vAlign w:val="center"/>
                </w:tcPr>
                <w:p w14:paraId="174D4D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27" w:type="pct"/>
                  <w:noWrap w:val="0"/>
                  <w:vAlign w:val="center"/>
                </w:tcPr>
                <w:p w14:paraId="5116B2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2B6A4E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086A48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541" w:type="pct"/>
                  <w:noWrap w:val="0"/>
                  <w:vAlign w:val="center"/>
                </w:tcPr>
                <w:p w14:paraId="66AAB825">
                  <w:pPr>
                    <w:keepNext w:val="0"/>
                    <w:keepLines w:val="0"/>
                    <w:pageBreakBefore w:val="0"/>
                    <w:kinsoku/>
                    <w:wordWrap/>
                    <w:overflowPunct/>
                    <w:topLinePunct w:val="0"/>
                    <w:autoSpaceDE/>
                    <w:autoSpaceDN/>
                    <w:bidi w:val="0"/>
                    <w:spacing w:line="240" w:lineRule="auto"/>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0.05</w:t>
                  </w:r>
                </w:p>
              </w:tc>
              <w:tc>
                <w:tcPr>
                  <w:tcW w:w="282" w:type="pct"/>
                  <w:noWrap w:val="0"/>
                  <w:vAlign w:val="center"/>
                </w:tcPr>
                <w:p w14:paraId="46B96E5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41" w:type="pct"/>
                  <w:noWrap w:val="0"/>
                  <w:vAlign w:val="center"/>
                </w:tcPr>
                <w:p w14:paraId="508AB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统一收集后由</w:t>
                  </w:r>
                  <w:r>
                    <w:rPr>
                      <w:rFonts w:hint="eastAsia" w:cs="Times New Roman"/>
                      <w:snapToGrid/>
                      <w:color w:val="000000" w:themeColor="text1"/>
                      <w:spacing w:val="0"/>
                      <w:kern w:val="0"/>
                      <w:position w:val="0"/>
                      <w:sz w:val="21"/>
                      <w:szCs w:val="21"/>
                      <w:lang w:val="en-US" w:eastAsia="zh-CN"/>
                      <w14:textFill>
                        <w14:solidFill>
                          <w14:schemeClr w14:val="tx1"/>
                        </w14:solidFill>
                      </w14:textFill>
                    </w:rPr>
                    <w:t>厂家回收</w:t>
                  </w:r>
                </w:p>
              </w:tc>
              <w:tc>
                <w:tcPr>
                  <w:tcW w:w="527" w:type="pct"/>
                  <w:shd w:val="clear" w:color="auto" w:fill="auto"/>
                  <w:noWrap w:val="0"/>
                  <w:vAlign w:val="center"/>
                </w:tcPr>
                <w:p w14:paraId="24E77E8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0.05</w:t>
                  </w:r>
                </w:p>
              </w:tc>
              <w:tc>
                <w:tcPr>
                  <w:tcW w:w="356" w:type="pct"/>
                  <w:noWrap w:val="0"/>
                  <w:vAlign w:val="center"/>
                </w:tcPr>
                <w:p w14:paraId="0E7A94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bl>
          <w:p w14:paraId="183E060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 xml:space="preserve"> 项目</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一般工业固体废物</w:t>
            </w:r>
            <w:r>
              <w:rPr>
                <w:rFonts w:hint="default" w:ascii="Times New Roman" w:hAnsi="Times New Roman" w:eastAsia="宋体" w:cs="Times New Roman"/>
                <w:b/>
                <w:bCs/>
                <w:color w:val="000000" w:themeColor="text1"/>
                <w:sz w:val="24"/>
                <w:szCs w:val="24"/>
                <w14:textFill>
                  <w14:solidFill>
                    <w14:schemeClr w14:val="tx1"/>
                  </w14:solidFill>
                </w14:textFill>
              </w:rPr>
              <w:t>产</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生及处置统计一览</w:t>
            </w:r>
            <w:r>
              <w:rPr>
                <w:rFonts w:hint="default" w:ascii="Times New Roman" w:hAnsi="Times New Roman" w:eastAsia="宋体" w:cs="Times New Roman"/>
                <w:b/>
                <w:bCs/>
                <w:color w:val="000000" w:themeColor="text1"/>
                <w:sz w:val="24"/>
                <w:szCs w:val="24"/>
                <w14:textFill>
                  <w14:solidFill>
                    <w14:schemeClr w14:val="tx1"/>
                  </w14:solidFill>
                </w14:textFill>
              </w:rPr>
              <w:t>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092"/>
              <w:gridCol w:w="1002"/>
              <w:gridCol w:w="1006"/>
              <w:gridCol w:w="888"/>
              <w:gridCol w:w="731"/>
              <w:gridCol w:w="585"/>
              <w:gridCol w:w="709"/>
              <w:gridCol w:w="555"/>
              <w:gridCol w:w="1221"/>
            </w:tblGrid>
            <w:tr w14:paraId="285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14:paraId="51E2F1F3">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序号</w:t>
                  </w:r>
                </w:p>
              </w:tc>
              <w:tc>
                <w:tcPr>
                  <w:tcW w:w="665" w:type="pct"/>
                  <w:noWrap w:val="0"/>
                  <w:vAlign w:val="center"/>
                </w:tcPr>
                <w:p w14:paraId="3D9B62E0">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一般工业固体废物</w:t>
                  </w:r>
                </w:p>
              </w:tc>
              <w:tc>
                <w:tcPr>
                  <w:tcW w:w="610" w:type="pct"/>
                  <w:noWrap w:val="0"/>
                  <w:vAlign w:val="center"/>
                </w:tcPr>
                <w:p w14:paraId="5FF5C803">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废物种类</w:t>
                  </w:r>
                </w:p>
              </w:tc>
              <w:tc>
                <w:tcPr>
                  <w:tcW w:w="612" w:type="pct"/>
                  <w:noWrap w:val="0"/>
                  <w:vAlign w:val="center"/>
                </w:tcPr>
                <w:p w14:paraId="2101E871">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废物</w:t>
                  </w:r>
                </w:p>
                <w:p w14:paraId="4CC122F1">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代码</w:t>
                  </w:r>
                </w:p>
              </w:tc>
              <w:tc>
                <w:tcPr>
                  <w:tcW w:w="541" w:type="pct"/>
                  <w:noWrap w:val="0"/>
                  <w:vAlign w:val="center"/>
                </w:tcPr>
                <w:p w14:paraId="38B2E5D9">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产生量（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445" w:type="pct"/>
                  <w:noWrap w:val="0"/>
                  <w:vAlign w:val="center"/>
                </w:tcPr>
                <w:p w14:paraId="4880A241">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产生工序及装置</w:t>
                  </w:r>
                </w:p>
              </w:tc>
              <w:tc>
                <w:tcPr>
                  <w:tcW w:w="356" w:type="pct"/>
                  <w:noWrap w:val="0"/>
                  <w:vAlign w:val="center"/>
                </w:tcPr>
                <w:p w14:paraId="09C1A0D6">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形态</w:t>
                  </w:r>
                </w:p>
              </w:tc>
              <w:tc>
                <w:tcPr>
                  <w:tcW w:w="431" w:type="pct"/>
                  <w:noWrap w:val="0"/>
                  <w:vAlign w:val="center"/>
                </w:tcPr>
                <w:p w14:paraId="02115875">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主要成分</w:t>
                  </w:r>
                </w:p>
              </w:tc>
              <w:tc>
                <w:tcPr>
                  <w:tcW w:w="338" w:type="pct"/>
                  <w:noWrap w:val="0"/>
                  <w:vAlign w:val="center"/>
                </w:tcPr>
                <w:p w14:paraId="3CC9942E">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产废周期</w:t>
                  </w:r>
                </w:p>
              </w:tc>
              <w:tc>
                <w:tcPr>
                  <w:tcW w:w="743" w:type="pct"/>
                  <w:noWrap w:val="0"/>
                  <w:vAlign w:val="center"/>
                </w:tcPr>
                <w:p w14:paraId="0FA4CB34">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防治措施</w:t>
                  </w:r>
                </w:p>
              </w:tc>
            </w:tr>
            <w:tr w14:paraId="1FD1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14:paraId="0BA91F3D">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65" w:type="pct"/>
                  <w:shd w:val="clear" w:color="auto" w:fill="auto"/>
                  <w:noWrap w:val="0"/>
                  <w:vAlign w:val="center"/>
                </w:tcPr>
                <w:p w14:paraId="5C53F7B1">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610" w:type="pct"/>
                  <w:noWrap w:val="0"/>
                  <w:vAlign w:val="center"/>
                </w:tcPr>
                <w:p w14:paraId="3102186C">
                  <w:pPr>
                    <w:keepNext w:val="0"/>
                    <w:keepLines w:val="0"/>
                    <w:pageBreakBefore w:val="0"/>
                    <w:widowControl/>
                    <w:kinsoku/>
                    <w:wordWrap/>
                    <w:overflowPunct/>
                    <w:topLinePunct w:val="0"/>
                    <w:autoSpaceDE/>
                    <w:autoSpaceDN/>
                    <w:bidi w:val="0"/>
                    <w:spacing w:line="240" w:lineRule="auto"/>
                    <w:jc w:val="center"/>
                    <w:textAlignment w:val="auto"/>
                    <w:rPr>
                      <w:rFonts w:hint="eastAsia"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SW64其他垃圾</w:t>
                  </w:r>
                </w:p>
              </w:tc>
              <w:tc>
                <w:tcPr>
                  <w:tcW w:w="612" w:type="pct"/>
                  <w:noWrap w:val="0"/>
                  <w:vAlign w:val="center"/>
                </w:tcPr>
                <w:p w14:paraId="1D72676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900-099-S64</w:t>
                  </w:r>
                </w:p>
              </w:tc>
              <w:tc>
                <w:tcPr>
                  <w:tcW w:w="541" w:type="pct"/>
                  <w:shd w:val="clear" w:color="auto" w:fill="auto"/>
                  <w:noWrap w:val="0"/>
                  <w:vAlign w:val="center"/>
                </w:tcPr>
                <w:p w14:paraId="5B26850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3.96</w:t>
                  </w:r>
                </w:p>
              </w:tc>
              <w:tc>
                <w:tcPr>
                  <w:tcW w:w="445" w:type="pct"/>
                  <w:shd w:val="clear" w:color="auto" w:fill="auto"/>
                  <w:noWrap w:val="0"/>
                  <w:vAlign w:val="center"/>
                </w:tcPr>
                <w:p w14:paraId="663F33F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员工生活</w:t>
                  </w:r>
                </w:p>
              </w:tc>
              <w:tc>
                <w:tcPr>
                  <w:tcW w:w="356" w:type="pct"/>
                  <w:noWrap w:val="0"/>
                  <w:vAlign w:val="center"/>
                </w:tcPr>
                <w:p w14:paraId="5E51CA33">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31" w:type="pct"/>
                  <w:noWrap w:val="0"/>
                  <w:vAlign w:val="center"/>
                </w:tcPr>
                <w:p w14:paraId="181A7027">
                  <w:pPr>
                    <w:adjustRightInd w:val="0"/>
                    <w:snapToGrid w:val="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果皮、纸屑</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等</w:t>
                  </w:r>
                </w:p>
              </w:tc>
              <w:tc>
                <w:tcPr>
                  <w:tcW w:w="338" w:type="pct"/>
                  <w:noWrap w:val="0"/>
                  <w:vAlign w:val="center"/>
                </w:tcPr>
                <w:p w14:paraId="186704BD">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1天</w:t>
                  </w:r>
                </w:p>
              </w:tc>
              <w:tc>
                <w:tcPr>
                  <w:tcW w:w="743" w:type="pct"/>
                  <w:noWrap w:val="0"/>
                  <w:vAlign w:val="center"/>
                </w:tcPr>
                <w:p w14:paraId="5FB781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环卫部门</w:t>
                  </w:r>
                </w:p>
              </w:tc>
            </w:tr>
            <w:tr w14:paraId="160F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14:paraId="352EC56A">
                  <w:pPr>
                    <w:adjustRightInd w:val="0"/>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665" w:type="pct"/>
                  <w:shd w:val="clear" w:color="auto" w:fill="auto"/>
                  <w:noWrap w:val="0"/>
                  <w:vAlign w:val="center"/>
                </w:tcPr>
                <w:p w14:paraId="3D98A837">
                  <w:pPr>
                    <w:pStyle w:val="48"/>
                    <w:keepNext w:val="0"/>
                    <w:keepLines w:val="0"/>
                    <w:pageBreakBefore w:val="0"/>
                    <w:kinsoku/>
                    <w:wordWrap/>
                    <w:overflowPunct/>
                    <w:autoSpaceDE/>
                    <w:autoSpaceDN/>
                    <w:bidi w:val="0"/>
                    <w:spacing w:line="240" w:lineRule="auto"/>
                    <w:ind w:left="0" w:left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t>废反渗透膜</w:t>
                  </w:r>
                </w:p>
              </w:tc>
              <w:tc>
                <w:tcPr>
                  <w:tcW w:w="610" w:type="pct"/>
                  <w:noWrap w:val="0"/>
                  <w:vAlign w:val="center"/>
                </w:tcPr>
                <w:p w14:paraId="6E0DB8B0">
                  <w:pPr>
                    <w:adjustRightInd w:val="0"/>
                    <w:snapToGrid w:val="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SW59</w:t>
                  </w:r>
                </w:p>
                <w:p w14:paraId="6FEE9DA5">
                  <w:pPr>
                    <w:adjustRightInd w:val="0"/>
                    <w:snapToGrid w:val="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其他工业固体</w:t>
                  </w:r>
                </w:p>
                <w:p w14:paraId="57D94B47">
                  <w:pPr>
                    <w:numPr>
                      <w:ilvl w:val="0"/>
                      <w:numId w:val="0"/>
                    </w:numPr>
                    <w:adjustRightInd w:val="0"/>
                    <w:snapToGrid w:val="0"/>
                    <w:jc w:val="center"/>
                    <w:rPr>
                      <w:rFonts w:hint="eastAsia"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废物</w:t>
                  </w:r>
                </w:p>
              </w:tc>
              <w:tc>
                <w:tcPr>
                  <w:tcW w:w="612" w:type="pct"/>
                  <w:noWrap w:val="0"/>
                  <w:vAlign w:val="center"/>
                </w:tcPr>
                <w:p w14:paraId="05980764">
                  <w:pPr>
                    <w:numPr>
                      <w:ilvl w:val="0"/>
                      <w:numId w:val="0"/>
                    </w:numPr>
                    <w:adjustRightInd w:val="0"/>
                    <w:snapToGrid w:val="0"/>
                    <w:jc w:val="center"/>
                    <w:rPr>
                      <w:rFonts w:hint="eastAsia"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kern w:val="2"/>
                      <w:sz w:val="21"/>
                      <w:szCs w:val="24"/>
                      <w:lang w:val="en-US" w:eastAsia="zh-CN" w:bidi="ar-SA"/>
                      <w14:textFill>
                        <w14:solidFill>
                          <w14:schemeClr w14:val="tx1"/>
                        </w14:solidFill>
                      </w14:textFill>
                    </w:rPr>
                    <w:t>900-008-S59</w:t>
                  </w:r>
                </w:p>
              </w:tc>
              <w:tc>
                <w:tcPr>
                  <w:tcW w:w="541" w:type="pct"/>
                  <w:shd w:val="clear" w:color="auto" w:fill="auto"/>
                  <w:noWrap w:val="0"/>
                  <w:vAlign w:val="center"/>
                </w:tcPr>
                <w:p w14:paraId="3D40002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0.05</w:t>
                  </w:r>
                </w:p>
              </w:tc>
              <w:tc>
                <w:tcPr>
                  <w:tcW w:w="445" w:type="pct"/>
                  <w:shd w:val="clear" w:color="auto" w:fill="auto"/>
                  <w:noWrap w:val="0"/>
                  <w:vAlign w:val="center"/>
                </w:tcPr>
                <w:p w14:paraId="60D7BA26">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废气处理</w:t>
                  </w:r>
                </w:p>
              </w:tc>
              <w:tc>
                <w:tcPr>
                  <w:tcW w:w="356" w:type="pct"/>
                  <w:noWrap w:val="0"/>
                  <w:vAlign w:val="center"/>
                </w:tcPr>
                <w:p w14:paraId="78446352">
                  <w:pPr>
                    <w:adjustRightInd w:val="0"/>
                    <w:snapToGrid w:val="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固态</w:t>
                  </w:r>
                </w:p>
              </w:tc>
              <w:tc>
                <w:tcPr>
                  <w:tcW w:w="431" w:type="pct"/>
                  <w:noWrap w:val="0"/>
                  <w:vAlign w:val="center"/>
                </w:tcPr>
                <w:p w14:paraId="3F52342D">
                  <w:pPr>
                    <w:spacing w:line="240" w:lineRule="auto"/>
                    <w:jc w:val="center"/>
                    <w:rPr>
                      <w:rFonts w:hint="default"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工业粉尘</w:t>
                  </w:r>
                </w:p>
              </w:tc>
              <w:tc>
                <w:tcPr>
                  <w:tcW w:w="338" w:type="pct"/>
                  <w:noWrap w:val="0"/>
                  <w:vAlign w:val="center"/>
                </w:tcPr>
                <w:p w14:paraId="6D69BF6B">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个月</w:t>
                  </w:r>
                </w:p>
              </w:tc>
              <w:tc>
                <w:tcPr>
                  <w:tcW w:w="743" w:type="pct"/>
                  <w:noWrap w:val="0"/>
                  <w:vAlign w:val="center"/>
                </w:tcPr>
                <w:p w14:paraId="35BAEA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统一收集后由</w:t>
                  </w:r>
                  <w:r>
                    <w:rPr>
                      <w:rFonts w:hint="eastAsia" w:cs="Times New Roman"/>
                      <w:snapToGrid/>
                      <w:color w:val="000000" w:themeColor="text1"/>
                      <w:spacing w:val="0"/>
                      <w:kern w:val="0"/>
                      <w:position w:val="0"/>
                      <w:sz w:val="21"/>
                      <w:szCs w:val="21"/>
                      <w:lang w:val="en-US" w:eastAsia="zh-CN"/>
                      <w14:textFill>
                        <w14:solidFill>
                          <w14:schemeClr w14:val="tx1"/>
                        </w14:solidFill>
                      </w14:textFill>
                    </w:rPr>
                    <w:t>厂家回收</w:t>
                  </w:r>
                </w:p>
              </w:tc>
            </w:tr>
          </w:tbl>
          <w:p w14:paraId="3690417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环境管理要求：</w:t>
            </w:r>
          </w:p>
          <w:p w14:paraId="464882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color w:val="000000" w:themeColor="text1"/>
                <w:spacing w:val="0"/>
                <w:kern w:val="0"/>
                <w:position w:val="0"/>
                <w:sz w:val="24"/>
                <w:szCs w:val="24"/>
                <w14:textFill>
                  <w14:solidFill>
                    <w14:schemeClr w14:val="tx1"/>
                  </w14:solidFill>
                </w14:textFill>
              </w:rPr>
            </w:pPr>
            <w:r>
              <w:rPr>
                <w:snapToGrid/>
                <w:color w:val="000000" w:themeColor="text1"/>
                <w:spacing w:val="0"/>
                <w:kern w:val="0"/>
                <w:position w:val="0"/>
                <w:sz w:val="24"/>
                <w:szCs w:val="24"/>
                <w14:textFill>
                  <w14:solidFill>
                    <w14:schemeClr w14:val="tx1"/>
                  </w14:solidFill>
                </w14:textFill>
              </w:rPr>
              <w:t>本项目产生的</w:t>
            </w:r>
            <w:r>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一般工业固体废物</w:t>
            </w:r>
            <w:r>
              <w:rPr>
                <w:rFonts w:hint="eastAsia" w:ascii="宋体" w:hAnsi="宋体" w:eastAsia="宋体" w:cs="宋体"/>
                <w:color w:val="000000" w:themeColor="text1"/>
                <w:sz w:val="24"/>
                <w:szCs w:val="24"/>
                <w:lang w:val="en-US" w:eastAsia="zh-CN"/>
                <w14:textFill>
                  <w14:solidFill>
                    <w14:schemeClr w14:val="tx1"/>
                  </w14:solidFill>
                </w14:textFill>
              </w:rPr>
              <w:t>废反渗透膜统一收集后由厂家回收</w:t>
            </w: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eastAsia"/>
                <w:snapToGrid/>
                <w:color w:val="000000" w:themeColor="text1"/>
                <w:spacing w:val="0"/>
                <w:kern w:val="0"/>
                <w:position w:val="0"/>
                <w:sz w:val="24"/>
                <w:szCs w:val="24"/>
                <w14:textFill>
                  <w14:solidFill>
                    <w14:schemeClr w14:val="tx1"/>
                  </w14:solidFill>
                </w14:textFill>
              </w:rPr>
              <w:t>生活垃圾委托环卫部门统一处理</w:t>
            </w:r>
            <w:r>
              <w:rPr>
                <w:snapToGrid/>
                <w:color w:val="000000" w:themeColor="text1"/>
                <w:spacing w:val="0"/>
                <w:kern w:val="0"/>
                <w:position w:val="0"/>
                <w:sz w:val="24"/>
                <w:szCs w:val="24"/>
                <w14:textFill>
                  <w14:solidFill>
                    <w14:schemeClr w14:val="tx1"/>
                  </w14:solidFill>
                </w14:textFill>
              </w:rPr>
              <w:t>。</w:t>
            </w:r>
          </w:p>
          <w:p w14:paraId="58A85991">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A、生活垃圾</w:t>
            </w:r>
          </w:p>
          <w:p w14:paraId="32EDE3C5">
            <w:pPr>
              <w:pStyle w:val="11"/>
              <w:spacing w:before="0" w:after="0" w:line="360" w:lineRule="auto"/>
              <w:ind w:right="0"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生活垃圾分类收集后定期由环卫部门清运处置。</w:t>
            </w:r>
          </w:p>
          <w:p w14:paraId="74F70FFE">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B、一般固废要求</w:t>
            </w:r>
          </w:p>
          <w:p w14:paraId="000895D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一般工业固废的暂存场所应按照《一般工业固体废物贮存和填埋污染控制标准》(GB18599-2020</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要求建设。</w:t>
            </w:r>
          </w:p>
          <w:p w14:paraId="6CC1904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①贮存、处置场的建设类型，必须与将要堆放的一般工业固体废物的类别相一致；</w:t>
            </w:r>
          </w:p>
          <w:p w14:paraId="166F2F27">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②贮存、处置场应采取防止</w:t>
            </w:r>
            <w:r>
              <w:rPr>
                <w:rFonts w:hint="eastAsia"/>
                <w:color w:val="000000" w:themeColor="text1"/>
                <w:sz w:val="24"/>
                <w:highlight w:val="none"/>
                <w14:textFill>
                  <w14:solidFill>
                    <w14:schemeClr w14:val="tx1"/>
                  </w14:solidFill>
                </w14:textFill>
              </w:rPr>
              <w:t>颗粒物</w:t>
            </w:r>
            <w:r>
              <w:rPr>
                <w:color w:val="000000" w:themeColor="text1"/>
                <w:sz w:val="24"/>
                <w:highlight w:val="none"/>
                <w14:textFill>
                  <w14:solidFill>
                    <w14:schemeClr w14:val="tx1"/>
                  </w14:solidFill>
                </w14:textFill>
              </w:rPr>
              <w:t>污染的措施；</w:t>
            </w:r>
          </w:p>
          <w:p w14:paraId="63D245B2">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③为加强监督管理，贮存、处置场应按GB15562.2 设置环境保护图形标志；</w:t>
            </w:r>
          </w:p>
          <w:p w14:paraId="4444F346">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④一般工业固体废物贮存、处置场禁止危险废物和生活垃圾混入；</w:t>
            </w:r>
          </w:p>
          <w:p w14:paraId="5A0E5AE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⑤贮存、处置</w:t>
            </w:r>
            <w:r>
              <w:rPr>
                <w:rFonts w:hint="eastAsia"/>
                <w:color w:val="000000" w:themeColor="text1"/>
                <w:sz w:val="24"/>
                <w:highlight w:val="none"/>
                <w:lang w:eastAsia="zh-CN"/>
                <w14:textFill>
                  <w14:solidFill>
                    <w14:schemeClr w14:val="tx1"/>
                  </w14:solidFill>
                </w14:textFill>
              </w:rPr>
              <w:t>场地</w:t>
            </w:r>
            <w:r>
              <w:rPr>
                <w:color w:val="000000" w:themeColor="text1"/>
                <w:sz w:val="24"/>
                <w:highlight w:val="none"/>
                <w14:textFill>
                  <w14:solidFill>
                    <w14:schemeClr w14:val="tx1"/>
                  </w14:solidFill>
                </w14:textFill>
              </w:rPr>
              <w:t>使用单位，应建立档案制度。应将入场的一般工业固体废物的种类和数量等资料详细记录在案，长期保存，供随时查阅。</w:t>
            </w:r>
          </w:p>
          <w:p w14:paraId="0342D7CF">
            <w:pPr>
              <w:pStyle w:val="44"/>
              <w:kinsoku w:val="0"/>
              <w:overflowPunct w:val="0"/>
              <w:spacing w:line="360" w:lineRule="auto"/>
              <w:ind w:firstLine="482" w:firstLineChars="200"/>
              <w:rPr>
                <w:rFonts w:ascii="Times New Roman" w:hAnsi="Times New Roman"/>
                <w:b/>
                <w:bCs/>
                <w:color w:val="000000" w:themeColor="text1"/>
                <w:sz w:val="24"/>
                <w:highlight w:val="none"/>
                <w:lang w:eastAsia="zh-CN"/>
                <w14:textFill>
                  <w14:solidFill>
                    <w14:schemeClr w14:val="tx1"/>
                  </w14:solidFill>
                </w14:textFill>
              </w:rPr>
            </w:pPr>
            <w:r>
              <w:rPr>
                <w:rFonts w:ascii="Times New Roman" w:hAnsi="Times New Roman"/>
                <w:b/>
                <w:bCs/>
                <w:color w:val="000000" w:themeColor="text1"/>
                <w:sz w:val="24"/>
                <w:highlight w:val="none"/>
                <w:lang w:eastAsia="zh-CN"/>
                <w14:textFill>
                  <w14:solidFill>
                    <w14:schemeClr w14:val="tx1"/>
                  </w14:solidFill>
                </w14:textFill>
              </w:rPr>
              <w:t>一般固废</w:t>
            </w:r>
            <w:r>
              <w:rPr>
                <w:rFonts w:hint="eastAsia" w:ascii="Times New Roman" w:hAnsi="Times New Roman"/>
                <w:b/>
                <w:bCs/>
                <w:color w:val="000000" w:themeColor="text1"/>
                <w:sz w:val="24"/>
                <w:highlight w:val="none"/>
                <w:lang w:val="en-US" w:eastAsia="zh-CN"/>
                <w14:textFill>
                  <w14:solidFill>
                    <w14:schemeClr w14:val="tx1"/>
                  </w14:solidFill>
                </w14:textFill>
              </w:rPr>
              <w:t>存放场所</w:t>
            </w:r>
            <w:r>
              <w:rPr>
                <w:rFonts w:ascii="Times New Roman" w:hAnsi="Times New Roman"/>
                <w:b/>
                <w:bCs/>
                <w:color w:val="000000" w:themeColor="text1"/>
                <w:sz w:val="24"/>
                <w:highlight w:val="none"/>
                <w:lang w:eastAsia="zh-CN"/>
                <w14:textFill>
                  <w14:solidFill>
                    <w14:schemeClr w14:val="tx1"/>
                  </w14:solidFill>
                </w14:textFill>
              </w:rPr>
              <w:t>设置合理性分析：</w:t>
            </w:r>
          </w:p>
          <w:p w14:paraId="1D47389F">
            <w:pPr>
              <w:pStyle w:val="44"/>
              <w:kinsoku w:val="0"/>
              <w:overflowPunct w:val="0"/>
              <w:spacing w:line="360" w:lineRule="auto"/>
              <w:ind w:firstLine="419"/>
              <w:rPr>
                <w:rFonts w:ascii="Times New Roman" w:hAnsi="Times New Roman"/>
                <w:color w:val="000000" w:themeColor="text1"/>
                <w:sz w:val="24"/>
                <w:highlight w:val="none"/>
                <w:lang w:eastAsia="zh-CN"/>
                <w14:textFill>
                  <w14:solidFill>
                    <w14:schemeClr w14:val="tx1"/>
                  </w14:solidFill>
                </w14:textFill>
              </w:rPr>
            </w:pPr>
            <w:r>
              <w:rPr>
                <w:rFonts w:ascii="Times New Roman" w:hAnsi="Times New Roman"/>
                <w:color w:val="000000" w:themeColor="text1"/>
                <w:sz w:val="24"/>
                <w:highlight w:val="none"/>
                <w:lang w:eastAsia="zh-CN"/>
                <w14:textFill>
                  <w14:solidFill>
                    <w14:schemeClr w14:val="tx1"/>
                  </w14:solidFill>
                </w14:textFill>
              </w:rPr>
              <w:t>本项</w:t>
            </w:r>
            <w:r>
              <w:rPr>
                <w:rFonts w:ascii="Times New Roman" w:hAnsi="Times New Roman"/>
                <w:color w:val="000000" w:themeColor="text1"/>
                <w:spacing w:val="-3"/>
                <w:sz w:val="24"/>
                <w:highlight w:val="none"/>
                <w:lang w:eastAsia="zh-CN"/>
                <w14:textFill>
                  <w14:solidFill>
                    <w14:schemeClr w14:val="tx1"/>
                  </w14:solidFill>
                </w14:textFill>
              </w:rPr>
              <w:t>目一般固废</w:t>
            </w:r>
            <w:r>
              <w:rPr>
                <w:rFonts w:hint="eastAsia" w:ascii="Times New Roman" w:hAnsi="Times New Roman"/>
                <w:color w:val="000000" w:themeColor="text1"/>
                <w:spacing w:val="-3"/>
                <w:sz w:val="24"/>
                <w:highlight w:val="none"/>
                <w:lang w:val="en-US" w:eastAsia="zh-CN"/>
                <w14:textFill>
                  <w14:solidFill>
                    <w14:schemeClr w14:val="tx1"/>
                  </w14:solidFill>
                </w14:textFill>
              </w:rPr>
              <w:t>于生产车间暂存，满足贮存要求</w:t>
            </w:r>
            <w:r>
              <w:rPr>
                <w:rFonts w:ascii="Times New Roman" w:hAnsi="Times New Roman"/>
                <w:color w:val="000000" w:themeColor="text1"/>
                <w:sz w:val="24"/>
                <w:highlight w:val="none"/>
                <w:lang w:eastAsia="zh-CN"/>
                <w14:textFill>
                  <w14:solidFill>
                    <w14:schemeClr w14:val="tx1"/>
                  </w14:solidFill>
                </w14:textFill>
              </w:rPr>
              <w:t>。</w:t>
            </w:r>
            <w:r>
              <w:rPr>
                <w:rFonts w:ascii="Times New Roman" w:hAnsi="Times New Roman"/>
                <w:color w:val="000000" w:themeColor="text1"/>
                <w:spacing w:val="-3"/>
                <w:sz w:val="24"/>
                <w:highlight w:val="none"/>
                <w:lang w:eastAsia="zh-CN"/>
                <w14:textFill>
                  <w14:solidFill>
                    <w14:schemeClr w14:val="tx1"/>
                  </w14:solidFill>
                </w14:textFill>
              </w:rPr>
              <w:t>因</w:t>
            </w:r>
            <w:r>
              <w:rPr>
                <w:rFonts w:ascii="Times New Roman" w:hAnsi="Times New Roman"/>
                <w:color w:val="000000" w:themeColor="text1"/>
                <w:sz w:val="24"/>
                <w:highlight w:val="none"/>
                <w:lang w:eastAsia="zh-CN"/>
                <w14:textFill>
                  <w14:solidFill>
                    <w14:schemeClr w14:val="tx1"/>
                  </w14:solidFill>
                </w14:textFill>
              </w:rPr>
              <w:t>此</w:t>
            </w:r>
            <w:r>
              <w:rPr>
                <w:rFonts w:ascii="Times New Roman" w:hAnsi="Times New Roman"/>
                <w:color w:val="000000" w:themeColor="text1"/>
                <w:spacing w:val="-1"/>
                <w:sz w:val="24"/>
                <w:highlight w:val="none"/>
                <w:lang w:eastAsia="zh-CN"/>
                <w14:textFill>
                  <w14:solidFill>
                    <w14:schemeClr w14:val="tx1"/>
                  </w14:solidFill>
                </w14:textFill>
              </w:rPr>
              <w:t>本</w:t>
            </w:r>
            <w:r>
              <w:rPr>
                <w:rFonts w:ascii="Times New Roman" w:hAnsi="Times New Roman"/>
                <w:color w:val="000000" w:themeColor="text1"/>
                <w:sz w:val="24"/>
                <w:highlight w:val="none"/>
                <w:lang w:eastAsia="zh-CN"/>
                <w14:textFill>
                  <w14:solidFill>
                    <w14:schemeClr w14:val="tx1"/>
                  </w14:solidFill>
                </w14:textFill>
              </w:rPr>
              <w:t>项</w:t>
            </w:r>
            <w:r>
              <w:rPr>
                <w:rFonts w:ascii="Times New Roman" w:hAnsi="Times New Roman"/>
                <w:color w:val="000000" w:themeColor="text1"/>
                <w:spacing w:val="-3"/>
                <w:sz w:val="24"/>
                <w:highlight w:val="none"/>
                <w:lang w:eastAsia="zh-CN"/>
                <w14:textFill>
                  <w14:solidFill>
                    <w14:schemeClr w14:val="tx1"/>
                  </w14:solidFill>
                </w14:textFill>
              </w:rPr>
              <w:t>目</w:t>
            </w:r>
            <w:r>
              <w:rPr>
                <w:rFonts w:ascii="Times New Roman" w:hAnsi="Times New Roman"/>
                <w:color w:val="000000" w:themeColor="text1"/>
                <w:sz w:val="24"/>
                <w:highlight w:val="none"/>
                <w:lang w:eastAsia="zh-CN"/>
                <w14:textFill>
                  <w14:solidFill>
                    <w14:schemeClr w14:val="tx1"/>
                  </w14:solidFill>
                </w14:textFill>
              </w:rPr>
              <w:t>一</w:t>
            </w:r>
            <w:r>
              <w:rPr>
                <w:rFonts w:ascii="Times New Roman" w:hAnsi="Times New Roman"/>
                <w:color w:val="000000" w:themeColor="text1"/>
                <w:spacing w:val="-3"/>
                <w:sz w:val="24"/>
                <w:highlight w:val="none"/>
                <w:lang w:eastAsia="zh-CN"/>
                <w14:textFill>
                  <w14:solidFill>
                    <w14:schemeClr w14:val="tx1"/>
                  </w14:solidFill>
                </w14:textFill>
              </w:rPr>
              <w:t>般</w:t>
            </w:r>
            <w:r>
              <w:rPr>
                <w:rFonts w:ascii="Times New Roman" w:hAnsi="Times New Roman"/>
                <w:color w:val="000000" w:themeColor="text1"/>
                <w:sz w:val="24"/>
                <w:highlight w:val="none"/>
                <w:lang w:eastAsia="zh-CN"/>
                <w14:textFill>
                  <w14:solidFill>
                    <w14:schemeClr w14:val="tx1"/>
                  </w14:solidFill>
                </w14:textFill>
              </w:rPr>
              <w:t>固</w:t>
            </w:r>
            <w:r>
              <w:rPr>
                <w:rFonts w:ascii="Times New Roman" w:hAnsi="Times New Roman"/>
                <w:color w:val="000000" w:themeColor="text1"/>
                <w:spacing w:val="-3"/>
                <w:sz w:val="24"/>
                <w:highlight w:val="none"/>
                <w:lang w:eastAsia="zh-CN"/>
                <w14:textFill>
                  <w14:solidFill>
                    <w14:schemeClr w14:val="tx1"/>
                  </w14:solidFill>
                </w14:textFill>
              </w:rPr>
              <w:t>废</w:t>
            </w:r>
            <w:r>
              <w:rPr>
                <w:rFonts w:ascii="Times New Roman" w:hAnsi="Times New Roman"/>
                <w:color w:val="000000" w:themeColor="text1"/>
                <w:spacing w:val="-1"/>
                <w:sz w:val="24"/>
                <w:highlight w:val="none"/>
                <w:lang w:eastAsia="zh-CN"/>
                <w14:textFill>
                  <w14:solidFill>
                    <w14:schemeClr w14:val="tx1"/>
                  </w14:solidFill>
                </w14:textFill>
              </w:rPr>
              <w:t>暂</w:t>
            </w:r>
            <w:r>
              <w:rPr>
                <w:rFonts w:ascii="Times New Roman" w:hAnsi="Times New Roman"/>
                <w:color w:val="000000" w:themeColor="text1"/>
                <w:spacing w:val="-3"/>
                <w:sz w:val="24"/>
                <w:highlight w:val="none"/>
                <w:lang w:eastAsia="zh-CN"/>
                <w14:textFill>
                  <w14:solidFill>
                    <w14:schemeClr w14:val="tx1"/>
                  </w14:solidFill>
                </w14:textFill>
              </w:rPr>
              <w:t>存</w:t>
            </w:r>
            <w:r>
              <w:rPr>
                <w:rFonts w:ascii="Times New Roman" w:hAnsi="Times New Roman"/>
                <w:color w:val="000000" w:themeColor="text1"/>
                <w:sz w:val="24"/>
                <w:highlight w:val="none"/>
                <w:lang w:eastAsia="zh-CN"/>
                <w14:textFill>
                  <w14:solidFill>
                    <w14:schemeClr w14:val="tx1"/>
                  </w14:solidFill>
                </w14:textFill>
              </w:rPr>
              <w:t>及</w:t>
            </w:r>
            <w:r>
              <w:rPr>
                <w:rFonts w:ascii="Times New Roman" w:hAnsi="Times New Roman"/>
                <w:color w:val="000000" w:themeColor="text1"/>
                <w:spacing w:val="-3"/>
                <w:sz w:val="24"/>
                <w:highlight w:val="none"/>
                <w:lang w:eastAsia="zh-CN"/>
                <w14:textFill>
                  <w14:solidFill>
                    <w14:schemeClr w14:val="tx1"/>
                  </w14:solidFill>
                </w14:textFill>
              </w:rPr>
              <w:t>处</w:t>
            </w:r>
            <w:r>
              <w:rPr>
                <w:rFonts w:ascii="Times New Roman" w:hAnsi="Times New Roman"/>
                <w:color w:val="000000" w:themeColor="text1"/>
                <w:sz w:val="24"/>
                <w:highlight w:val="none"/>
                <w:lang w:eastAsia="zh-CN"/>
                <w14:textFill>
                  <w14:solidFill>
                    <w14:schemeClr w14:val="tx1"/>
                  </w14:solidFill>
                </w14:textFill>
              </w:rPr>
              <w:t>置均</w:t>
            </w:r>
            <w:r>
              <w:rPr>
                <w:rFonts w:ascii="Times New Roman" w:hAnsi="Times New Roman"/>
                <w:color w:val="000000" w:themeColor="text1"/>
                <w:spacing w:val="-3"/>
                <w:sz w:val="24"/>
                <w:highlight w:val="none"/>
                <w:lang w:eastAsia="zh-CN"/>
                <w14:textFill>
                  <w14:solidFill>
                    <w14:schemeClr w14:val="tx1"/>
                  </w14:solidFill>
                </w14:textFill>
              </w:rPr>
              <w:t>能</w:t>
            </w:r>
            <w:r>
              <w:rPr>
                <w:rFonts w:ascii="Times New Roman" w:hAnsi="Times New Roman"/>
                <w:color w:val="000000" w:themeColor="text1"/>
                <w:sz w:val="24"/>
                <w:highlight w:val="none"/>
                <w:lang w:eastAsia="zh-CN"/>
                <w14:textFill>
                  <w14:solidFill>
                    <w14:schemeClr w14:val="tx1"/>
                  </w14:solidFill>
                </w14:textFill>
              </w:rPr>
              <w:t>满</w:t>
            </w:r>
            <w:r>
              <w:rPr>
                <w:rFonts w:ascii="Times New Roman" w:hAnsi="Times New Roman"/>
                <w:color w:val="000000" w:themeColor="text1"/>
                <w:spacing w:val="-3"/>
                <w:sz w:val="24"/>
                <w:highlight w:val="none"/>
                <w:lang w:eastAsia="zh-CN"/>
                <w14:textFill>
                  <w14:solidFill>
                    <w14:schemeClr w14:val="tx1"/>
                  </w14:solidFill>
                </w14:textFill>
              </w:rPr>
              <w:t>足</w:t>
            </w:r>
            <w:r>
              <w:rPr>
                <w:rFonts w:ascii="Times New Roman" w:hAnsi="Times New Roman"/>
                <w:color w:val="000000" w:themeColor="text1"/>
                <w:sz w:val="24"/>
                <w:highlight w:val="none"/>
                <w:lang w:eastAsia="zh-CN"/>
                <w14:textFill>
                  <w14:solidFill>
                    <w14:schemeClr w14:val="tx1"/>
                  </w14:solidFill>
                </w14:textFill>
              </w:rPr>
              <w:t>要</w:t>
            </w:r>
            <w:r>
              <w:rPr>
                <w:rFonts w:ascii="Times New Roman" w:hAnsi="Times New Roman"/>
                <w:color w:val="000000" w:themeColor="text1"/>
                <w:spacing w:val="-3"/>
                <w:sz w:val="24"/>
                <w:highlight w:val="none"/>
                <w:lang w:eastAsia="zh-CN"/>
                <w14:textFill>
                  <w14:solidFill>
                    <w14:schemeClr w14:val="tx1"/>
                  </w14:solidFill>
                </w14:textFill>
              </w:rPr>
              <w:t>求</w:t>
            </w:r>
            <w:r>
              <w:rPr>
                <w:rFonts w:ascii="Times New Roman" w:hAnsi="Times New Roman"/>
                <w:color w:val="000000" w:themeColor="text1"/>
                <w:sz w:val="24"/>
                <w:highlight w:val="none"/>
                <w:lang w:eastAsia="zh-CN"/>
                <w14:textFill>
                  <w14:solidFill>
                    <w14:schemeClr w14:val="tx1"/>
                  </w14:solidFill>
                </w14:textFill>
              </w:rPr>
              <w:t>，</w:t>
            </w:r>
            <w:r>
              <w:rPr>
                <w:rFonts w:ascii="Times New Roman" w:hAnsi="Times New Roman"/>
                <w:color w:val="000000" w:themeColor="text1"/>
                <w:spacing w:val="-3"/>
                <w:sz w:val="24"/>
                <w:highlight w:val="none"/>
                <w:lang w:eastAsia="zh-CN"/>
                <w14:textFill>
                  <w14:solidFill>
                    <w14:schemeClr w14:val="tx1"/>
                  </w14:solidFill>
                </w14:textFill>
              </w:rPr>
              <w:t>对</w:t>
            </w:r>
            <w:r>
              <w:rPr>
                <w:rFonts w:ascii="Times New Roman" w:hAnsi="Times New Roman"/>
                <w:color w:val="000000" w:themeColor="text1"/>
                <w:sz w:val="24"/>
                <w:highlight w:val="none"/>
                <w:lang w:eastAsia="zh-CN"/>
                <w14:textFill>
                  <w14:solidFill>
                    <w14:schemeClr w14:val="tx1"/>
                  </w14:solidFill>
                </w14:textFill>
              </w:rPr>
              <w:t>周</w:t>
            </w:r>
            <w:r>
              <w:rPr>
                <w:rFonts w:ascii="Times New Roman" w:hAnsi="Times New Roman"/>
                <w:color w:val="000000" w:themeColor="text1"/>
                <w:spacing w:val="-3"/>
                <w:sz w:val="24"/>
                <w:highlight w:val="none"/>
                <w:lang w:eastAsia="zh-CN"/>
                <w14:textFill>
                  <w14:solidFill>
                    <w14:schemeClr w14:val="tx1"/>
                  </w14:solidFill>
                </w14:textFill>
              </w:rPr>
              <w:t>边</w:t>
            </w:r>
            <w:r>
              <w:rPr>
                <w:rFonts w:ascii="Times New Roman" w:hAnsi="Times New Roman"/>
                <w:color w:val="000000" w:themeColor="text1"/>
                <w:sz w:val="24"/>
                <w:highlight w:val="none"/>
                <w:lang w:eastAsia="zh-CN"/>
                <w14:textFill>
                  <w14:solidFill>
                    <w14:schemeClr w14:val="tx1"/>
                  </w14:solidFill>
                </w14:textFill>
              </w:rPr>
              <w:t>环境</w:t>
            </w:r>
            <w:r>
              <w:rPr>
                <w:rFonts w:ascii="Times New Roman" w:hAnsi="Times New Roman"/>
                <w:color w:val="000000" w:themeColor="text1"/>
                <w:spacing w:val="-3"/>
                <w:sz w:val="24"/>
                <w:highlight w:val="none"/>
                <w:lang w:eastAsia="zh-CN"/>
                <w14:textFill>
                  <w14:solidFill>
                    <w14:schemeClr w14:val="tx1"/>
                  </w14:solidFill>
                </w14:textFill>
              </w:rPr>
              <w:t>基</w:t>
            </w:r>
            <w:r>
              <w:rPr>
                <w:rFonts w:ascii="Times New Roman" w:hAnsi="Times New Roman"/>
                <w:color w:val="000000" w:themeColor="text1"/>
                <w:sz w:val="24"/>
                <w:highlight w:val="none"/>
                <w:lang w:eastAsia="zh-CN"/>
                <w14:textFill>
                  <w14:solidFill>
                    <w14:schemeClr w14:val="tx1"/>
                  </w14:solidFill>
                </w14:textFill>
              </w:rPr>
              <w:t>本</w:t>
            </w:r>
            <w:r>
              <w:rPr>
                <w:rFonts w:ascii="Times New Roman" w:hAnsi="Times New Roman"/>
                <w:color w:val="000000" w:themeColor="text1"/>
                <w:spacing w:val="-3"/>
                <w:sz w:val="24"/>
                <w:highlight w:val="none"/>
                <w:lang w:eastAsia="zh-CN"/>
                <w14:textFill>
                  <w14:solidFill>
                    <w14:schemeClr w14:val="tx1"/>
                  </w14:solidFill>
                </w14:textFill>
              </w:rPr>
              <w:t>无</w:t>
            </w:r>
            <w:r>
              <w:rPr>
                <w:rFonts w:ascii="Times New Roman" w:hAnsi="Times New Roman"/>
                <w:color w:val="000000" w:themeColor="text1"/>
                <w:sz w:val="24"/>
                <w:highlight w:val="none"/>
                <w:lang w:eastAsia="zh-CN"/>
                <w14:textFill>
                  <w14:solidFill>
                    <w14:schemeClr w14:val="tx1"/>
                  </w14:solidFill>
                </w14:textFill>
              </w:rPr>
              <w:t>影</w:t>
            </w:r>
            <w:r>
              <w:rPr>
                <w:rFonts w:ascii="Times New Roman" w:hAnsi="Times New Roman"/>
                <w:color w:val="000000" w:themeColor="text1"/>
                <w:spacing w:val="-3"/>
                <w:sz w:val="24"/>
                <w:highlight w:val="none"/>
                <w:lang w:eastAsia="zh-CN"/>
                <w14:textFill>
                  <w14:solidFill>
                    <w14:schemeClr w14:val="tx1"/>
                  </w14:solidFill>
                </w14:textFill>
              </w:rPr>
              <w:t>响</w:t>
            </w:r>
            <w:r>
              <w:rPr>
                <w:rFonts w:ascii="Times New Roman" w:hAnsi="Times New Roman"/>
                <w:color w:val="000000" w:themeColor="text1"/>
                <w:sz w:val="24"/>
                <w:highlight w:val="none"/>
                <w:lang w:eastAsia="zh-CN"/>
                <w14:textFill>
                  <w14:solidFill>
                    <w14:schemeClr w14:val="tx1"/>
                  </w14:solidFill>
                </w14:textFill>
              </w:rPr>
              <w:t>。</w:t>
            </w:r>
          </w:p>
          <w:p w14:paraId="14052A9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此外，建议项目方采取以下措施：</w:t>
            </w:r>
          </w:p>
          <w:p w14:paraId="779FFBD9">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加强区内的卫生管理，及时进行项目区域的地面的清扫、维护。</w:t>
            </w:r>
          </w:p>
          <w:p w14:paraId="1B8AFBB4">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积极推广垃圾分类、袋装、定点、及时收集的原则，垃圾分类收集后，对可以回收利用的部分应尽可能回用以减少垃圾的产生量，对不能利用的部分要及时清运，以免因长期堆积滋生蚊蝇、传播疾病。</w:t>
            </w:r>
          </w:p>
          <w:p w14:paraId="3A144DB6">
            <w:pPr>
              <w:spacing w:line="360" w:lineRule="auto"/>
              <w:ind w:firstLine="480" w:firstLineChars="200"/>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项目管理部门应加强管理并适当进行环保及卫生方面知识的宣传教育，</w:t>
            </w:r>
            <w:r>
              <w:rPr>
                <w:rFonts w:hint="eastAsia"/>
                <w:color w:val="000000" w:themeColor="text1"/>
                <w:sz w:val="24"/>
                <w:highlight w:val="none"/>
                <w:lang w:eastAsia="zh-CN"/>
                <w14:textFill>
                  <w14:solidFill>
                    <w14:schemeClr w14:val="tx1"/>
                  </w14:solidFill>
                </w14:textFill>
              </w:rPr>
              <w:t>增强</w:t>
            </w:r>
            <w:r>
              <w:rPr>
                <w:color w:val="000000" w:themeColor="text1"/>
                <w:sz w:val="24"/>
                <w:highlight w:val="none"/>
                <w14:textFill>
                  <w14:solidFill>
                    <w14:schemeClr w14:val="tx1"/>
                  </w14:solidFill>
                </w14:textFill>
              </w:rPr>
              <w:t>职工的环保意识，生产加工过程中，杜绝原辅材料的浪费。</w:t>
            </w:r>
          </w:p>
          <w:p w14:paraId="055D59EB">
            <w:pPr>
              <w:adjustRightInd w:val="0"/>
              <w:snapToGrid w:val="0"/>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由上可知，本项目所有固体废物均得到了妥善处理及处置，可避免产生二次污染。</w:t>
            </w:r>
          </w:p>
          <w:p w14:paraId="2284B52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5、地下水、土壤环境</w:t>
            </w:r>
          </w:p>
          <w:p w14:paraId="4CAAE1FF">
            <w:pPr>
              <w:spacing w:line="360" w:lineRule="auto"/>
              <w:ind w:firstLine="472"/>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根据《环境影响评价技术导则</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土壤环境（试行）》（H</w:t>
            </w:r>
            <w:r>
              <w:rPr>
                <w:rFonts w:hint="eastAsia" w:ascii="Times New Roman" w:hAnsi="Times New Roman" w:cs="Times New Roman"/>
                <w:color w:val="000000" w:themeColor="text1"/>
                <w:sz w:val="24"/>
                <w:lang w:val="en-US" w:eastAsia="zh-CN"/>
                <w14:textFill>
                  <w14:solidFill>
                    <w14:schemeClr w14:val="tx1"/>
                  </w14:solidFill>
                </w14:textFill>
              </w:rPr>
              <w:t xml:space="preserve">J </w:t>
            </w:r>
            <w:r>
              <w:rPr>
                <w:rFonts w:hint="default" w:ascii="Times New Roman" w:hAnsi="Times New Roman" w:cs="Times New Roman"/>
                <w:color w:val="000000" w:themeColor="text1"/>
                <w:sz w:val="24"/>
                <w14:textFill>
                  <w14:solidFill>
                    <w14:schemeClr w14:val="tx1"/>
                  </w14:solidFill>
                </w14:textFill>
              </w:rPr>
              <w:t>964-2018），</w:t>
            </w:r>
            <w:r>
              <w:rPr>
                <w:rFonts w:hint="eastAsia" w:ascii="Times New Roman" w:hAnsi="Times New Roman" w:cs="Times New Roman"/>
                <w:color w:val="000000" w:themeColor="text1"/>
                <w:sz w:val="24"/>
                <w:lang w:val="en-US" w:eastAsia="zh-CN"/>
                <w14:textFill>
                  <w14:solidFill>
                    <w14:schemeClr w14:val="tx1"/>
                  </w14:solidFill>
                </w14:textFill>
              </w:rPr>
              <w:t>本项目为</w:t>
            </w:r>
            <w:r>
              <w:rPr>
                <w:rFonts w:hint="eastAsia" w:ascii="宋体" w:hAnsi="宋体" w:cs="宋体"/>
                <w:color w:val="000000" w:themeColor="text1"/>
                <w:sz w:val="24"/>
                <w:szCs w:val="24"/>
                <w:lang w:eastAsia="zh-CN"/>
                <w14:textFill>
                  <w14:solidFill>
                    <w14:schemeClr w14:val="tx1"/>
                  </w14:solidFill>
                </w14:textFill>
              </w:rPr>
              <w:t>技术升级改造项目</w:t>
            </w:r>
            <w:r>
              <w:rPr>
                <w:rFonts w:hint="eastAsia" w:ascii="Times New Roman" w:hAnsi="Times New Roman" w:cs="Times New Roman"/>
                <w:color w:val="000000" w:themeColor="text1"/>
                <w:sz w:val="24"/>
                <w:lang w:val="en-US" w:eastAsia="zh-CN"/>
                <w14:textFill>
                  <w14:solidFill>
                    <w14:schemeClr w14:val="tx1"/>
                  </w14:solidFill>
                </w14:textFill>
              </w:rPr>
              <w:t>，项目所在地位于</w:t>
            </w:r>
            <w:r>
              <w:rPr>
                <w:rFonts w:hint="eastAsia" w:ascii="宋体" w:hAnsi="宋体" w:cs="宋体"/>
                <w:color w:val="000000" w:themeColor="text1"/>
                <w:sz w:val="24"/>
                <w:szCs w:val="24"/>
                <w:lang w:eastAsia="zh-CN"/>
                <w14:textFill>
                  <w14:solidFill>
                    <w14:schemeClr w14:val="tx1"/>
                  </w14:solidFill>
                </w14:textFill>
              </w:rPr>
              <w:t>宿州市高新技术产业开发区拂晓大</w:t>
            </w:r>
            <w:r>
              <w:rPr>
                <w:rFonts w:hint="default" w:ascii="Times New Roman" w:hAnsi="Times New Roman" w:cs="Times New Roman"/>
                <w:color w:val="000000" w:themeColor="text1"/>
                <w:sz w:val="24"/>
                <w:szCs w:val="24"/>
                <w:lang w:eastAsia="zh-CN"/>
                <w14:textFill>
                  <w14:solidFill>
                    <w14:schemeClr w14:val="tx1"/>
                  </w14:solidFill>
                </w14:textFill>
              </w:rPr>
              <w:t>道9号</w:t>
            </w:r>
            <w:r>
              <w:rPr>
                <w:rFonts w:hint="default" w:ascii="Times New Roman" w:hAnsi="Times New Roman" w:cs="Times New Roman"/>
                <w:color w:val="000000" w:themeColor="text1"/>
                <w:sz w:val="24"/>
                <w14:textFill>
                  <w14:solidFill>
                    <w14:schemeClr w14:val="tx1"/>
                  </w14:solidFill>
                </w14:textFill>
              </w:rPr>
              <w:t>；同时，对照附录A，本项目属于</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电力热力燃气及水生产和供应</w:t>
            </w:r>
            <w:r>
              <w:rPr>
                <w:rFonts w:hint="eastAsia" w:ascii="Times New Roman" w:hAnsi="Times New Roman" w:cs="Times New Roman"/>
                <w:color w:val="000000" w:themeColor="text1"/>
                <w:sz w:val="24"/>
                <w:lang w:eastAsia="zh-CN"/>
                <w14:textFill>
                  <w14:solidFill>
                    <w14:schemeClr w14:val="tx1"/>
                  </w14:solidFill>
                </w14:textFill>
              </w:rPr>
              <w:t>业”</w:t>
            </w:r>
            <w:r>
              <w:rPr>
                <w:rFonts w:hint="eastAsia" w:ascii="Times New Roman" w:hAnsi="Times New Roman" w:cs="Times New Roman"/>
                <w:color w:val="000000" w:themeColor="text1"/>
                <w:sz w:val="24"/>
                <w:lang w:val="en-US" w:eastAsia="zh-CN"/>
                <w14:textFill>
                  <w14:solidFill>
                    <w14:schemeClr w14:val="tx1"/>
                  </w14:solidFill>
                </w14:textFill>
              </w:rPr>
              <w:t>中“其他”</w:t>
            </w:r>
            <w:r>
              <w:rPr>
                <w:rFonts w:hint="default" w:ascii="Times New Roman" w:hAnsi="Times New Roman" w:cs="Times New Roman"/>
                <w:color w:val="000000" w:themeColor="text1"/>
                <w:sz w:val="24"/>
                <w14:textFill>
                  <w14:solidFill>
                    <w14:schemeClr w14:val="tx1"/>
                  </w14:solidFill>
                </w14:textFill>
              </w:rPr>
              <w:t>，为</w:t>
            </w:r>
            <w:r>
              <w:rPr>
                <w:rFonts w:hint="default" w:ascii="Times New Roman" w:hAnsi="Times New Roman" w:eastAsia="宋体" w:cs="Times New Roman"/>
                <w:color w:val="000000" w:themeColor="text1"/>
                <w:sz w:val="24"/>
                <w:lang w:eastAsia="zh-CN"/>
                <w14:textFill>
                  <w14:solidFill>
                    <w14:schemeClr w14:val="tx1"/>
                  </w14:solidFill>
                </w14:textFill>
              </w:rPr>
              <w:t>Ⅳ</w:t>
            </w:r>
            <w:r>
              <w:rPr>
                <w:rFonts w:hint="default" w:ascii="Times New Roman" w:hAnsi="Times New Roman" w:cs="Times New Roman"/>
                <w:color w:val="000000" w:themeColor="text1"/>
                <w:sz w:val="24"/>
                <w14:textFill>
                  <w14:solidFill>
                    <w14:schemeClr w14:val="tx1"/>
                  </w14:solidFill>
                </w14:textFill>
              </w:rPr>
              <w:t>类项目</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项目可不开展土壤环境影响评价</w:t>
            </w:r>
            <w:r>
              <w:rPr>
                <w:rFonts w:hint="eastAsia" w:ascii="Times New Roman" w:hAnsi="Times New Roman" w:cs="Times New Roman"/>
                <w:color w:val="000000" w:themeColor="text1"/>
                <w:sz w:val="24"/>
                <w:lang w:eastAsia="zh-CN"/>
                <w14:textFill>
                  <w14:solidFill>
                    <w14:schemeClr w14:val="tx1"/>
                  </w14:solidFill>
                </w14:textFill>
              </w:rPr>
              <w:t>；</w:t>
            </w:r>
          </w:p>
          <w:p w14:paraId="1A1D6C93">
            <w:pPr>
              <w:keepNext w:val="0"/>
              <w:keepLines w:val="0"/>
              <w:pageBreakBefore w:val="0"/>
              <w:widowControl w:val="0"/>
              <w:kinsoku/>
              <w:wordWrap/>
              <w:overflowPunct/>
              <w:topLinePunct w:val="0"/>
              <w:autoSpaceDE/>
              <w:autoSpaceDN/>
              <w:bidi w:val="0"/>
              <w:adjustRightInd/>
              <w:snapToGrid/>
              <w:spacing w:line="360" w:lineRule="auto"/>
              <w:ind w:firstLine="471"/>
              <w:textAlignment w:val="auto"/>
              <w:rPr>
                <w:rFonts w:hint="default" w:ascii="Times New Roman" w:hAnsi="Times New Roman" w:cs="Times New Roman"/>
                <w:snapToGrid w:val="0"/>
                <w:color w:val="000000" w:themeColor="text1"/>
                <w:spacing w:val="-4"/>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按照《环境影响评价技术导则</w:t>
            </w:r>
            <w:r>
              <w:rPr>
                <w:rFonts w:hint="eastAsia" w:ascii="Times New Roman" w:hAnsi="Times New Roman" w:cs="Times New Roman"/>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地下水环境》（HJ 610-2016）附表A（地下水环境影响评价行业分类表）</w:t>
            </w:r>
            <w:r>
              <w:rPr>
                <w:rFonts w:hint="default" w:ascii="Times New Roman" w:hAnsi="Times New Roman" w:cs="Times New Roman"/>
                <w:bCs/>
                <w:color w:val="000000" w:themeColor="text1"/>
                <w:sz w:val="24"/>
                <w:szCs w:val="24"/>
                <w:lang w:eastAsia="zh-CN"/>
                <w14:textFill>
                  <w14:solidFill>
                    <w14:schemeClr w14:val="tx1"/>
                  </w14:solidFill>
                </w14:textFill>
              </w:rPr>
              <w:t>项目</w:t>
            </w:r>
            <w:r>
              <w:rPr>
                <w:rFonts w:hint="default" w:ascii="Times New Roman" w:hAnsi="Times New Roman" w:cs="Times New Roman"/>
                <w:bCs/>
                <w:color w:val="000000" w:themeColor="text1"/>
                <w:sz w:val="24"/>
                <w:szCs w:val="24"/>
                <w14:textFill>
                  <w14:solidFill>
                    <w14:schemeClr w14:val="tx1"/>
                  </w14:solidFill>
                </w14:textFill>
              </w:rPr>
              <w:t>属于</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U142 热力生产和供应工程</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中“其他”类</w:t>
            </w:r>
            <w:r>
              <w:rPr>
                <w:rFonts w:hint="default" w:ascii="Times New Roman" w:hAnsi="Times New Roman" w:cs="Times New Roman"/>
                <w:bCs/>
                <w:color w:val="000000" w:themeColor="text1"/>
                <w:sz w:val="24"/>
                <w:szCs w:val="24"/>
                <w14:textFill>
                  <w14:solidFill>
                    <w14:schemeClr w14:val="tx1"/>
                  </w14:solidFill>
                </w14:textFill>
              </w:rPr>
              <w:t>，编制报告</w:t>
            </w:r>
            <w:r>
              <w:rPr>
                <w:rFonts w:hint="eastAsia" w:ascii="Times New Roman" w:hAnsi="Times New Roman" w:cs="Times New Roman"/>
                <w:bCs/>
                <w:color w:val="000000" w:themeColor="text1"/>
                <w:sz w:val="24"/>
                <w:szCs w:val="24"/>
                <w:lang w:eastAsia="zh-CN"/>
                <w14:textFill>
                  <w14:solidFill>
                    <w14:schemeClr w14:val="tx1"/>
                  </w14:solidFill>
                </w14:textFill>
              </w:rPr>
              <w:t>表</w:t>
            </w:r>
            <w:r>
              <w:rPr>
                <w:rFonts w:hint="default"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lang w:eastAsia="zh-CN"/>
                <w14:textFill>
                  <w14:solidFill>
                    <w14:schemeClr w14:val="tx1"/>
                  </w14:solidFill>
                </w14:textFill>
              </w:rPr>
              <w:t>其</w:t>
            </w:r>
            <w:r>
              <w:rPr>
                <w:rFonts w:hint="default" w:ascii="Times New Roman" w:hAnsi="Times New Roman" w:cs="Times New Roman"/>
                <w:bCs/>
                <w:color w:val="000000" w:themeColor="text1"/>
                <w:sz w:val="24"/>
                <w:szCs w:val="24"/>
                <w14:textFill>
                  <w14:solidFill>
                    <w14:schemeClr w14:val="tx1"/>
                  </w14:solidFill>
                </w14:textFill>
              </w:rPr>
              <w:t>地下水环境影响评价类别为</w:t>
            </w:r>
            <w:r>
              <w:rPr>
                <w:rFonts w:hint="default" w:ascii="Times New Roman" w:hAnsi="Times New Roman" w:eastAsia="宋体" w:cs="Times New Roman"/>
                <w:color w:val="000000" w:themeColor="text1"/>
                <w:sz w:val="24"/>
                <w:lang w:eastAsia="zh-CN"/>
                <w14:textFill>
                  <w14:solidFill>
                    <w14:schemeClr w14:val="tx1"/>
                  </w14:solidFill>
                </w14:textFill>
              </w:rPr>
              <w:t>Ⅳ</w:t>
            </w:r>
            <w:r>
              <w:rPr>
                <w:rFonts w:hint="default" w:ascii="Times New Roman" w:hAnsi="Times New Roman" w:cs="Times New Roman"/>
                <w:bCs/>
                <w:color w:val="000000" w:themeColor="text1"/>
                <w:sz w:val="24"/>
                <w:szCs w:val="24"/>
                <w14:textFill>
                  <w14:solidFill>
                    <w14:schemeClr w14:val="tx1"/>
                  </w14:solidFill>
                </w14:textFill>
              </w:rPr>
              <w:t>类；</w:t>
            </w:r>
            <w:r>
              <w:rPr>
                <w:rFonts w:hint="eastAsia" w:ascii="Times New Roman" w:hAnsi="Times New Roman" w:cs="Times New Roman"/>
                <w:bCs/>
                <w:color w:val="000000" w:themeColor="text1"/>
                <w:sz w:val="24"/>
                <w:szCs w:val="24"/>
                <w:lang w:eastAsia="zh-CN"/>
                <w14:textFill>
                  <w14:solidFill>
                    <w14:schemeClr w14:val="tx1"/>
                  </w14:solidFill>
                </w14:textFill>
              </w:rPr>
              <w:t>故项目可不进行</w:t>
            </w:r>
            <w:r>
              <w:rPr>
                <w:rFonts w:hint="default" w:ascii="Times New Roman" w:hAnsi="Times New Roman" w:cs="Times New Roman"/>
                <w:snapToGrid w:val="0"/>
                <w:color w:val="000000" w:themeColor="text1"/>
                <w:spacing w:val="-4"/>
                <w:sz w:val="24"/>
                <w:szCs w:val="24"/>
                <w14:textFill>
                  <w14:solidFill>
                    <w14:schemeClr w14:val="tx1"/>
                  </w14:solidFill>
                </w14:textFill>
              </w:rPr>
              <w:t>地下水环境影响评价。</w:t>
            </w:r>
          </w:p>
          <w:p w14:paraId="08893F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eastAsia="zh-CN"/>
                <w14:textFill>
                  <w14:solidFill>
                    <w14:schemeClr w14:val="tx1"/>
                  </w14:solidFill>
                </w14:textFill>
              </w:rPr>
              <w:t>项目</w:t>
            </w:r>
            <w:r>
              <w:rPr>
                <w:rFonts w:hint="eastAsia" w:ascii="Times New Roman" w:hAnsi="Times New Roman" w:eastAsia="宋体"/>
                <w:color w:val="000000" w:themeColor="text1"/>
                <w:sz w:val="24"/>
                <w:szCs w:val="24"/>
                <w:lang w:val="en-US" w:eastAsia="zh-CN"/>
                <w14:textFill>
                  <w14:solidFill>
                    <w14:schemeClr w14:val="tx1"/>
                  </w14:solidFill>
                </w14:textFill>
              </w:rPr>
              <w:t>燃气锅炉废气</w:t>
            </w:r>
            <w:r>
              <w:rPr>
                <w:rFonts w:hint="eastAsia" w:ascii="Times New Roman" w:hAnsi="Times New Roman" w:eastAsia="宋体"/>
                <w:color w:val="000000" w:themeColor="text1"/>
                <w:sz w:val="24"/>
                <w:szCs w:val="24"/>
                <w14:textFill>
                  <w14:solidFill>
                    <w14:schemeClr w14:val="tx1"/>
                  </w14:solidFill>
                </w14:textFill>
              </w:rPr>
              <w:t>配备低氮燃烧器</w:t>
            </w:r>
            <w:r>
              <w:rPr>
                <w:rFonts w:hint="eastAsia" w:ascii="Times New Roman" w:hAnsi="Times New Roman" w:eastAsia="宋体"/>
                <w:color w:val="000000" w:themeColor="text1"/>
                <w:sz w:val="24"/>
                <w:szCs w:val="24"/>
                <w:lang w:eastAsia="zh-CN"/>
                <w14:textFill>
                  <w14:solidFill>
                    <w14:schemeClr w14:val="tx1"/>
                  </w14:solidFill>
                </w14:textFill>
              </w:rPr>
              <w:t>后</w:t>
            </w:r>
            <w:r>
              <w:rPr>
                <w:rFonts w:hint="eastAsia" w:ascii="Times New Roman" w:hAnsi="Times New Roman" w:eastAsia="宋体"/>
                <w:color w:val="000000" w:themeColor="text1"/>
                <w:sz w:val="24"/>
                <w:szCs w:val="24"/>
                <w:lang w:val="en-US" w:eastAsia="zh-CN"/>
                <w14:textFill>
                  <w14:solidFill>
                    <w14:schemeClr w14:val="tx1"/>
                  </w14:solidFill>
                </w14:textFill>
              </w:rPr>
              <w:t>锅炉废气满足</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锅炉大气污染物排放标准</w:t>
            </w:r>
            <w:r>
              <w:rPr>
                <w:rFonts w:hint="default" w:ascii="Times New Roman" w:hAnsi="Times New Roman" w:cs="Times New Roman"/>
                <w:color w:val="000000" w:themeColor="text1"/>
                <w:sz w:val="24"/>
                <w:szCs w:val="24"/>
                <w14:textFill>
                  <w14:solidFill>
                    <w14:schemeClr w14:val="tx1"/>
                  </w14:solidFill>
                </w14:textFill>
              </w:rPr>
              <w:t>》（GB</w:t>
            </w:r>
            <w:r>
              <w:rPr>
                <w:rFonts w:hint="default" w:ascii="Times New Roman" w:hAnsi="Times New Roman" w:cs="Times New Roman"/>
                <w:color w:val="000000" w:themeColor="text1"/>
                <w:sz w:val="24"/>
                <w:szCs w:val="24"/>
                <w:lang w:val="en-US" w:eastAsia="zh-CN"/>
                <w14:textFill>
                  <w14:solidFill>
                    <w14:schemeClr w14:val="tx1"/>
                  </w14:solidFill>
                </w14:textFill>
              </w:rPr>
              <w:t>13271</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2014</w:t>
            </w:r>
            <w:r>
              <w:rPr>
                <w:rFonts w:hint="default" w:ascii="Times New Roman" w:hAnsi="Times New Roman" w:cs="Times New Roman"/>
                <w:color w:val="000000" w:themeColor="text1"/>
                <w:sz w:val="24"/>
                <w:szCs w:val="24"/>
                <w14:textFill>
                  <w14:solidFill>
                    <w14:schemeClr w14:val="tx1"/>
                  </w14:solidFill>
                </w14:textFill>
              </w:rPr>
              <w:t>）表</w:t>
            </w: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中</w:t>
            </w:r>
            <w:r>
              <w:rPr>
                <w:rFonts w:hint="default" w:ascii="Times New Roman" w:hAnsi="Times New Roman" w:cs="Times New Roman"/>
                <w:color w:val="000000" w:themeColor="text1"/>
                <w:sz w:val="24"/>
                <w:szCs w:val="24"/>
                <w:lang w:val="en-US" w:eastAsia="zh-CN"/>
                <w14:textFill>
                  <w14:solidFill>
                    <w14:schemeClr w14:val="tx1"/>
                  </w14:solidFill>
                </w14:textFill>
              </w:rPr>
              <w:t>燃</w:t>
            </w:r>
            <w:r>
              <w:rPr>
                <w:rFonts w:hint="eastAsia" w:cs="Times New Roman"/>
                <w:color w:val="000000" w:themeColor="text1"/>
                <w:sz w:val="24"/>
                <w:szCs w:val="24"/>
                <w:lang w:val="en-US" w:eastAsia="zh-CN"/>
                <w14:textFill>
                  <w14:solidFill>
                    <w14:schemeClr w14:val="tx1"/>
                  </w14:solidFill>
                </w14:textFill>
              </w:rPr>
              <w:t>气</w:t>
            </w:r>
            <w:r>
              <w:rPr>
                <w:rFonts w:hint="default" w:ascii="Times New Roman" w:hAnsi="Times New Roman" w:cs="Times New Roman"/>
                <w:color w:val="000000" w:themeColor="text1"/>
                <w:sz w:val="24"/>
                <w:szCs w:val="24"/>
                <w:lang w:val="en-US" w:eastAsia="zh-CN"/>
                <w14:textFill>
                  <w14:solidFill>
                    <w14:schemeClr w14:val="tx1"/>
                  </w14:solidFill>
                </w14:textFill>
              </w:rPr>
              <w:t>锅炉</w:t>
            </w:r>
            <w:r>
              <w:rPr>
                <w:rFonts w:hint="eastAsia" w:ascii="Times New Roman" w:hAnsi="Times New Roman" w:cs="Times New Roman"/>
                <w:color w:val="000000" w:themeColor="text1"/>
                <w:sz w:val="24"/>
                <w:szCs w:val="24"/>
                <w:lang w:val="en-US" w:eastAsia="zh-CN"/>
                <w14:textFill>
                  <w14:solidFill>
                    <w14:schemeClr w14:val="tx1"/>
                  </w14:solidFill>
                </w14:textFill>
              </w:rPr>
              <w:t>特别排放</w:t>
            </w:r>
            <w:r>
              <w:rPr>
                <w:rFonts w:hint="eastAsia" w:cs="Times New Roman"/>
                <w:color w:val="000000" w:themeColor="text1"/>
                <w:sz w:val="24"/>
                <w:szCs w:val="24"/>
                <w:lang w:val="en-US" w:eastAsia="zh-CN"/>
                <w14:textFill>
                  <w14:solidFill>
                    <w14:schemeClr w14:val="tx1"/>
                  </w14:solidFill>
                </w14:textFill>
              </w:rPr>
              <w:t>限值要求，其中</w:t>
            </w:r>
            <w:r>
              <w:rPr>
                <w:rFonts w:hint="eastAsia" w:ascii="Times New Roman" w:hAnsi="Times New Roman" w:eastAsia="宋体"/>
                <w:color w:val="000000" w:themeColor="text1"/>
                <w:sz w:val="24"/>
                <w:szCs w:val="24"/>
                <w14:textFill>
                  <w14:solidFill>
                    <w14:schemeClr w14:val="tx1"/>
                  </w14:solidFill>
                </w14:textFill>
              </w:rPr>
              <w:t>氮氧化物</w:t>
            </w:r>
            <w:r>
              <w:rPr>
                <w:rFonts w:hint="eastAsia" w:ascii="Times New Roman" w:hAnsi="Times New Roman" w:eastAsia="宋体"/>
                <w:color w:val="000000" w:themeColor="text1"/>
                <w:sz w:val="24"/>
                <w:szCs w:val="24"/>
                <w:lang w:eastAsia="zh-CN"/>
                <w14:textFill>
                  <w14:solidFill>
                    <w14:schemeClr w14:val="tx1"/>
                  </w14:solidFill>
                </w14:textFill>
              </w:rPr>
              <w:t>排放浓度执行“安徽省大气办关于印发</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安徽省2020年大气污染防治重点工作任务</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的通知”</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皖大气办【</w:t>
            </w:r>
            <w:r>
              <w:rPr>
                <w:rFonts w:hint="eastAsia" w:ascii="Times New Roman" w:hAnsi="Times New Roman" w:eastAsia="宋体"/>
                <w:color w:val="000000" w:themeColor="text1"/>
                <w:sz w:val="24"/>
                <w:szCs w:val="24"/>
                <w:lang w:val="en-US" w:eastAsia="zh-CN"/>
                <w14:textFill>
                  <w14:solidFill>
                    <w14:schemeClr w14:val="tx1"/>
                  </w14:solidFill>
                </w14:textFill>
              </w:rPr>
              <w:t>2020】2号</w:t>
            </w:r>
            <w:r>
              <w:rPr>
                <w:rFonts w:hint="eastAsia" w:eastAsia="宋体"/>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lang w:eastAsia="zh-CN"/>
                <w14:textFill>
                  <w14:solidFill>
                    <w14:schemeClr w14:val="tx1"/>
                  </w14:solidFill>
                </w14:textFill>
              </w:rPr>
              <w:t>中</w:t>
            </w:r>
            <w:r>
              <w:rPr>
                <w:rFonts w:hint="eastAsia" w:ascii="Times New Roman" w:hAnsi="Times New Roman" w:eastAsia="宋体"/>
                <w:color w:val="000000" w:themeColor="text1"/>
                <w:sz w:val="24"/>
                <w:szCs w:val="24"/>
                <w14:textFill>
                  <w14:solidFill>
                    <w14:schemeClr w14:val="tx1"/>
                  </w14:solidFill>
                </w14:textFill>
              </w:rPr>
              <w:t>氮氧化物排放浓度不高于50毫克/立方米</w:t>
            </w:r>
            <w:r>
              <w:rPr>
                <w:rFonts w:hint="eastAsia" w:ascii="Times New Roman" w:hAnsi="Times New Roman" w:eastAsia="宋体"/>
                <w:color w:val="000000" w:themeColor="text1"/>
                <w:sz w:val="24"/>
                <w:szCs w:val="24"/>
                <w:lang w:eastAsia="zh-CN"/>
                <w14:textFill>
                  <w14:solidFill>
                    <w14:schemeClr w14:val="tx1"/>
                  </w14:solidFill>
                </w14:textFill>
              </w:rPr>
              <w:t>的限值要求；</w:t>
            </w:r>
            <w:r>
              <w:rPr>
                <w:rFonts w:hint="eastAsia" w:ascii="Times New Roman" w:hAnsi="Times New Roman" w:cs="Times New Roman"/>
                <w:b w:val="0"/>
                <w:color w:val="000000" w:themeColor="text1"/>
                <w:kern w:val="2"/>
                <w:sz w:val="24"/>
                <w:szCs w:val="24"/>
                <w:lang w:val="en-US" w:eastAsia="zh-CN" w:bidi="ar-SA"/>
                <w14:textFill>
                  <w14:solidFill>
                    <w14:schemeClr w14:val="tx1"/>
                  </w14:solidFill>
                </w14:textFill>
              </w:rPr>
              <w:t>项目</w:t>
            </w:r>
            <w:r>
              <w:rPr>
                <w:rFonts w:hint="eastAsia" w:cs="Times New Roman"/>
                <w:b w:val="0"/>
                <w:color w:val="000000" w:themeColor="text1"/>
                <w:kern w:val="2"/>
                <w:sz w:val="24"/>
                <w:szCs w:val="24"/>
                <w:lang w:val="en-US" w:eastAsia="zh-CN" w:bidi="ar-SA"/>
                <w14:textFill>
                  <w14:solidFill>
                    <w14:schemeClr w14:val="tx1"/>
                  </w14:solidFill>
                </w14:textFill>
              </w:rPr>
              <w:t>废水</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和现有工程废水经污水处理站预处理后，经园区污水管网排入汴北污水处理厂统一处理</w:t>
            </w:r>
            <w:r>
              <w:rPr>
                <w:rFonts w:hint="eastAsia" w:ascii="Times New Roman" w:hAnsi="Times New Roman" w:cs="Times New Roman"/>
                <w:b w:val="0"/>
                <w:color w:val="000000" w:themeColor="text1"/>
                <w:kern w:val="2"/>
                <w:sz w:val="24"/>
                <w:szCs w:val="24"/>
                <w:lang w:val="en-US" w:eastAsia="zh-CN" w:bidi="ar-SA"/>
                <w14:textFill>
                  <w14:solidFill>
                    <w14:schemeClr w14:val="tx1"/>
                  </w14:solidFill>
                </w14:textFill>
              </w:rPr>
              <w:t>。</w:t>
            </w:r>
            <w:r>
              <w:rPr>
                <w:rFonts w:hint="default" w:ascii="Times New Roman" w:hAnsi="Times New Roman" w:cs="Times New Roman"/>
                <w:bCs/>
                <w:color w:val="000000" w:themeColor="text1"/>
                <w:kern w:val="2"/>
                <w:sz w:val="24"/>
                <w:szCs w:val="24"/>
                <w:lang w:val="en-US" w:eastAsia="zh-CN" w:bidi="ar-SA"/>
                <w14:textFill>
                  <w14:solidFill>
                    <w14:schemeClr w14:val="tx1"/>
                  </w14:solidFill>
                </w14:textFill>
              </w:rPr>
              <w:t>对地下水及土壤环境影响</w:t>
            </w:r>
            <w:r>
              <w:rPr>
                <w:rFonts w:hint="eastAsia" w:ascii="Times New Roman" w:hAnsi="Times New Roman" w:cs="Times New Roman"/>
                <w:bCs/>
                <w:color w:val="000000" w:themeColor="text1"/>
                <w:kern w:val="2"/>
                <w:sz w:val="24"/>
                <w:szCs w:val="24"/>
                <w:lang w:val="en-US" w:eastAsia="zh-CN" w:bidi="ar-SA"/>
                <w14:textFill>
                  <w14:solidFill>
                    <w14:schemeClr w14:val="tx1"/>
                  </w14:solidFill>
                </w14:textFill>
              </w:rPr>
              <w:t>较小</w:t>
            </w:r>
            <w:r>
              <w:rPr>
                <w:rFonts w:hint="default" w:ascii="Times New Roman" w:hAnsi="Times New Roman" w:cs="Times New Roman"/>
                <w:bCs/>
                <w:color w:val="000000" w:themeColor="text1"/>
                <w:kern w:val="2"/>
                <w:sz w:val="24"/>
                <w:szCs w:val="24"/>
                <w:lang w:val="en-US" w:eastAsia="zh-CN" w:bidi="ar-SA"/>
                <w14:textFill>
                  <w14:solidFill>
                    <w14:schemeClr w14:val="tx1"/>
                  </w14:solidFill>
                </w14:textFill>
              </w:rPr>
              <w:t>。</w:t>
            </w:r>
          </w:p>
          <w:p w14:paraId="476F0A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t>6</w:t>
            </w:r>
            <w:r>
              <w:rPr>
                <w:rFonts w:hint="eastAsia"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环境风险</w:t>
            </w:r>
          </w:p>
          <w:p w14:paraId="7510F65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环境风险评价是对项目建设和运营期间发生的可预测突发事件（一般不包括人为破坏和自然灾害）或事故引起有毒有害、易燃易爆等物质</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泄漏</w:t>
            </w: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，或突发事件产生的新的有毒有害物质，所造成的人身安全和环境的影响进行评估，并提出防范、应急与缓解措施。根据《建设项目环境风险评价技术导则》（HJ 169-2018）的要求，本次环评将着重从风险识别、源项分析、事故后果分析、事故防范措施、事故应急预案等方面对本项目存在的环境风险进行评价；再根据评价结果，对项目提出可行的风险防范措施和建议，达到降低风险性、危害程度，保护环境之目的。</w:t>
            </w:r>
          </w:p>
          <w:p w14:paraId="5EFC9B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本次环境风险评价重点主要对</w:t>
            </w:r>
            <w:r>
              <w:rPr>
                <w:rFonts w:hint="default" w:ascii="Times New Roman" w:hAnsi="Times New Roman" w:cs="Times New Roman"/>
                <w:snapToGrid/>
                <w:color w:val="000000" w:themeColor="text1"/>
                <w:spacing w:val="0"/>
                <w:kern w:val="0"/>
                <w:position w:val="0"/>
                <w:sz w:val="24"/>
                <w:szCs w:val="24"/>
                <w:highlight w:val="none"/>
                <w:lang w:eastAsia="zh-CN"/>
                <w14:textFill>
                  <w14:solidFill>
                    <w14:schemeClr w14:val="tx1"/>
                  </w14:solidFill>
                </w14:textFill>
              </w:rPr>
              <w:t>项目</w:t>
            </w: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运营期间可能存在的危险、有害因素进行分析，并对可能发生的突发性事件及事故所造成的人身安全与环境影响、损害程度，提出合理可行的防范、应急与减缓措施。</w:t>
            </w:r>
          </w:p>
          <w:p w14:paraId="16CF2FA3">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textAlignment w:val="auto"/>
              <w:rPr>
                <w:rFonts w:hint="default"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t>评价依据</w:t>
            </w:r>
            <w:r>
              <w:rPr>
                <w:rFonts w:hint="eastAsia" w:ascii="Times New Roman" w:hAnsi="Times New Roman" w:cs="Times New Roman"/>
                <w:b/>
                <w:bCs/>
                <w:snapToGrid/>
                <w:color w:val="000000" w:themeColor="text1"/>
                <w:spacing w:val="0"/>
                <w:kern w:val="0"/>
                <w:position w:val="0"/>
                <w:sz w:val="24"/>
                <w:szCs w:val="24"/>
                <w:highlight w:val="none"/>
                <w:lang w:val="en-US" w:eastAsia="zh-CN"/>
                <w14:textFill>
                  <w14:solidFill>
                    <w14:schemeClr w14:val="tx1"/>
                  </w14:solidFill>
                </w14:textFill>
              </w:rPr>
              <w:t>：</w:t>
            </w:r>
          </w:p>
          <w:p w14:paraId="381175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eastAsia"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（1）</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物质风险性调查</w:t>
            </w:r>
          </w:p>
          <w:p w14:paraId="44EE65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根据物质风险识别范围主要包括主要原材料及辅助材料、燃料、中间产品、最终产品以及生产过程排放的“三废”污染物等。根据项目原辅材料、产品、中间产品的理化性质，对照 《建设项目环境风险评价技术导则》（HJ169-2018）附录B中重点关注的危险物质进行对比，筛选出本项目的风险物质。</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本项目</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重点关注的危险物质</w:t>
            </w:r>
            <w:r>
              <w:rPr>
                <w:rFonts w:hint="eastAsia" w:cs="Times New Roman"/>
                <w:snapToGrid/>
                <w:color w:val="000000" w:themeColor="text1"/>
                <w:spacing w:val="0"/>
                <w:kern w:val="0"/>
                <w:position w:val="0"/>
                <w:sz w:val="24"/>
                <w:szCs w:val="24"/>
                <w:highlight w:val="none"/>
                <w:lang w:val="en-US" w:eastAsia="zh-CN"/>
                <w14:textFill>
                  <w14:solidFill>
                    <w14:schemeClr w14:val="tx1"/>
                  </w14:solidFill>
                </w14:textFill>
              </w:rPr>
              <w:t>为天然气</w:t>
            </w:r>
            <w:r>
              <w:rPr>
                <w:rFonts w:hint="default" w:ascii="Times New Roman" w:hAnsi="Times New Roman" w:cs="Times New Roman"/>
                <w:snapToGrid/>
                <w:color w:val="000000" w:themeColor="text1"/>
                <w:spacing w:val="0"/>
                <w:kern w:val="0"/>
                <w:position w:val="0"/>
                <w:sz w:val="24"/>
                <w:szCs w:val="24"/>
                <w:highlight w:val="none"/>
                <w:lang w:val="en-US" w:eastAsia="zh-CN"/>
                <w14:textFill>
                  <w14:solidFill>
                    <w14:schemeClr w14:val="tx1"/>
                  </w14:solidFill>
                </w14:textFill>
              </w:rPr>
              <w:t>。</w:t>
            </w:r>
          </w:p>
          <w:p w14:paraId="5FDF3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风险潜势初判</w:t>
            </w:r>
          </w:p>
          <w:p w14:paraId="116805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计算所涉及的每种危险物质在厂界内的最大存在总量与其在《建设项目环境风险评价技术导则》（HJ169-2018）附录B中对应临界量的比值Q。在不同厂区的同一种物质，按其在厂界内的最大存在总量计算。</w:t>
            </w:r>
          </w:p>
          <w:p w14:paraId="26E1C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当只涉及一种危险物质时，计算该物质的总量与其临界量比值，即为Q；</w:t>
            </w:r>
          </w:p>
          <w:p w14:paraId="3AC79C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当存在多种危险物质时，则按下式计算物质总量与其临界量比值Q；</w:t>
            </w:r>
          </w:p>
          <w:p w14:paraId="750F62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center"/>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position w:val="-30"/>
                <w:sz w:val="24"/>
                <w:szCs w:val="24"/>
                <w:highlight w:val="none"/>
                <w:lang w:val="en-US" w:eastAsia="zh-CN"/>
                <w14:textFill>
                  <w14:solidFill>
                    <w14:schemeClr w14:val="tx1"/>
                  </w14:solidFill>
                </w14:textFill>
              </w:rPr>
              <w:object>
                <v:shape id="_x0000_i1030" o:spt="75" type="#_x0000_t75" style="height:34pt;width:100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p>
          <w:p w14:paraId="33B391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式中：q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n</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每种危险废物实际存在量，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t。</w:t>
            </w:r>
          </w:p>
          <w:p w14:paraId="7A52165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…Q</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n</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——与各危险物质相对应的生产场所或贮存区的临界量，t。</w:t>
            </w:r>
          </w:p>
          <w:p w14:paraId="43709059">
            <w:pPr>
              <w:pStyle w:val="29"/>
              <w:keepNext w:val="0"/>
              <w:keepLines w:val="0"/>
              <w:pageBreakBefore w:val="0"/>
              <w:widowControl w:val="0"/>
              <w:numPr>
                <w:ilvl w:val="1"/>
                <w:numId w:val="0"/>
              </w:numPr>
              <w:kinsoku/>
              <w:wordWrap/>
              <w:overflowPunct/>
              <w:topLinePunct w:val="0"/>
              <w:bidi w:val="0"/>
              <w:adjustRightInd w:val="0"/>
              <w:snapToGrid w:val="0"/>
              <w:spacing w:line="360" w:lineRule="auto"/>
              <w:ind w:left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当</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Q&lt;1时，该项目风险潜势为Ⅰ。</w:t>
            </w:r>
          </w:p>
          <w:p w14:paraId="49B37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当Q≥1时，将Q值划分为：（1）1≤Q&lt;10；（2）10≤Q&lt;100；（3）Q≥100。</w:t>
            </w:r>
          </w:p>
          <w:p w14:paraId="538534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依据《建设项目环境风险评价技术导则》（HJ169-2018）附录B.1，甲烷的临界量为10t。本项目天然气采用管道供应，根据资料天然气中甲烷的含量约为85%，管道中留存的天然气以10立方计（天然气的密度约为0.71kg/m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），则甲烷的最大储存量为0.006t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46D1B88">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jc w:val="center"/>
              <w:textAlignment w:val="auto"/>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表</w:t>
            </w:r>
            <w:r>
              <w:rPr>
                <w:rFonts w:hint="eastAsia" w:ascii="Times New Roman" w:hAnsi="Times New Roman" w:cs="Times New Roman"/>
                <w:b/>
                <w:bCs/>
                <w:color w:val="000000" w:themeColor="text1"/>
                <w:kern w:val="2"/>
                <w:sz w:val="24"/>
                <w:szCs w:val="28"/>
                <w:lang w:val="en-US" w:eastAsia="zh-CN" w:bidi="ar-SA"/>
                <w14:textFill>
                  <w14:solidFill>
                    <w14:schemeClr w14:val="tx1"/>
                  </w14:solidFill>
                </w14:textFill>
              </w:rPr>
              <w:t>4.1</w:t>
            </w:r>
            <w:r>
              <w:rPr>
                <w:rFonts w:hint="eastAsia" w:cs="Times New Roman"/>
                <w:b/>
                <w:bCs/>
                <w:color w:val="000000" w:themeColor="text1"/>
                <w:kern w:val="2"/>
                <w:sz w:val="24"/>
                <w:szCs w:val="28"/>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 xml:space="preserve">  危险物质</w:t>
            </w:r>
            <w:r>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t>临界量</w:t>
            </w: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251"/>
              <w:gridCol w:w="2125"/>
              <w:gridCol w:w="1428"/>
              <w:gridCol w:w="1218"/>
            </w:tblGrid>
            <w:tr w14:paraId="655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tcBorders>
                    <w:tl2br w:val="nil"/>
                    <w:tr2bl w:val="nil"/>
                  </w:tcBorders>
                  <w:noWrap w:val="0"/>
                  <w:vAlign w:val="center"/>
                </w:tcPr>
                <w:p w14:paraId="20127CB8">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物质名称</w:t>
                  </w:r>
                </w:p>
              </w:tc>
              <w:tc>
                <w:tcPr>
                  <w:tcW w:w="1251" w:type="dxa"/>
                  <w:tcBorders>
                    <w:tl2br w:val="nil"/>
                    <w:tr2bl w:val="nil"/>
                  </w:tcBorders>
                  <w:noWrap w:val="0"/>
                  <w:vAlign w:val="center"/>
                </w:tcPr>
                <w:p w14:paraId="5763760D">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zh-CN" w:eastAsia="zh-CN"/>
                      <w14:textFill>
                        <w14:solidFill>
                          <w14:schemeClr w14:val="tx1"/>
                        </w14:solidFill>
                      </w14:textFill>
                    </w:rPr>
                    <w:t>CAS号</w:t>
                  </w:r>
                </w:p>
              </w:tc>
              <w:tc>
                <w:tcPr>
                  <w:tcW w:w="2125" w:type="dxa"/>
                  <w:tcBorders>
                    <w:tl2br w:val="nil"/>
                    <w:tr2bl w:val="nil"/>
                  </w:tcBorders>
                  <w:noWrap w:val="0"/>
                  <w:vAlign w:val="center"/>
                </w:tcPr>
                <w:p w14:paraId="44653E3F">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本项目最大储存量，t</w:t>
                  </w:r>
                </w:p>
              </w:tc>
              <w:tc>
                <w:tcPr>
                  <w:tcW w:w="1428" w:type="dxa"/>
                  <w:tcBorders>
                    <w:tl2br w:val="nil"/>
                    <w:tr2bl w:val="nil"/>
                  </w:tcBorders>
                  <w:noWrap w:val="0"/>
                  <w:vAlign w:val="center"/>
                </w:tcPr>
                <w:p w14:paraId="01CBB2F1">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临界量，t</w:t>
                  </w:r>
                </w:p>
              </w:tc>
              <w:tc>
                <w:tcPr>
                  <w:tcW w:w="1218" w:type="dxa"/>
                  <w:tcBorders>
                    <w:tl2br w:val="nil"/>
                    <w:tr2bl w:val="nil"/>
                  </w:tcBorders>
                  <w:noWrap w:val="0"/>
                  <w:vAlign w:val="center"/>
                </w:tcPr>
                <w:p w14:paraId="11C2B9CF">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q/Q</w:t>
                  </w:r>
                </w:p>
              </w:tc>
            </w:tr>
            <w:tr w14:paraId="5FE2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0" w:type="dxa"/>
                  <w:tcBorders>
                    <w:tl2br w:val="nil"/>
                    <w:tr2bl w:val="nil"/>
                  </w:tcBorders>
                  <w:noWrap w:val="0"/>
                  <w:vAlign w:val="center"/>
                </w:tcPr>
                <w:p w14:paraId="76140F38">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天然气</w:t>
                  </w:r>
                  <w:r>
                    <w:rPr>
                      <w:rFonts w:hint="default" w:ascii="Times New Roman" w:hAnsi="Times New Roman" w:cs="Times New Roman"/>
                      <w:color w:val="000000" w:themeColor="text1"/>
                      <w:sz w:val="21"/>
                      <w:szCs w:val="21"/>
                      <w:lang w:eastAsia="zh-CN"/>
                      <w14:textFill>
                        <w14:solidFill>
                          <w14:schemeClr w14:val="tx1"/>
                        </w14:solidFill>
                      </w14:textFill>
                    </w:rPr>
                    <w:t>（甲烷）</w:t>
                  </w:r>
                </w:p>
              </w:tc>
              <w:tc>
                <w:tcPr>
                  <w:tcW w:w="1251" w:type="dxa"/>
                  <w:tcBorders>
                    <w:tl2br w:val="nil"/>
                    <w:tr2bl w:val="nil"/>
                  </w:tcBorders>
                  <w:noWrap w:val="0"/>
                  <w:vAlign w:val="center"/>
                </w:tcPr>
                <w:p w14:paraId="439A07F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vertAlign w:val="baseline"/>
                      <w:lang w:val="en-US" w:eastAsia="zh-CN" w:bidi="ar-SA"/>
                      <w14:textFill>
                        <w14:solidFill>
                          <w14:schemeClr w14:val="tx1"/>
                        </w14:solidFill>
                      </w14:textFill>
                    </w:rPr>
                    <w:t>74-82-8</w:t>
                  </w:r>
                </w:p>
              </w:tc>
              <w:tc>
                <w:tcPr>
                  <w:tcW w:w="2125" w:type="dxa"/>
                  <w:tcBorders>
                    <w:tl2br w:val="nil"/>
                    <w:tr2bl w:val="nil"/>
                  </w:tcBorders>
                  <w:noWrap w:val="0"/>
                  <w:vAlign w:val="center"/>
                </w:tcPr>
                <w:p w14:paraId="19857032">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color w:val="000000" w:themeColor="text1"/>
                      <w:kern w:val="2"/>
                      <w:sz w:val="21"/>
                      <w:szCs w:val="21"/>
                      <w:highlight w:val="none"/>
                      <w:vertAlign w:val="baseline"/>
                      <w:lang w:val="en-US" w:eastAsia="zh-CN" w:bidi="ar-SA"/>
                      <w14:textFill>
                        <w14:solidFill>
                          <w14:schemeClr w14:val="tx1"/>
                        </w14:solidFill>
                      </w14:textFill>
                    </w:rPr>
                    <w:t>0.006</w:t>
                  </w:r>
                </w:p>
              </w:tc>
              <w:tc>
                <w:tcPr>
                  <w:tcW w:w="1428" w:type="dxa"/>
                  <w:tcBorders>
                    <w:tl2br w:val="nil"/>
                    <w:tr2bl w:val="nil"/>
                  </w:tcBorders>
                  <w:noWrap w:val="0"/>
                  <w:vAlign w:val="center"/>
                </w:tcPr>
                <w:p w14:paraId="57737479">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10</w:t>
                  </w:r>
                </w:p>
              </w:tc>
              <w:tc>
                <w:tcPr>
                  <w:tcW w:w="1218" w:type="dxa"/>
                  <w:tcBorders>
                    <w:tl2br w:val="nil"/>
                    <w:tr2bl w:val="nil"/>
                  </w:tcBorders>
                  <w:noWrap w:val="0"/>
                  <w:vAlign w:val="center"/>
                </w:tcPr>
                <w:p w14:paraId="75935AFA">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before="63" w:beforeLines="20" w:line="240" w:lineRule="auto"/>
                    <w:ind w:leftChars="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sz w:val="21"/>
                      <w:szCs w:val="21"/>
                      <w:highlight w:val="none"/>
                      <w:vertAlign w:val="baseline"/>
                      <w:lang w:val="en-US" w:eastAsia="zh-CN"/>
                      <w14:textFill>
                        <w14:solidFill>
                          <w14:schemeClr w14:val="tx1"/>
                        </w14:solidFill>
                      </w14:textFill>
                    </w:rPr>
                    <w:t>0.0006</w:t>
                  </w:r>
                </w:p>
              </w:tc>
            </w:tr>
          </w:tbl>
          <w:p w14:paraId="137E15D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经计算</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本项目Q=</w:t>
            </w:r>
            <w:r>
              <w:rPr>
                <w:rFonts w:hint="eastAsia" w:cs="Times New Roman"/>
                <w:color w:val="000000" w:themeColor="text1"/>
                <w:sz w:val="24"/>
                <w:szCs w:val="24"/>
                <w:highlight w:val="none"/>
                <w:lang w:val="en-US" w:eastAsia="zh-CN"/>
                <w14:textFill>
                  <w14:solidFill>
                    <w14:schemeClr w14:val="tx1"/>
                  </w14:solidFill>
                </w14:textFill>
              </w:rPr>
              <w:t>0.0006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&lt;1。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根据《建设项目环境风险评价技术导则》（HJ/T169-2018），当Q&lt;1时，该项目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环境</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风险潜势为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，进行简单分析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2A945F93">
            <w:pPr>
              <w:pStyle w:val="29"/>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Chars="200"/>
              <w:textAlignment w:val="auto"/>
              <w:rPr>
                <w:rFonts w:hint="eastAsia"/>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（3）环境风险分析</w:t>
            </w:r>
          </w:p>
          <w:p w14:paraId="0A0DF230">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天然气主要成分为甲烷，还掺杂一些简单的烷烃，这些组分都是易燃易爆的气体，天然气的爆炸下限为5%，极易发生爆炸事故。燃气锅炉火灾爆炸的发生通常要具备三个条件，即可燃气体处于其爆炸极限范围内，有火源存在，在一定的容器内。防止燃气锅炉的火灾爆炸就是使上面的三个条件不能满足。在预防方面采取多种因素共同控制的方法，降低事故发生几率。对燃气锅炉操作人员严格要求，保证操作正确，确保锅炉的正常工况，进一步降低燃气锅炉的火灾爆炸危险性</w:t>
            </w:r>
            <w:r>
              <w:rPr>
                <w:rFonts w:hint="eastAsia"/>
                <w:b w:val="0"/>
                <w:bCs/>
                <w:color w:val="000000" w:themeColor="text1"/>
                <w:sz w:val="24"/>
                <w:lang w:val="en-US" w:eastAsia="zh-CN"/>
                <w14:textFill>
                  <w14:solidFill>
                    <w14:schemeClr w14:val="tx1"/>
                  </w14:solidFill>
                </w14:textFill>
              </w:rPr>
              <w:t>。</w:t>
            </w:r>
          </w:p>
          <w:p w14:paraId="09DFAF5F">
            <w:pPr>
              <w:pStyle w:val="9"/>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表</w:t>
            </w:r>
            <w:r>
              <w:rPr>
                <w:rFonts w:hint="eastAsia" w:ascii="Times New Roman" w:hAnsi="Times New Roman" w:eastAsia="宋体"/>
                <w:b/>
                <w:bCs/>
                <w:color w:val="000000" w:themeColor="text1"/>
                <w:sz w:val="24"/>
                <w:szCs w:val="24"/>
                <w:lang w:val="en-US" w:eastAsia="zh-CN"/>
                <w14:textFill>
                  <w14:solidFill>
                    <w14:schemeClr w14:val="tx1"/>
                  </w14:solidFill>
                </w14:textFill>
              </w:rPr>
              <w:t>4.12</w:t>
            </w:r>
            <w:r>
              <w:rPr>
                <w:rFonts w:hint="eastAsia" w:ascii="Times New Roman" w:hAnsi="Times New Roman" w:eastAsia="宋体"/>
                <w:b/>
                <w:bCs/>
                <w:color w:val="000000" w:themeColor="text1"/>
                <w:sz w:val="24"/>
                <w:szCs w:val="24"/>
                <w14:textFill>
                  <w14:solidFill>
                    <w14:schemeClr w14:val="tx1"/>
                  </w14:solidFill>
                </w14:textFill>
              </w:rPr>
              <w:t xml:space="preserve">  </w:t>
            </w:r>
            <w:r>
              <w:rPr>
                <w:rFonts w:ascii="Times New Roman" w:hAnsi="Times New Roman" w:eastAsia="宋体"/>
                <w:b/>
                <w:bCs/>
                <w:color w:val="000000" w:themeColor="text1"/>
                <w:sz w:val="24"/>
                <w:szCs w:val="24"/>
                <w14:textFill>
                  <w14:solidFill>
                    <w14:schemeClr w14:val="tx1"/>
                  </w14:solidFill>
                </w14:textFill>
              </w:rPr>
              <w:t>天然气的理化性质及危险特性表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191"/>
              <w:gridCol w:w="2085"/>
              <w:gridCol w:w="2259"/>
            </w:tblGrid>
            <w:tr w14:paraId="2A19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restart"/>
                  <w:noWrap w:val="0"/>
                  <w:vAlign w:val="center"/>
                </w:tcPr>
                <w:p w14:paraId="561D356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标识</w:t>
                  </w:r>
                </w:p>
              </w:tc>
              <w:tc>
                <w:tcPr>
                  <w:tcW w:w="3602" w:type="dxa"/>
                  <w:noWrap w:val="0"/>
                  <w:vAlign w:val="center"/>
                </w:tcPr>
                <w:p w14:paraId="7E6992EF">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中文名：天然气</w:t>
                  </w:r>
                </w:p>
              </w:tc>
              <w:tc>
                <w:tcPr>
                  <w:tcW w:w="4877" w:type="dxa"/>
                  <w:gridSpan w:val="2"/>
                  <w:noWrap w:val="0"/>
                  <w:vAlign w:val="center"/>
                </w:tcPr>
                <w:p w14:paraId="7C0D4CD2">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危险货物编号：21007</w:t>
                  </w:r>
                </w:p>
              </w:tc>
            </w:tr>
            <w:tr w14:paraId="459C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76E1F8C1">
                  <w:pPr>
                    <w:rPr>
                      <w:bCs/>
                      <w:color w:val="000000" w:themeColor="text1"/>
                      <w14:textFill>
                        <w14:solidFill>
                          <w14:schemeClr w14:val="tx1"/>
                        </w14:solidFill>
                      </w14:textFill>
                    </w:rPr>
                  </w:pPr>
                </w:p>
              </w:tc>
              <w:tc>
                <w:tcPr>
                  <w:tcW w:w="3602" w:type="dxa"/>
                  <w:noWrap w:val="0"/>
                  <w:vAlign w:val="center"/>
                </w:tcPr>
                <w:p w14:paraId="487AE5C0">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英文名：Naturalgas</w:t>
                  </w:r>
                </w:p>
              </w:tc>
              <w:tc>
                <w:tcPr>
                  <w:tcW w:w="4877" w:type="dxa"/>
                  <w:gridSpan w:val="2"/>
                  <w:noWrap w:val="0"/>
                  <w:vAlign w:val="center"/>
                </w:tcPr>
                <w:p w14:paraId="3A5A8F61">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UN编号：1971</w:t>
                  </w:r>
                </w:p>
              </w:tc>
            </w:tr>
            <w:tr w14:paraId="2D52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3067717A">
                  <w:pPr>
                    <w:rPr>
                      <w:bCs/>
                      <w:color w:val="000000" w:themeColor="text1"/>
                      <w14:textFill>
                        <w14:solidFill>
                          <w14:schemeClr w14:val="tx1"/>
                        </w14:solidFill>
                      </w14:textFill>
                    </w:rPr>
                  </w:pPr>
                </w:p>
              </w:tc>
              <w:tc>
                <w:tcPr>
                  <w:tcW w:w="3602" w:type="dxa"/>
                  <w:noWrap w:val="0"/>
                  <w:vAlign w:val="center"/>
                </w:tcPr>
                <w:p w14:paraId="4CB6055F">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分子式：</w:t>
                  </w:r>
                  <w:r>
                    <w:rPr>
                      <w:rFonts w:hint="eastAsia" w:ascii="Times New Roman" w:hAnsi="Times New Roman" w:cs="Times New Roman"/>
                      <w:bCs/>
                      <w:color w:val="000000" w:themeColor="text1"/>
                      <w:szCs w:val="21"/>
                      <w14:textFill>
                        <w14:solidFill>
                          <w14:schemeClr w14:val="tx1"/>
                        </w14:solidFill>
                      </w14:textFill>
                    </w:rPr>
                    <w:t>/</w:t>
                  </w:r>
                </w:p>
              </w:tc>
              <w:tc>
                <w:tcPr>
                  <w:tcW w:w="4877" w:type="dxa"/>
                  <w:gridSpan w:val="2"/>
                  <w:noWrap w:val="0"/>
                  <w:vAlign w:val="center"/>
                </w:tcPr>
                <w:p w14:paraId="00AA1E76">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CAS号：74-82-8</w:t>
                  </w:r>
                </w:p>
              </w:tc>
            </w:tr>
            <w:tr w14:paraId="7D10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restart"/>
                  <w:noWrap w:val="0"/>
                  <w:vAlign w:val="center"/>
                </w:tcPr>
                <w:p w14:paraId="40CDE23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化学</w:t>
                  </w:r>
                </w:p>
                <w:p w14:paraId="495404C6">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性质</w:t>
                  </w:r>
                </w:p>
              </w:tc>
              <w:tc>
                <w:tcPr>
                  <w:tcW w:w="3602" w:type="dxa"/>
                  <w:noWrap w:val="0"/>
                  <w:vAlign w:val="center"/>
                </w:tcPr>
                <w:p w14:paraId="768FBF6B">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外观与性状：无色、无臭气体</w:t>
                  </w:r>
                </w:p>
              </w:tc>
              <w:tc>
                <w:tcPr>
                  <w:tcW w:w="2340" w:type="dxa"/>
                  <w:noWrap w:val="0"/>
                  <w:vAlign w:val="center"/>
                </w:tcPr>
                <w:p w14:paraId="4B6F227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沸点</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：-161.5</w:t>
                  </w:r>
                </w:p>
              </w:tc>
              <w:tc>
                <w:tcPr>
                  <w:tcW w:w="2537" w:type="dxa"/>
                  <w:noWrap w:val="0"/>
                  <w:vAlign w:val="center"/>
                </w:tcPr>
                <w:p w14:paraId="20D286F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熔点</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：-182.5</w:t>
                  </w:r>
                </w:p>
              </w:tc>
            </w:tr>
            <w:tr w14:paraId="66CF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7BA46653">
                  <w:pPr>
                    <w:rPr>
                      <w:bCs/>
                      <w:color w:val="000000" w:themeColor="text1"/>
                      <w14:textFill>
                        <w14:solidFill>
                          <w14:schemeClr w14:val="tx1"/>
                        </w14:solidFill>
                      </w14:textFill>
                    </w:rPr>
                  </w:pPr>
                </w:p>
              </w:tc>
              <w:tc>
                <w:tcPr>
                  <w:tcW w:w="3602" w:type="dxa"/>
                  <w:noWrap w:val="0"/>
                  <w:vAlign w:val="center"/>
                </w:tcPr>
                <w:p w14:paraId="1933B3BB">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相对蒸汽密度</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空气=1</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：0.55</w:t>
                  </w:r>
                </w:p>
                <w:p w14:paraId="7A2590A9">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相对密度</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水=1</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：0.42</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-164℃</w:t>
                  </w:r>
                  <w:r>
                    <w:rPr>
                      <w:rFonts w:hint="eastAsia" w:ascii="Times New Roman" w:hAnsi="Times New Roman" w:cs="Times New Roman"/>
                      <w:bCs/>
                      <w:color w:val="000000" w:themeColor="text1"/>
                      <w:szCs w:val="21"/>
                      <w14:textFill>
                        <w14:solidFill>
                          <w14:schemeClr w14:val="tx1"/>
                        </w14:solidFill>
                      </w14:textFill>
                    </w:rPr>
                    <w:t>）</w:t>
                  </w:r>
                </w:p>
              </w:tc>
              <w:tc>
                <w:tcPr>
                  <w:tcW w:w="2340" w:type="dxa"/>
                  <w:noWrap w:val="0"/>
                  <w:vAlign w:val="center"/>
                </w:tcPr>
                <w:p w14:paraId="707E89E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闪点</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：-188</w:t>
                  </w:r>
                </w:p>
              </w:tc>
              <w:tc>
                <w:tcPr>
                  <w:tcW w:w="2537" w:type="dxa"/>
                  <w:noWrap w:val="0"/>
                  <w:vAlign w:val="center"/>
                </w:tcPr>
                <w:p w14:paraId="6BAF295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爆炸极限%</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V/V</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：5.3-15</w:t>
                  </w:r>
                </w:p>
              </w:tc>
            </w:tr>
            <w:tr w14:paraId="0D1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vMerge w:val="continue"/>
                  <w:noWrap w:val="0"/>
                  <w:vAlign w:val="center"/>
                </w:tcPr>
                <w:p w14:paraId="0538CA4F">
                  <w:pPr>
                    <w:rPr>
                      <w:bCs/>
                      <w:color w:val="000000" w:themeColor="text1"/>
                      <w14:textFill>
                        <w14:solidFill>
                          <w14:schemeClr w14:val="tx1"/>
                        </w14:solidFill>
                      </w14:textFill>
                    </w:rPr>
                  </w:pPr>
                </w:p>
              </w:tc>
              <w:tc>
                <w:tcPr>
                  <w:tcW w:w="3602" w:type="dxa"/>
                  <w:noWrap w:val="0"/>
                  <w:vAlign w:val="center"/>
                </w:tcPr>
                <w:p w14:paraId="0145AD47">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饱和蒸汽压</w:t>
                  </w:r>
                  <w:r>
                    <w:rPr>
                      <w:rFonts w:hint="eastAsia" w:ascii="Times New Roman" w:hAnsi="Times New Roman" w:cs="Times New Roman"/>
                      <w:bCs/>
                      <w:color w:val="000000" w:themeColor="text1"/>
                      <w:szCs w:val="21"/>
                      <w14:textFill>
                        <w14:solidFill>
                          <w14:schemeClr w14:val="tx1"/>
                        </w14:solidFill>
                      </w14:textFill>
                    </w:rPr>
                    <w:t>（kPa）</w:t>
                  </w:r>
                  <w:r>
                    <w:rPr>
                      <w:rFonts w:ascii="Times New Roman" w:hAnsi="Times New Roman" w:cs="Times New Roman"/>
                      <w:bCs/>
                      <w:color w:val="000000" w:themeColor="text1"/>
                      <w:szCs w:val="21"/>
                      <w14:textFill>
                        <w14:solidFill>
                          <w14:schemeClr w14:val="tx1"/>
                        </w14:solidFill>
                      </w14:textFill>
                    </w:rPr>
                    <w:t>：53.32</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-168.8℃</w:t>
                  </w:r>
                  <w:r>
                    <w:rPr>
                      <w:rFonts w:hint="eastAsia" w:ascii="Times New Roman" w:hAnsi="Times New Roman" w:cs="Times New Roman"/>
                      <w:bCs/>
                      <w:color w:val="000000" w:themeColor="text1"/>
                      <w:szCs w:val="21"/>
                      <w14:textFill>
                        <w14:solidFill>
                          <w14:schemeClr w14:val="tx1"/>
                        </w14:solidFill>
                      </w14:textFill>
                    </w:rPr>
                    <w:t>）</w:t>
                  </w:r>
                </w:p>
              </w:tc>
              <w:tc>
                <w:tcPr>
                  <w:tcW w:w="2340" w:type="dxa"/>
                  <w:noWrap w:val="0"/>
                  <w:vAlign w:val="center"/>
                </w:tcPr>
                <w:p w14:paraId="3FBE6054">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临界温度</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：-82.6</w:t>
                  </w:r>
                </w:p>
                <w:p w14:paraId="5D69632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临界压力</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MPa</w:t>
                  </w:r>
                  <w:r>
                    <w:rPr>
                      <w:rFonts w:hint="eastAsia"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：4.59</w:t>
                  </w:r>
                </w:p>
              </w:tc>
              <w:tc>
                <w:tcPr>
                  <w:tcW w:w="2537" w:type="dxa"/>
                  <w:noWrap w:val="0"/>
                  <w:vAlign w:val="center"/>
                </w:tcPr>
                <w:p w14:paraId="3B03126A">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有害燃烧产物：一氧化碳、二氧化碳</w:t>
                  </w:r>
                </w:p>
              </w:tc>
            </w:tr>
            <w:tr w14:paraId="5840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3939551">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健康</w:t>
                  </w:r>
                </w:p>
                <w:p w14:paraId="5556801F">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危害</w:t>
                  </w:r>
                </w:p>
              </w:tc>
              <w:tc>
                <w:tcPr>
                  <w:tcW w:w="8479" w:type="dxa"/>
                  <w:gridSpan w:val="3"/>
                  <w:noWrap w:val="0"/>
                  <w:vAlign w:val="center"/>
                </w:tcPr>
                <w:p w14:paraId="5C0EE6DE">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甲烷对人基本无毒，但浓度过高时，使空气中氧含量明显降低，使人窒息。当空气中甲烷达25</w:t>
                  </w:r>
                  <w:r>
                    <w:rPr>
                      <w:rFonts w:hint="eastAsia" w:ascii="Times New Roman" w:hAnsi="Times New Roman" w:cs="Times New Roman"/>
                      <w:bCs/>
                      <w:color w:val="000000" w:themeColor="text1"/>
                      <w:szCs w:val="21"/>
                      <w:lang w:val="en-US" w:eastAsia="zh-CN"/>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～30</w:t>
                  </w:r>
                  <w:r>
                    <w:rPr>
                      <w:rFonts w:hint="eastAsia" w:ascii="Times New Roman" w:hAnsi="Times New Roman" w:cs="Times New Roman"/>
                      <w:bCs/>
                      <w:color w:val="000000" w:themeColor="text1"/>
                      <w:szCs w:val="21"/>
                      <w:lang w:val="en-US" w:eastAsia="zh-CN"/>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时，可引起头痛、头晕、乏力、注意力不集中、呼吸和心跳加速、共济失调。若不及时脱离，可致窒息死亡。皮肤接触液化本品，可致冻伤。</w:t>
                  </w:r>
                </w:p>
              </w:tc>
            </w:tr>
            <w:tr w14:paraId="2DC6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39ACA131">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危险</w:t>
                  </w:r>
                </w:p>
                <w:p w14:paraId="6553866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特性</w:t>
                  </w:r>
                </w:p>
              </w:tc>
              <w:tc>
                <w:tcPr>
                  <w:tcW w:w="8479" w:type="dxa"/>
                  <w:gridSpan w:val="3"/>
                  <w:noWrap w:val="0"/>
                  <w:vAlign w:val="center"/>
                </w:tcPr>
                <w:p w14:paraId="6E189F19">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易燃，与空气混合能形成爆炸性混合物，遇热源和明火有</w:t>
                  </w:r>
                  <w:r>
                    <w:rPr>
                      <w:rFonts w:hint="eastAsia" w:ascii="Times New Roman" w:hAnsi="Times New Roman" w:cs="Times New Roman"/>
                      <w:bCs/>
                      <w:color w:val="000000" w:themeColor="text1"/>
                      <w:szCs w:val="21"/>
                      <w14:textFill>
                        <w14:solidFill>
                          <w14:schemeClr w14:val="tx1"/>
                        </w14:solidFill>
                      </w14:textFill>
                    </w:rPr>
                    <w:t>火灾爆炸</w:t>
                  </w:r>
                  <w:r>
                    <w:rPr>
                      <w:rFonts w:ascii="Times New Roman" w:hAnsi="Times New Roman" w:cs="Times New Roman"/>
                      <w:bCs/>
                      <w:color w:val="000000" w:themeColor="text1"/>
                      <w:szCs w:val="21"/>
                      <w14:textFill>
                        <w14:solidFill>
                          <w14:schemeClr w14:val="tx1"/>
                        </w14:solidFill>
                      </w14:textFill>
                    </w:rPr>
                    <w:t>的危险。与五氧化溴、氯气、次氯酸、三氟化氮、液氧、二氟化氧及其它强氧化剂接触剧烈反。</w:t>
                  </w:r>
                </w:p>
              </w:tc>
            </w:tr>
            <w:tr w14:paraId="5671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704AC82B">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防护</w:t>
                  </w:r>
                </w:p>
                <w:p w14:paraId="2E1D0EF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措施</w:t>
                  </w:r>
                </w:p>
              </w:tc>
              <w:tc>
                <w:tcPr>
                  <w:tcW w:w="8479" w:type="dxa"/>
                  <w:gridSpan w:val="3"/>
                  <w:noWrap w:val="0"/>
                  <w:vAlign w:val="center"/>
                </w:tcPr>
                <w:p w14:paraId="37EE014E">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工程控制：生产过程密闭，全面通风。</w:t>
                  </w:r>
                </w:p>
                <w:p w14:paraId="133BFC4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呼吸系统防护：一般不需要特殊防护，但建议特殊情况下，佩戴自吸过滤式防毒面具（半面罩）。</w:t>
                  </w:r>
                </w:p>
                <w:p w14:paraId="34E4C8E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眼睛防护：一般不需要特殊防护，高浓度接触时可戴安全防护眼镜。</w:t>
                  </w:r>
                </w:p>
                <w:p w14:paraId="55FE656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身体防护：穿防静电工作服。</w:t>
                  </w:r>
                </w:p>
                <w:p w14:paraId="1BCD6E4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手防护：戴一般作业防护手套。</w:t>
                  </w:r>
                </w:p>
                <w:p w14:paraId="2A0515B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其他防护：工作现场严禁吸烟。避免长期反复接触。进入罐、限制性空间或其它高浓度区作业，须有人监护。</w:t>
                  </w:r>
                </w:p>
              </w:tc>
            </w:tr>
            <w:tr w14:paraId="2C81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0F5AB79">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灭火方法</w:t>
                  </w:r>
                </w:p>
              </w:tc>
              <w:tc>
                <w:tcPr>
                  <w:tcW w:w="8479" w:type="dxa"/>
                  <w:gridSpan w:val="3"/>
                  <w:noWrap w:val="0"/>
                  <w:vAlign w:val="center"/>
                </w:tcPr>
                <w:p w14:paraId="72A0E3A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切断气源。若不能切断气源，则不允许熄灭泄漏处的火焰。喷水冷却容器，可能的话将容器从火场移至空旷处。灭火剂：雾状水、泡沫、二氧化碳、干粉。</w:t>
                  </w:r>
                </w:p>
              </w:tc>
            </w:tr>
            <w:tr w14:paraId="0696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BA81C44">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急救</w:t>
                  </w:r>
                </w:p>
              </w:tc>
              <w:tc>
                <w:tcPr>
                  <w:tcW w:w="8479" w:type="dxa"/>
                  <w:gridSpan w:val="3"/>
                  <w:noWrap w:val="0"/>
                  <w:vAlign w:val="center"/>
                </w:tcPr>
                <w:p w14:paraId="44EAE9B4">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皮肤接触：若有冻伤，就医治疗。</w:t>
                  </w:r>
                </w:p>
                <w:p w14:paraId="6136CA5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吸入：迅速脱离现场至空气新鲜处。保持呼吸道通畅。如呼吸困难，给输氧。如呼吸停止，立即进行人工呼吸。就医。</w:t>
                  </w:r>
                </w:p>
              </w:tc>
            </w:tr>
            <w:tr w14:paraId="7B15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1B987743">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泄漏急处理</w:t>
                  </w:r>
                </w:p>
              </w:tc>
              <w:tc>
                <w:tcPr>
                  <w:tcW w:w="8479" w:type="dxa"/>
                  <w:gridSpan w:val="3"/>
                  <w:noWrap w:val="0"/>
                  <w:vAlign w:val="center"/>
                </w:tcPr>
                <w:p w14:paraId="6CD04C2D">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迅速撤离泄漏污染区人员至上风处，并进行隔离，严格限制出入。切断火源。建议急处理人员戴自给正压式呼吸器，穿防静电工作服。尽可能切断泄漏源。合理通风，加速扩散。喷雾状水稀释、熔解。构筑围堤或挖坑收容产生的大量废水。如有可能，将漏出气用排风机送至空旷地方或装设适当喷头烧掉。也可以将漏气的容器移至空旷处，注意通风。漏气容器要妥善处理，修复、检验后再用。</w:t>
                  </w:r>
                </w:p>
              </w:tc>
            </w:tr>
            <w:tr w14:paraId="6C45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4" w:type="dxa"/>
                  <w:noWrap w:val="0"/>
                  <w:vAlign w:val="center"/>
                </w:tcPr>
                <w:p w14:paraId="0FE6794C">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操作处置与储存</w:t>
                  </w:r>
                </w:p>
              </w:tc>
              <w:tc>
                <w:tcPr>
                  <w:tcW w:w="8479" w:type="dxa"/>
                  <w:gridSpan w:val="3"/>
                  <w:noWrap w:val="0"/>
                  <w:vAlign w:val="center"/>
                </w:tcPr>
                <w:p w14:paraId="51FAACE3">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操作注意事项：密闭操作，全面通风。操作人员必须经过专门培训，严格遵守操作规程。远离火种、热源，工作场所严禁吸烟。使用防爆型的通风系统和设备。防止气体泄漏到工作场所空气中。避免与氧化剂接触。在传送过程中，钢瓶和容器必须接地和跨接，防止产生静电。搬运时轻装轻卸，防止钢瓶及附件破损。配备相品种和数量的消防器材及泄漏急处理设备。</w:t>
                  </w:r>
                </w:p>
                <w:p w14:paraId="1208E055">
                  <w:pPr>
                    <w:pStyle w:val="55"/>
                    <w:adjustRightInd w:val="0"/>
                    <w:snapToGrid w:val="0"/>
                    <w:spacing w:line="240" w:lineRule="auto"/>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储存注意事项：储存于阴凉、通风的库房。远离火种、热源。库温不宜超过30℃。与氧化剂等分开存放，切忌混储。采用防爆型照明、通风设施。禁止使用易产生火花的机械设备和工具。储区备有泄漏急处理设备。</w:t>
                  </w:r>
                </w:p>
              </w:tc>
            </w:tr>
          </w:tbl>
          <w:p w14:paraId="46CEC628">
            <w:pPr>
              <w:pStyle w:val="11"/>
              <w:keepNext w:val="0"/>
              <w:keepLines w:val="0"/>
              <w:pageBreakBefore w:val="0"/>
              <w:widowControl/>
              <w:kinsoku/>
              <w:wordWrap/>
              <w:overflowPunct/>
              <w:topLinePunct w:val="0"/>
              <w:autoSpaceDE/>
              <w:autoSpaceDN/>
              <w:bidi w:val="0"/>
              <w:adjustRightInd w:val="0"/>
              <w:snapToGrid w:val="0"/>
              <w:spacing w:before="157" w:beforeLines="50" w:after="0" w:line="360" w:lineRule="auto"/>
              <w:ind w:right="0" w:firstLine="480" w:firstLineChars="200"/>
              <w:textAlignment w:val="auto"/>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本项目所用燃料为天然气，本项目环境风险源主要为天然气管道泄漏火灾事故。</w:t>
            </w:r>
          </w:p>
          <w:p w14:paraId="7D18404D">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1</w:t>
            </w:r>
            <w:r>
              <w:rPr>
                <w:rFonts w:hint="eastAsia" w:eastAsia="宋体"/>
                <w:b w:val="0"/>
                <w:bCs w:val="0"/>
                <w:color w:val="000000" w:themeColor="text1"/>
                <w:sz w:val="24"/>
                <w:szCs w:val="24"/>
                <w:lang w:eastAsia="zh-CN"/>
                <w14:textFill>
                  <w14:solidFill>
                    <w14:schemeClr w14:val="tx1"/>
                  </w14:solidFill>
                </w14:textFill>
              </w:rPr>
              <w:t>）</w:t>
            </w:r>
            <w:r>
              <w:rPr>
                <w:rFonts w:hint="eastAsia" w:eastAsia="宋体"/>
                <w:b w:val="0"/>
                <w:bCs w:val="0"/>
                <w:color w:val="000000" w:themeColor="text1"/>
                <w:sz w:val="24"/>
                <w:szCs w:val="24"/>
                <w14:textFill>
                  <w14:solidFill>
                    <w14:schemeClr w14:val="tx1"/>
                  </w14:solidFill>
                </w14:textFill>
              </w:rPr>
              <w:t>发生火灾时，火场的温度很高，辐射热强烈，且火灾蔓延速度快。如抢救不及时，会迅速危害到原材料、产成品及机械设备等，进而给企业造成人力、物力及财力的极大损失。</w:t>
            </w:r>
          </w:p>
          <w:p w14:paraId="5115C504">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eastAsia="宋体"/>
                <w:b w:val="0"/>
                <w:bCs w:val="0"/>
                <w:color w:val="000000" w:themeColor="text1"/>
                <w:sz w:val="24"/>
                <w:szCs w:val="24"/>
                <w14:textFill>
                  <w14:solidFill>
                    <w14:schemeClr w14:val="tx1"/>
                  </w14:solidFill>
                </w14:textFill>
              </w:rPr>
            </w:pPr>
            <w:r>
              <w:rPr>
                <w:rFonts w:hint="eastAsia" w:eastAsia="宋体"/>
                <w:b w:val="0"/>
                <w:bCs w:val="0"/>
                <w:color w:val="000000" w:themeColor="text1"/>
                <w:sz w:val="24"/>
                <w:szCs w:val="24"/>
                <w14:textFill>
                  <w14:solidFill>
                    <w14:schemeClr w14:val="tx1"/>
                  </w14:solidFill>
                </w14:textFill>
              </w:rPr>
              <w:t>2</w:t>
            </w:r>
            <w:r>
              <w:rPr>
                <w:rFonts w:hint="eastAsia" w:eastAsia="宋体"/>
                <w:b w:val="0"/>
                <w:bCs w:val="0"/>
                <w:color w:val="000000" w:themeColor="text1"/>
                <w:sz w:val="24"/>
                <w:szCs w:val="24"/>
                <w:lang w:eastAsia="zh-CN"/>
                <w14:textFill>
                  <w14:solidFill>
                    <w14:schemeClr w14:val="tx1"/>
                  </w14:solidFill>
                </w14:textFill>
              </w:rPr>
              <w:t>）</w:t>
            </w:r>
            <w:r>
              <w:rPr>
                <w:rFonts w:hint="eastAsia" w:eastAsia="宋体"/>
                <w:b w:val="0"/>
                <w:bCs w:val="0"/>
                <w:color w:val="000000" w:themeColor="text1"/>
                <w:sz w:val="24"/>
                <w:szCs w:val="24"/>
                <w14:textFill>
                  <w14:solidFill>
                    <w14:schemeClr w14:val="tx1"/>
                  </w14:solidFill>
                </w14:textFill>
              </w:rPr>
              <w:t>项目存在一般的安全隐患，如电线短路或老化、雷击、引起的火灾事故等。这些事故中，火灾风险防范为重中之重。可以引起火灾的因素较多，如电器设备多，维护管理和使用不当，明火管理不当、吸烟、机械故障或施工操作不当气等，可以说火灾的潜伏性和可能性是很大的，具有较大的危害性。</w:t>
            </w:r>
          </w:p>
          <w:p w14:paraId="72B32ABE">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3）火灾危险性预防措施</w:t>
            </w:r>
          </w:p>
          <w:p w14:paraId="5E17238A">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①</w:t>
            </w:r>
            <w:r>
              <w:rPr>
                <w:rFonts w:hint="default" w:ascii="Times New Roman" w:hAnsi="Times New Roman" w:cs="Times New Roman"/>
                <w:b w:val="0"/>
                <w:bCs/>
                <w:color w:val="000000" w:themeColor="text1"/>
                <w:sz w:val="24"/>
                <w:lang w:val="en-US" w:eastAsia="zh-CN"/>
                <w14:textFill>
                  <w14:solidFill>
                    <w14:schemeClr w14:val="tx1"/>
                  </w14:solidFill>
                </w14:textFill>
              </w:rPr>
              <w:t>锅炉质量要求</w:t>
            </w:r>
          </w:p>
          <w:p w14:paraId="5F936D3E">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锅炉的设计、制造、安装、运行、检修、改造、检验等必须符合《蒸汽锅炉安全技术监察规程》及《热水锅炉安全技术监察规程》等的规定。</w:t>
            </w:r>
          </w:p>
          <w:p w14:paraId="309A601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②</w:t>
            </w:r>
            <w:r>
              <w:rPr>
                <w:rFonts w:hint="default" w:ascii="Times New Roman" w:hAnsi="Times New Roman" w:cs="Times New Roman"/>
                <w:b w:val="0"/>
                <w:bCs/>
                <w:color w:val="000000" w:themeColor="text1"/>
                <w:sz w:val="24"/>
                <w:lang w:val="en-US" w:eastAsia="zh-CN"/>
                <w14:textFill>
                  <w14:solidFill>
                    <w14:schemeClr w14:val="tx1"/>
                  </w14:solidFill>
                </w14:textFill>
              </w:rPr>
              <w:t>点火时的防火措施</w:t>
            </w:r>
          </w:p>
          <w:p w14:paraId="11A15D5B">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A.</w:t>
            </w:r>
            <w:r>
              <w:rPr>
                <w:rFonts w:hint="default" w:ascii="Times New Roman" w:hAnsi="Times New Roman" w:cs="Times New Roman"/>
                <w:b w:val="0"/>
                <w:bCs/>
                <w:color w:val="000000" w:themeColor="text1"/>
                <w:sz w:val="24"/>
                <w:lang w:val="en-US" w:eastAsia="zh-CN"/>
                <w14:textFill>
                  <w14:solidFill>
                    <w14:schemeClr w14:val="tx1"/>
                  </w14:solidFill>
                </w14:textFill>
              </w:rPr>
              <w:t>在点火前，由于燃气锅炉内已经充满了残留的可燃气体，所以在点火前，要做到先启动送、引风机强制通风5-10分钟，充分进行炉膛内的气体置换，清除炉膛内的可燃气体才能正常点火升压，一次点火未成功需要重新点火时，一定要在点火前再次给炉膛通风，充分清除可燃气体。</w:t>
            </w:r>
          </w:p>
          <w:p w14:paraId="584E2007">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B.</w:t>
            </w:r>
            <w:r>
              <w:rPr>
                <w:rFonts w:hint="default" w:ascii="Times New Roman" w:hAnsi="Times New Roman" w:cs="Times New Roman"/>
                <w:b w:val="0"/>
                <w:bCs/>
                <w:color w:val="000000" w:themeColor="text1"/>
                <w:sz w:val="24"/>
                <w:lang w:val="en-US" w:eastAsia="zh-CN"/>
                <w14:textFill>
                  <w14:solidFill>
                    <w14:schemeClr w14:val="tx1"/>
                  </w14:solidFill>
                </w14:textFill>
              </w:rPr>
              <w:t>当炉内温度低或比较潮湿时，因点火困难，需采取适当方法给炉内预热。</w:t>
            </w:r>
          </w:p>
          <w:p w14:paraId="7F7327AD">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C.</w:t>
            </w:r>
            <w:r>
              <w:rPr>
                <w:rFonts w:hint="default" w:ascii="Times New Roman" w:hAnsi="Times New Roman" w:cs="Times New Roman"/>
                <w:b w:val="0"/>
                <w:bCs/>
                <w:color w:val="000000" w:themeColor="text1"/>
                <w:sz w:val="24"/>
                <w:lang w:val="en-US" w:eastAsia="zh-CN"/>
                <w14:textFill>
                  <w14:solidFill>
                    <w14:schemeClr w14:val="tx1"/>
                  </w14:solidFill>
                </w14:textFill>
              </w:rPr>
              <w:t>在可燃气体喷嘴前的进气管上，应装置压力表。</w:t>
            </w:r>
          </w:p>
          <w:p w14:paraId="101214C3">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D.</w:t>
            </w:r>
            <w:r>
              <w:rPr>
                <w:rFonts w:hint="default" w:ascii="Times New Roman" w:hAnsi="Times New Roman" w:cs="Times New Roman"/>
                <w:b w:val="0"/>
                <w:bCs/>
                <w:color w:val="000000" w:themeColor="text1"/>
                <w:sz w:val="24"/>
                <w:lang w:val="en-US" w:eastAsia="zh-CN"/>
                <w14:textFill>
                  <w14:solidFill>
                    <w14:schemeClr w14:val="tx1"/>
                  </w14:solidFill>
                </w14:textFill>
              </w:rPr>
              <w:t>如火焰熄灭，立即停止供入可燃气体，只供空气，换气后，再进行点火操作。</w:t>
            </w:r>
          </w:p>
          <w:p w14:paraId="71B87820">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E.</w:t>
            </w:r>
            <w:r>
              <w:rPr>
                <w:rFonts w:hint="default" w:ascii="Times New Roman" w:hAnsi="Times New Roman" w:cs="Times New Roman"/>
                <w:b w:val="0"/>
                <w:bCs/>
                <w:color w:val="000000" w:themeColor="text1"/>
                <w:sz w:val="24"/>
                <w:lang w:val="en-US" w:eastAsia="zh-CN"/>
                <w14:textFill>
                  <w14:solidFill>
                    <w14:schemeClr w14:val="tx1"/>
                  </w14:solidFill>
                </w14:textFill>
              </w:rPr>
              <w:t>为了防止燃气锅炉在点火时发生爆炸，必须在点火前检查进气管中的燃气压力，当压力符合要求时，再使用鼓风机吹扫炉膛，清除炉膛内的爆炸性混合物。在点火时应严格遵守先点火，后开气的原则。</w:t>
            </w:r>
          </w:p>
          <w:p w14:paraId="4BE2B55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③</w:t>
            </w:r>
            <w:r>
              <w:rPr>
                <w:rFonts w:hint="default" w:ascii="Times New Roman" w:hAnsi="Times New Roman" w:cs="Times New Roman"/>
                <w:b w:val="0"/>
                <w:bCs/>
                <w:color w:val="000000" w:themeColor="text1"/>
                <w:sz w:val="24"/>
                <w:lang w:val="en-US" w:eastAsia="zh-CN"/>
                <w14:textFill>
                  <w14:solidFill>
                    <w14:schemeClr w14:val="tx1"/>
                  </w14:solidFill>
                </w14:textFill>
              </w:rPr>
              <w:t>燃气锅炉工作时的防火措施</w:t>
            </w:r>
          </w:p>
          <w:p w14:paraId="0C0146CC">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A.</w:t>
            </w:r>
            <w:r>
              <w:rPr>
                <w:rFonts w:hint="default" w:ascii="Times New Roman" w:hAnsi="Times New Roman" w:cs="Times New Roman"/>
                <w:b w:val="0"/>
                <w:bCs/>
                <w:color w:val="000000" w:themeColor="text1"/>
                <w:sz w:val="24"/>
                <w:lang w:val="en-US" w:eastAsia="zh-CN"/>
                <w14:textFill>
                  <w14:solidFill>
                    <w14:schemeClr w14:val="tx1"/>
                  </w14:solidFill>
                </w14:textFill>
              </w:rPr>
              <w:t>防止脱火：a、实行火焰稳定化；b、把空燃比调整到理论混合比附近；c、人为加大燃烧速度；d、使可燃气体压力保持稳定；e、减少燃料的喷出速度。</w:t>
            </w:r>
          </w:p>
          <w:p w14:paraId="4491C922">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B.</w:t>
            </w:r>
            <w:r>
              <w:rPr>
                <w:rFonts w:hint="default" w:ascii="Times New Roman" w:hAnsi="Times New Roman" w:cs="Times New Roman"/>
                <w:b w:val="0"/>
                <w:bCs/>
                <w:color w:val="000000" w:themeColor="text1"/>
                <w:sz w:val="24"/>
                <w:lang w:val="en-US" w:eastAsia="zh-CN"/>
                <w14:textFill>
                  <w14:solidFill>
                    <w14:schemeClr w14:val="tx1"/>
                  </w14:solidFill>
                </w14:textFill>
              </w:rPr>
              <w:t>防止回火：a、加大最小喷出速度；b、必须使燃料从喷嘴喷出的速度大于其燃烧速度，即炉膛保持正压。</w:t>
            </w:r>
          </w:p>
          <w:p w14:paraId="4F20721B">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C.</w:t>
            </w:r>
            <w:r>
              <w:rPr>
                <w:rFonts w:hint="default" w:ascii="Times New Roman" w:hAnsi="Times New Roman" w:cs="Times New Roman"/>
                <w:b w:val="0"/>
                <w:bCs/>
                <w:color w:val="000000" w:themeColor="text1"/>
                <w:sz w:val="24"/>
                <w:lang w:val="en-US" w:eastAsia="zh-CN"/>
                <w14:textFill>
                  <w14:solidFill>
                    <w14:schemeClr w14:val="tx1"/>
                  </w14:solidFill>
                </w14:textFill>
              </w:rPr>
              <w:t>点火后直接进入稳定状态的过程中，要很好的监视燃烧工况，注意调节燃烧气流量，稳定燃烧器压力，使火焰能够稳定的燃烧。</w:t>
            </w:r>
          </w:p>
          <w:p w14:paraId="4BA3EFD3">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D.</w:t>
            </w:r>
            <w:r>
              <w:rPr>
                <w:rFonts w:hint="default" w:ascii="Times New Roman" w:hAnsi="Times New Roman" w:cs="Times New Roman"/>
                <w:b w:val="0"/>
                <w:bCs/>
                <w:color w:val="000000" w:themeColor="text1"/>
                <w:sz w:val="24"/>
                <w:lang w:val="en-US" w:eastAsia="zh-CN"/>
                <w14:textFill>
                  <w14:solidFill>
                    <w14:schemeClr w14:val="tx1"/>
                  </w14:solidFill>
                </w14:textFill>
              </w:rPr>
              <w:t>平时操作中，注意不能骤冷骤热，以防发生爆裂。</w:t>
            </w:r>
          </w:p>
          <w:p w14:paraId="4A274A36">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④</w:t>
            </w:r>
            <w:r>
              <w:rPr>
                <w:rFonts w:hint="eastAsia" w:ascii="宋体" w:hAnsi="宋体" w:cs="宋体"/>
                <w:b w:val="0"/>
                <w:bCs/>
                <w:color w:val="000000" w:themeColor="text1"/>
                <w:sz w:val="24"/>
                <w:lang w:val="en-US" w:eastAsia="zh-CN"/>
                <w14:textFill>
                  <w14:solidFill>
                    <w14:schemeClr w14:val="tx1"/>
                  </w14:solidFill>
                </w14:textFill>
              </w:rPr>
              <w:t>防止燃气锅炉运行中严重缺水</w:t>
            </w:r>
          </w:p>
          <w:p w14:paraId="51058F0F">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锅炉工作人员要在锅炉运行时定期对水位严密监视，定期冲洗水位表，经常检查水位指示器是否工作正常，进行排污排垢清洗处理。</w:t>
            </w:r>
          </w:p>
          <w:p w14:paraId="5D0073A5">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⑤</w:t>
            </w:r>
            <w:r>
              <w:rPr>
                <w:rFonts w:hint="eastAsia" w:ascii="宋体" w:hAnsi="宋体" w:cs="宋体"/>
                <w:b w:val="0"/>
                <w:bCs/>
                <w:color w:val="000000" w:themeColor="text1"/>
                <w:sz w:val="24"/>
                <w:lang w:val="en-US" w:eastAsia="zh-CN"/>
                <w14:textFill>
                  <w14:solidFill>
                    <w14:schemeClr w14:val="tx1"/>
                  </w14:solidFill>
                </w14:textFill>
              </w:rPr>
              <w:t>燃气锅炉的定期维护和检修</w:t>
            </w:r>
          </w:p>
          <w:p w14:paraId="681CA50F">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A.应经常检查锅炉水位表，压力表，安全阀等安全附件，确保它们的可靠性。</w:t>
            </w:r>
          </w:p>
          <w:p w14:paraId="6DC973F1">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B.定期对锅炉内部进行检查，查看炉膛是否破裂，输气管路是否完好，保证管路不发生可燃气体泄露。</w:t>
            </w:r>
          </w:p>
          <w:p w14:paraId="1DD90D10">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⑥</w:t>
            </w:r>
            <w:r>
              <w:rPr>
                <w:rFonts w:hint="eastAsia" w:ascii="宋体" w:hAnsi="宋体" w:cs="宋体"/>
                <w:b w:val="0"/>
                <w:bCs/>
                <w:color w:val="000000" w:themeColor="text1"/>
                <w:sz w:val="24"/>
                <w:lang w:val="en-US" w:eastAsia="zh-CN"/>
                <w14:textFill>
                  <w14:solidFill>
                    <w14:schemeClr w14:val="tx1"/>
                  </w14:solidFill>
                </w14:textFill>
              </w:rPr>
              <w:t>燃气锅炉周围环境要求</w:t>
            </w:r>
          </w:p>
          <w:p w14:paraId="2A99F83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A.禁止在锅炉房堆放各种可燃物，也不准在锅炉本体和蒸汽管道上烘烤任何物品。</w:t>
            </w:r>
          </w:p>
          <w:p w14:paraId="33BE11CC">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B.禁止在锅炉内焚烧废纸、废包装材料等，以防造成烟囱飞火，引燃周围可燃物。</w:t>
            </w:r>
          </w:p>
          <w:p w14:paraId="0DCAE792">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C.锅炉周围不能存在火源，锅炉输气管不能靠近其他加热设备。</w:t>
            </w:r>
          </w:p>
          <w:p w14:paraId="2F26C09A">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b w:val="0"/>
                <w:bCs w:val="0"/>
                <w:color w:val="000000" w:themeColor="text1"/>
                <w:sz w:val="24"/>
                <w:szCs w:val="24"/>
                <w14:textFill>
                  <w14:solidFill>
                    <w14:schemeClr w14:val="tx1"/>
                  </w14:solidFill>
                </w14:textFill>
              </w:rPr>
              <w:t>禁止员工在厂内吸烟点火，提高员工安全意识，加强消防培训，更多的立足自防自救；</w:t>
            </w:r>
          </w:p>
          <w:p w14:paraId="52E6119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⑦</w:t>
            </w:r>
            <w:r>
              <w:rPr>
                <w:rFonts w:hint="eastAsia" w:ascii="宋体" w:hAnsi="宋体" w:cs="宋体"/>
                <w:b w:val="0"/>
                <w:bCs/>
                <w:color w:val="000000" w:themeColor="text1"/>
                <w:sz w:val="24"/>
                <w:lang w:val="en-US" w:eastAsia="zh-CN"/>
                <w14:textFill>
                  <w14:solidFill>
                    <w14:schemeClr w14:val="tx1"/>
                  </w14:solidFill>
                </w14:textFill>
              </w:rPr>
              <w:t>加强消防安全管理</w:t>
            </w:r>
          </w:p>
          <w:p w14:paraId="4A183561">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燃气锅炉爆炸危险性大，锅炉的爆炸危险要求锅炉操作人员有较强的责任心，熟悉业务。锅炉操作人员必须经过专门培训，经考试合格，持证上岗，否则，禁止进锅炉房操作。值班操作人员应尽职尽责，遵守有关锅炉安全运行的各项制度。</w:t>
            </w:r>
          </w:p>
          <w:p w14:paraId="05E90946">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⑧</w:t>
            </w:r>
            <w:r>
              <w:rPr>
                <w:rFonts w:hint="eastAsia" w:ascii="宋体" w:hAnsi="宋体" w:cs="宋体"/>
                <w:b w:val="0"/>
                <w:bCs/>
                <w:color w:val="000000" w:themeColor="text1"/>
                <w:sz w:val="24"/>
                <w:lang w:val="en-US" w:eastAsia="zh-CN"/>
                <w14:textFill>
                  <w14:solidFill>
                    <w14:schemeClr w14:val="tx1"/>
                  </w14:solidFill>
                </w14:textFill>
              </w:rPr>
              <w:t>设置防火安全装置</w:t>
            </w:r>
          </w:p>
          <w:p w14:paraId="3D041C7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采用有效的锅炉防爆报警系统，例如能够测出可燃气体泄露浓度的传感器和报警器等。</w:t>
            </w:r>
          </w:p>
          <w:p w14:paraId="21E15618">
            <w:pPr>
              <w:pStyle w:val="2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b w:val="0"/>
                <w:bCs w:val="0"/>
                <w:color w:val="000000" w:themeColor="text1"/>
                <w:sz w:val="24"/>
                <w:szCs w:val="24"/>
                <w:lang w:eastAsia="zh-CN"/>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（4）</w:t>
            </w:r>
            <w:r>
              <w:rPr>
                <w:rFonts w:hint="eastAsia" w:cs="Times New Roman"/>
                <w:b w:val="0"/>
                <w:bCs w:val="0"/>
                <w:color w:val="000000" w:themeColor="text1"/>
                <w:sz w:val="24"/>
                <w:szCs w:val="24"/>
                <w:lang w:eastAsia="zh-CN"/>
                <w14:textFill>
                  <w14:solidFill>
                    <w14:schemeClr w14:val="tx1"/>
                  </w14:solidFill>
                </w14:textFill>
              </w:rPr>
              <w:t>环境风险防范措施</w:t>
            </w:r>
          </w:p>
          <w:p w14:paraId="1F2F8D82">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①在生产过程中必须严格按照消防安全要求，配备必要的消防设施、报警装置，给排水系统和通风系统等；</w:t>
            </w:r>
          </w:p>
          <w:p w14:paraId="1227C0BE">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②厂房内布置须严格执行国家有关防火防爆的规范、规定，设备之间保证有足够的安全间距，并按要求设置消防通道；</w:t>
            </w:r>
          </w:p>
          <w:p w14:paraId="07C58945">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③采用技术先进和安全可靠的设备，并按国家有关规定在车间内设置必要的安全卫生设施；</w:t>
            </w:r>
          </w:p>
          <w:p w14:paraId="01B910B8">
            <w:pPr>
              <w:pStyle w:val="11"/>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④进一步细化应急预案：细化事故应对措施；平时进行职工教育和信息发布，并加强应急培训与演练；一旦发生事故，则应积极组织应急撒离、落实应急医疗救护，并做好应急环境监测及事故后评估，采取相关善后恢复措施。</w:t>
            </w:r>
          </w:p>
          <w:p w14:paraId="72BFB5D4">
            <w:pPr>
              <w:keepNext w:val="0"/>
              <w:keepLines w:val="0"/>
              <w:pageBreakBefore w:val="0"/>
              <w:widowControl w:val="0"/>
              <w:tabs>
                <w:tab w:val="left" w:pos="3323"/>
              </w:tabs>
              <w:kinsoku/>
              <w:wordWrap/>
              <w:overflowPunct/>
              <w:topLinePunct w:val="0"/>
              <w:autoSpaceDE/>
              <w:autoSpaceDN/>
              <w:bidi w:val="0"/>
              <w:adjustRightInd/>
              <w:snapToGrid w:val="0"/>
              <w:spacing w:line="360" w:lineRule="auto"/>
              <w:jc w:val="center"/>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表4</w:t>
            </w:r>
            <w:r>
              <w:rPr>
                <w:rFonts w:hint="eastAsia" w:ascii="Times New Roman" w:hAnsi="Times New Roman" w:cs="Times New Roman"/>
                <w:b/>
                <w:color w:val="000000" w:themeColor="text1"/>
                <w:sz w:val="24"/>
                <w:szCs w:val="24"/>
                <w:lang w:val="en-US" w:eastAsia="zh-CN"/>
                <w14:textFill>
                  <w14:solidFill>
                    <w14:schemeClr w14:val="tx1"/>
                  </w14:solidFill>
                </w14:textFill>
              </w:rPr>
              <w:t>.1</w:t>
            </w:r>
            <w:r>
              <w:rPr>
                <w:rFonts w:hint="eastAsia" w:cs="Times New Roman"/>
                <w:b/>
                <w:color w:val="000000" w:themeColor="text1"/>
                <w:sz w:val="24"/>
                <w:szCs w:val="24"/>
                <w:lang w:val="en-US" w:eastAsia="zh-CN"/>
                <w14:textFill>
                  <w14:solidFill>
                    <w14:schemeClr w14:val="tx1"/>
                  </w14:solidFill>
                </w14:textFill>
              </w:rPr>
              <w:t xml:space="preserve">3 </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建设项目环境</w:t>
            </w:r>
            <w:r>
              <w:rPr>
                <w:rFonts w:hint="eastAsia" w:cs="Times New Roman"/>
                <w:b/>
                <w:color w:val="000000" w:themeColor="text1"/>
                <w:sz w:val="24"/>
                <w:szCs w:val="24"/>
                <w:lang w:eastAsia="zh-CN"/>
                <w14:textFill>
                  <w14:solidFill>
                    <w14:schemeClr w14:val="tx1"/>
                  </w14:solidFill>
                </w14:textFill>
              </w:rPr>
              <w:t>风险</w:t>
            </w:r>
            <w:r>
              <w:rPr>
                <w:rFonts w:hint="default" w:ascii="Times New Roman" w:hAnsi="Times New Roman" w:cs="Times New Roman"/>
                <w:b/>
                <w:color w:val="000000" w:themeColor="text1"/>
                <w:sz w:val="24"/>
                <w:szCs w:val="24"/>
                <w14:textFill>
                  <w14:solidFill>
                    <w14:schemeClr w14:val="tx1"/>
                  </w14:solidFill>
                </w14:textFill>
              </w:rPr>
              <w:t>简单分析内容表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44"/>
            </w:tblGrid>
            <w:tr w14:paraId="65B9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367CFA0A">
                  <w:pPr>
                    <w:spacing w:line="312" w:lineRule="exact"/>
                    <w:ind w:left="-105" w:leftChars="-50" w:right="-105" w:rightChars="-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建设项目名称</w:t>
                  </w:r>
                </w:p>
              </w:tc>
              <w:tc>
                <w:tcPr>
                  <w:tcW w:w="6544" w:type="dxa"/>
                  <w:noWrap w:val="0"/>
                  <w:vAlign w:val="center"/>
                </w:tcPr>
                <w:p w14:paraId="4B911140">
                  <w:pPr>
                    <w:spacing w:line="312"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安徽东方果园生物科技有限公司技术升级改造项目</w:t>
                  </w:r>
                </w:p>
              </w:tc>
            </w:tr>
            <w:tr w14:paraId="2E41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111D6AE1">
                  <w:pPr>
                    <w:spacing w:line="312" w:lineRule="exact"/>
                    <w:ind w:left="-50" w:right="-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建设地点</w:t>
                  </w:r>
                </w:p>
              </w:tc>
              <w:tc>
                <w:tcPr>
                  <w:tcW w:w="6544" w:type="dxa"/>
                  <w:noWrap w:val="0"/>
                  <w:vAlign w:val="center"/>
                </w:tcPr>
                <w:p w14:paraId="5E0DEF80">
                  <w:pPr>
                    <w:spacing w:line="312" w:lineRule="exact"/>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宿州市高新技术产业开发区拂晓大道9号</w:t>
                  </w:r>
                </w:p>
              </w:tc>
            </w:tr>
            <w:tr w14:paraId="5A93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292BEAE7">
                  <w:pPr>
                    <w:spacing w:line="312" w:lineRule="exact"/>
                    <w:ind w:left="-50" w:right="-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地理坐标</w:t>
                  </w:r>
                </w:p>
              </w:tc>
              <w:tc>
                <w:tcPr>
                  <w:tcW w:w="6544" w:type="dxa"/>
                  <w:noWrap w:val="0"/>
                  <w:vAlign w:val="center"/>
                </w:tcPr>
                <w:p w14:paraId="52F9951C">
                  <w:pPr>
                    <w:spacing w:line="312"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经度：</w:t>
                  </w:r>
                  <w:r>
                    <w:rPr>
                      <w:rFonts w:hint="default" w:ascii="Times New Roman" w:hAnsi="Times New Roman" w:cs="Times New Roman"/>
                      <w:color w:val="000000" w:themeColor="text1"/>
                      <w:sz w:val="21"/>
                      <w:szCs w:val="21"/>
                      <w:lang w:val="en-US" w:eastAsia="zh-CN"/>
                      <w14:textFill>
                        <w14:solidFill>
                          <w14:schemeClr w14:val="tx1"/>
                        </w14:solidFill>
                      </w14:textFill>
                    </w:rPr>
                    <w:t>116</w:t>
                  </w:r>
                  <w:r>
                    <w:rPr>
                      <w:rFonts w:hint="default" w:ascii="Times New Roman" w:hAnsi="Times New Roman" w:cs="Times New Roman"/>
                      <w:color w:val="000000" w:themeColor="text1"/>
                      <w:sz w:val="21"/>
                      <w:szCs w:val="21"/>
                      <w14:textFill>
                        <w14:solidFill>
                          <w14:schemeClr w14:val="tx1"/>
                        </w14:solidFill>
                      </w14:textFill>
                    </w:rPr>
                    <w:t>度</w:t>
                  </w:r>
                  <w:r>
                    <w:rPr>
                      <w:rFonts w:hint="default" w:ascii="Times New Roman" w:hAnsi="Times New Roman" w:cs="Times New Roman"/>
                      <w:color w:val="000000" w:themeColor="text1"/>
                      <w:sz w:val="21"/>
                      <w:szCs w:val="21"/>
                      <w:lang w:val="en-US" w:eastAsia="zh-CN"/>
                      <w14:textFill>
                        <w14:solidFill>
                          <w14:schemeClr w14:val="tx1"/>
                        </w14:solidFill>
                      </w14:textFill>
                    </w:rPr>
                    <w:t>56</w:t>
                  </w:r>
                  <w:r>
                    <w:rPr>
                      <w:rFonts w:hint="default" w:ascii="Times New Roman" w:hAnsi="Times New Roman" w:cs="Times New Roman"/>
                      <w:color w:val="000000" w:themeColor="text1"/>
                      <w:sz w:val="21"/>
                      <w:szCs w:val="21"/>
                      <w14:textFill>
                        <w14:solidFill>
                          <w14:schemeClr w14:val="tx1"/>
                        </w14:solidFill>
                      </w14:textFill>
                    </w:rPr>
                    <w:t>分</w:t>
                  </w:r>
                  <w:r>
                    <w:rPr>
                      <w:rFonts w:hint="default" w:ascii="Times New Roman" w:hAnsi="Times New Roman" w:cs="Times New Roman"/>
                      <w:color w:val="000000" w:themeColor="text1"/>
                      <w:sz w:val="21"/>
                      <w:szCs w:val="21"/>
                      <w:lang w:val="en-US" w:eastAsia="zh-CN"/>
                      <w14:textFill>
                        <w14:solidFill>
                          <w14:schemeClr w14:val="tx1"/>
                        </w14:solidFill>
                      </w14:textFill>
                    </w:rPr>
                    <w:t>16.736</w:t>
                  </w:r>
                  <w:r>
                    <w:rPr>
                      <w:rFonts w:hint="default" w:ascii="Times New Roman" w:hAnsi="Times New Roman" w:cs="Times New Roman"/>
                      <w:color w:val="000000" w:themeColor="text1"/>
                      <w:sz w:val="21"/>
                      <w:szCs w:val="21"/>
                      <w14:textFill>
                        <w14:solidFill>
                          <w14:schemeClr w14:val="tx1"/>
                        </w14:solidFill>
                      </w14:textFill>
                    </w:rPr>
                    <w:t>秒，</w:t>
                  </w:r>
                  <w:r>
                    <w:rPr>
                      <w:rFonts w:hint="default" w:ascii="Times New Roman" w:hAnsi="Times New Roman" w:cs="Times New Roman"/>
                      <w:color w:val="000000" w:themeColor="text1"/>
                      <w:sz w:val="21"/>
                      <w:szCs w:val="21"/>
                      <w:lang w:eastAsia="zh-CN"/>
                      <w14:textFill>
                        <w14:solidFill>
                          <w14:schemeClr w14:val="tx1"/>
                        </w14:solidFill>
                      </w14:textFill>
                    </w:rPr>
                    <w:t>纬度：</w:t>
                  </w:r>
                  <w:r>
                    <w:rPr>
                      <w:rFonts w:hint="default" w:ascii="Times New Roman" w:hAnsi="Times New Roman" w:cs="Times New Roman"/>
                      <w:color w:val="000000" w:themeColor="text1"/>
                      <w:sz w:val="21"/>
                      <w:szCs w:val="21"/>
                      <w:lang w:val="en-US" w:eastAsia="zh-CN"/>
                      <w14:textFill>
                        <w14:solidFill>
                          <w14:schemeClr w14:val="tx1"/>
                        </w14:solidFill>
                      </w14:textFill>
                    </w:rPr>
                    <w:t>33</w:t>
                  </w:r>
                  <w:r>
                    <w:rPr>
                      <w:rFonts w:hint="default" w:ascii="Times New Roman" w:hAnsi="Times New Roman" w:cs="Times New Roman"/>
                      <w:color w:val="000000" w:themeColor="text1"/>
                      <w:sz w:val="21"/>
                      <w:szCs w:val="21"/>
                      <w14:textFill>
                        <w14:solidFill>
                          <w14:schemeClr w14:val="tx1"/>
                        </w14:solidFill>
                      </w14:textFill>
                    </w:rPr>
                    <w:t>度</w:t>
                  </w:r>
                  <w:r>
                    <w:rPr>
                      <w:rFonts w:hint="default" w:ascii="Times New Roman" w:hAnsi="Times New Roman" w:cs="Times New Roman"/>
                      <w:color w:val="000000" w:themeColor="text1"/>
                      <w:sz w:val="21"/>
                      <w:szCs w:val="21"/>
                      <w:lang w:val="en-US" w:eastAsia="zh-CN"/>
                      <w14:textFill>
                        <w14:solidFill>
                          <w14:schemeClr w14:val="tx1"/>
                        </w14:solidFill>
                      </w14:textFill>
                    </w:rPr>
                    <w:t>42</w:t>
                  </w:r>
                  <w:r>
                    <w:rPr>
                      <w:rFonts w:hint="default" w:ascii="Times New Roman" w:hAnsi="Times New Roman" w:cs="Times New Roman"/>
                      <w:color w:val="000000" w:themeColor="text1"/>
                      <w:sz w:val="21"/>
                      <w:szCs w:val="21"/>
                      <w14:textFill>
                        <w14:solidFill>
                          <w14:schemeClr w14:val="tx1"/>
                        </w14:solidFill>
                      </w14:textFill>
                    </w:rPr>
                    <w:t>分</w:t>
                  </w:r>
                  <w:r>
                    <w:rPr>
                      <w:rFonts w:hint="default" w:ascii="Times New Roman" w:hAnsi="Times New Roman" w:cs="Times New Roman"/>
                      <w:color w:val="000000" w:themeColor="text1"/>
                      <w:sz w:val="21"/>
                      <w:szCs w:val="21"/>
                      <w:lang w:val="en-US" w:eastAsia="zh-CN"/>
                      <w14:textFill>
                        <w14:solidFill>
                          <w14:schemeClr w14:val="tx1"/>
                        </w14:solidFill>
                      </w14:textFill>
                    </w:rPr>
                    <w:t>0.377</w:t>
                  </w:r>
                  <w:r>
                    <w:rPr>
                      <w:rFonts w:hint="default" w:ascii="Times New Roman" w:hAnsi="Times New Roman" w:cs="Times New Roman"/>
                      <w:color w:val="000000" w:themeColor="text1"/>
                      <w:sz w:val="21"/>
                      <w:szCs w:val="21"/>
                      <w14:textFill>
                        <w14:solidFill>
                          <w14:schemeClr w14:val="tx1"/>
                        </w14:solidFill>
                      </w14:textFill>
                    </w:rPr>
                    <w:t>秒</w:t>
                  </w:r>
                </w:p>
              </w:tc>
            </w:tr>
            <w:tr w14:paraId="6923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5A0508CA">
                  <w:pPr>
                    <w:spacing w:line="312" w:lineRule="exact"/>
                    <w:ind w:left="-50" w:right="-5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主要危险物质及分布</w:t>
                  </w:r>
                </w:p>
              </w:tc>
              <w:tc>
                <w:tcPr>
                  <w:tcW w:w="6544" w:type="dxa"/>
                  <w:noWrap w:val="0"/>
                  <w:vAlign w:val="center"/>
                </w:tcPr>
                <w:p w14:paraId="421A1723">
                  <w:pPr>
                    <w:spacing w:line="312"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Cs/>
                      <w:color w:val="000000" w:themeColor="text1"/>
                      <w:spacing w:val="-4"/>
                      <w:sz w:val="21"/>
                      <w:szCs w:val="21"/>
                      <w14:textFill>
                        <w14:solidFill>
                          <w14:schemeClr w14:val="tx1"/>
                        </w14:solidFill>
                      </w14:textFill>
                    </w:rPr>
                    <w:t>本项目主要危险物质为</w:t>
                  </w:r>
                  <w:r>
                    <w:rPr>
                      <w:rFonts w:hint="eastAsia" w:cs="Times New Roman"/>
                      <w:bCs/>
                      <w:color w:val="000000" w:themeColor="text1"/>
                      <w:spacing w:val="-4"/>
                      <w:sz w:val="21"/>
                      <w:szCs w:val="21"/>
                      <w:lang w:val="en-US" w:eastAsia="zh-CN"/>
                      <w14:textFill>
                        <w14:solidFill>
                          <w14:schemeClr w14:val="tx1"/>
                        </w14:solidFill>
                      </w14:textFill>
                    </w:rPr>
                    <w:t>天然气</w:t>
                  </w:r>
                  <w:r>
                    <w:rPr>
                      <w:rFonts w:hint="eastAsia" w:cs="Times New Roman"/>
                      <w:color w:val="000000" w:themeColor="text1"/>
                      <w:spacing w:val="-4"/>
                      <w:sz w:val="21"/>
                      <w:szCs w:val="21"/>
                      <w:lang w:eastAsia="zh-CN"/>
                      <w14:textFill>
                        <w14:solidFill>
                          <w14:schemeClr w14:val="tx1"/>
                        </w14:solidFill>
                      </w14:textFill>
                    </w:rPr>
                    <w:t>。</w:t>
                  </w:r>
                </w:p>
              </w:tc>
            </w:tr>
            <w:tr w14:paraId="757E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28158197">
                  <w:pPr>
                    <w:spacing w:line="312"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_x0017_页栀.栀." w:cs="Times New Roman"/>
                      <w:color w:val="000000" w:themeColor="text1"/>
                      <w:kern w:val="0"/>
                      <w:sz w:val="21"/>
                      <w:szCs w:val="21"/>
                      <w14:textFill>
                        <w14:solidFill>
                          <w14:schemeClr w14:val="tx1"/>
                        </w14:solidFill>
                      </w14:textFill>
                    </w:rPr>
                    <w:t>环境影响途径及危害后果（大气、地表水、地下水等）</w:t>
                  </w:r>
                </w:p>
              </w:tc>
              <w:tc>
                <w:tcPr>
                  <w:tcW w:w="6544" w:type="dxa"/>
                  <w:noWrap w:val="0"/>
                  <w:vAlign w:val="center"/>
                </w:tcPr>
                <w:p w14:paraId="5A327A69">
                  <w:pPr>
                    <w:tabs>
                      <w:tab w:val="left" w:pos="960"/>
                    </w:tabs>
                    <w:snapToGrid w:val="0"/>
                    <w:jc w:val="both"/>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14:textFill>
                        <w14:solidFill>
                          <w14:schemeClr w14:val="tx1"/>
                        </w14:solidFill>
                      </w14:textFill>
                    </w:rPr>
                    <w:t>本项目天然气管道泄漏火灾事故。</w:t>
                  </w:r>
                </w:p>
                <w:p w14:paraId="0244819A">
                  <w:pPr>
                    <w:tabs>
                      <w:tab w:val="left" w:pos="960"/>
                    </w:tabs>
                    <w:snapToGrid w:val="0"/>
                    <w:jc w:val="both"/>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14:textFill>
                        <w14:solidFill>
                          <w14:schemeClr w14:val="tx1"/>
                        </w14:solidFill>
                      </w14:textFill>
                    </w:rPr>
                    <w:t>发生火灾时，火场的温度很高，辐射热强烈，且火灾蔓延速度快。如抢救不及时，会迅速危害到原材料、产成品及机械设备等，进而给企业造成人力、物力及财力的极大损失。</w:t>
                  </w:r>
                </w:p>
                <w:p w14:paraId="36AB1C97">
                  <w:pPr>
                    <w:tabs>
                      <w:tab w:val="left" w:pos="960"/>
                    </w:tabs>
                    <w:snapToGrid w:val="0"/>
                    <w:jc w:val="both"/>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14:textFill>
                        <w14:solidFill>
                          <w14:schemeClr w14:val="tx1"/>
                        </w14:solidFill>
                      </w14:textFill>
                    </w:rPr>
                    <w:t>项目存在一般的安全隐患，如电线短路或老化、雷击、引起的火灾事故等。这些事故中，火灾风险防范为重中之重。可以引起火灾的因素较多，如电器设备多，维护管理和使用不当，明火管理不当、吸烟、机械故障或施工操作不当气等，可以说火灾的潜伏性和可能性是很大的，具有较大的危害性。</w:t>
                  </w:r>
                </w:p>
              </w:tc>
            </w:tr>
            <w:tr w14:paraId="4CA3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noWrap w:val="0"/>
                  <w:vAlign w:val="center"/>
                </w:tcPr>
                <w:p w14:paraId="1F588110">
                  <w:pPr>
                    <w:spacing w:line="312"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_x0019_á.硈.." w:cs="Times New Roman"/>
                      <w:color w:val="000000" w:themeColor="text1"/>
                      <w:kern w:val="0"/>
                      <w:sz w:val="21"/>
                      <w:szCs w:val="21"/>
                      <w14:textFill>
                        <w14:solidFill>
                          <w14:schemeClr w14:val="tx1"/>
                        </w14:solidFill>
                      </w14:textFill>
                    </w:rPr>
                    <w:t>风险防范措施要求</w:t>
                  </w:r>
                </w:p>
              </w:tc>
              <w:tc>
                <w:tcPr>
                  <w:tcW w:w="6544" w:type="dxa"/>
                  <w:noWrap w:val="0"/>
                  <w:vAlign w:val="center"/>
                </w:tcPr>
                <w:p w14:paraId="6EC59581">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①在生产过程中必须严格按照消防安全要求，配备必要的消防设施、报警装置，给排水系统和通风系统等；</w:t>
                  </w:r>
                </w:p>
                <w:p w14:paraId="5A3968B5">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②厂房内布置须严格执行国家有关防火防爆的规范、规定，设备之间保证有足够的安全间距，并按要求设置消防通道；</w:t>
                  </w:r>
                </w:p>
                <w:p w14:paraId="5CBC649D">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③采用技术先进和安全可靠的设备，并按国家有关规定在车间内设置必要的安全卫生设施；</w:t>
                  </w:r>
                </w:p>
                <w:p w14:paraId="47C632B9">
                  <w:pPr>
                    <w:tabs>
                      <w:tab w:val="left" w:pos="960"/>
                    </w:tabs>
                    <w:snapToGrid w:val="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进一步细化应急预案：细化事故应对措施；平时进行职工教育和信息发布，并加强应急培训与演练；一旦发生事故，则应积极组织应急撒离、落实应急医疗救护，并做好应急环境监测及事故后评估，采取相关善后恢复措施。</w:t>
                  </w:r>
                </w:p>
              </w:tc>
            </w:tr>
            <w:tr w14:paraId="4CB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12" w:type="dxa"/>
                  <w:gridSpan w:val="2"/>
                  <w:noWrap w:val="0"/>
                  <w:vAlign w:val="center"/>
                </w:tcPr>
                <w:p w14:paraId="18882395">
                  <w:pPr>
                    <w:autoSpaceDE w:val="0"/>
                    <w:autoSpaceDN w:val="0"/>
                    <w:adjustRightInd w:val="0"/>
                    <w:spacing w:line="312" w:lineRule="exact"/>
                    <w:jc w:val="left"/>
                    <w:rPr>
                      <w:rFonts w:hint="default" w:ascii="Times New Roman" w:hAnsi="Times New Roman" w:eastAsia="宋体_x0019_页栀.栀." w:cs="Times New Roman"/>
                      <w:color w:val="000000" w:themeColor="text1"/>
                      <w:kern w:val="0"/>
                      <w:sz w:val="21"/>
                      <w:szCs w:val="21"/>
                      <w14:textFill>
                        <w14:solidFill>
                          <w14:schemeClr w14:val="tx1"/>
                        </w14:solidFill>
                      </w14:textFill>
                    </w:rPr>
                  </w:pPr>
                  <w:r>
                    <w:rPr>
                      <w:rFonts w:hint="default" w:ascii="Times New Roman" w:hAnsi="Times New Roman" w:eastAsia="宋体_x0019_页栀.栀." w:cs="Times New Roman"/>
                      <w:color w:val="000000" w:themeColor="text1"/>
                      <w:kern w:val="0"/>
                      <w:sz w:val="21"/>
                      <w:szCs w:val="21"/>
                      <w14:textFill>
                        <w14:solidFill>
                          <w14:schemeClr w14:val="tx1"/>
                        </w14:solidFill>
                      </w14:textFill>
                    </w:rPr>
                    <w:t>填表说明（列出项目相关信息及评价说明）：</w:t>
                  </w:r>
                </w:p>
                <w:p w14:paraId="58C6AABD">
                  <w:pPr>
                    <w:keepNext w:val="0"/>
                    <w:keepLines w:val="0"/>
                    <w:pageBreakBefore w:val="0"/>
                    <w:widowControl w:val="0"/>
                    <w:kinsoku/>
                    <w:wordWrap/>
                    <w:overflowPunct/>
                    <w:topLinePunct w:val="0"/>
                    <w:autoSpaceDE/>
                    <w:autoSpaceDN/>
                    <w:bidi w:val="0"/>
                    <w:adjustRightInd/>
                    <w:snapToGrid/>
                    <w:spacing w:line="312" w:lineRule="exact"/>
                    <w:ind w:firstLine="404" w:firstLineChars="200"/>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bCs/>
                      <w:color w:val="000000" w:themeColor="text1"/>
                      <w:spacing w:val="-4"/>
                      <w:sz w:val="21"/>
                      <w:szCs w:val="21"/>
                      <w14:textFill>
                        <w14:solidFill>
                          <w14:schemeClr w14:val="tx1"/>
                        </w14:solidFill>
                      </w14:textFill>
                    </w:rPr>
                    <w:t>本项目</w:t>
                  </w:r>
                  <w:r>
                    <w:rPr>
                      <w:rFonts w:hint="default" w:ascii="Times New Roman" w:hAnsi="Times New Roman" w:cs="Times New Roman"/>
                      <w:color w:val="000000" w:themeColor="text1"/>
                      <w:sz w:val="21"/>
                      <w:szCs w:val="21"/>
                      <w:lang w:val="en-US"/>
                      <w14:textFill>
                        <w14:solidFill>
                          <w14:schemeClr w14:val="tx1"/>
                        </w14:solidFill>
                      </w14:textFill>
                    </w:rPr>
                    <w:t>天然气管道泄漏火灾事故</w:t>
                  </w:r>
                  <w:r>
                    <w:rPr>
                      <w:rFonts w:hint="default" w:ascii="Times New Roman" w:hAnsi="Times New Roman" w:cs="Times New Roman"/>
                      <w:bCs/>
                      <w:color w:val="000000" w:themeColor="text1"/>
                      <w:spacing w:val="-4"/>
                      <w:sz w:val="21"/>
                      <w:szCs w:val="21"/>
                      <w14:textFill>
                        <w14:solidFill>
                          <w14:schemeClr w14:val="tx1"/>
                        </w14:solidFill>
                      </w14:textFill>
                    </w:rPr>
                    <w:t>存在一定的危险性，由于Q＜1，判定本项目环境风险潜势为Ⅰ，根据评价等级划分依据，本项目评价工作等级为简单分析。本项目采取完善的危险废物管理制度，项目建设、运行过程中环境风险可接受</w:t>
                  </w:r>
                  <w:r>
                    <w:rPr>
                      <w:rFonts w:hint="eastAsia" w:ascii="Times New Roman" w:hAnsi="Times New Roman" w:cs="Times New Roman"/>
                      <w:bCs/>
                      <w:color w:val="000000" w:themeColor="text1"/>
                      <w:spacing w:val="-4"/>
                      <w:sz w:val="21"/>
                      <w:szCs w:val="21"/>
                      <w:lang w:eastAsia="zh-CN"/>
                      <w14:textFill>
                        <w14:solidFill>
                          <w14:schemeClr w14:val="tx1"/>
                        </w14:solidFill>
                      </w14:textFill>
                    </w:rPr>
                    <w:t>。</w:t>
                  </w:r>
                </w:p>
              </w:tc>
            </w:tr>
          </w:tbl>
          <w:p w14:paraId="30E9A0A3">
            <w:pPr>
              <w:keepNext w:val="0"/>
              <w:keepLines w:val="0"/>
              <w:pageBreakBefore w:val="0"/>
              <w:widowControl w:val="0"/>
              <w:tabs>
                <w:tab w:val="left" w:pos="3323"/>
              </w:tabs>
              <w:kinsoku/>
              <w:wordWrap/>
              <w:overflowPunct/>
              <w:topLinePunct w:val="0"/>
              <w:autoSpaceDE/>
              <w:autoSpaceDN/>
              <w:bidi w:val="0"/>
              <w:adjustRightInd/>
              <w:snapToGrid w:val="0"/>
              <w:spacing w:before="157" w:beforeLines="50"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10CB8036">
            <w:pPr>
              <w:keepNext w:val="0"/>
              <w:keepLines w:val="0"/>
              <w:pageBreakBefore w:val="0"/>
              <w:widowControl w:val="0"/>
              <w:tabs>
                <w:tab w:val="left" w:pos="3323"/>
              </w:tabs>
              <w:kinsoku/>
              <w:wordWrap/>
              <w:overflowPunct/>
              <w:topLinePunct w:val="0"/>
              <w:autoSpaceDE/>
              <w:autoSpaceDN/>
              <w:bidi w:val="0"/>
              <w:adjustRightInd/>
              <w:snapToGrid w:val="0"/>
              <w:spacing w:before="157" w:beforeLines="50" w:line="360" w:lineRule="auto"/>
              <w:textAlignment w:val="auto"/>
              <w:rPr>
                <w:rFonts w:hint="eastAsia" w:ascii="Times New Roman" w:hAnsi="Times New Roman" w:eastAsia="宋体" w:cs="Times New Roman"/>
                <w:b/>
                <w:bCs/>
                <w:snapToGrid/>
                <w:color w:val="000000" w:themeColor="text1"/>
                <w:spacing w:val="0"/>
                <w:kern w:val="0"/>
                <w:position w:val="0"/>
                <w:sz w:val="24"/>
                <w:szCs w:val="24"/>
                <w:highlight w:val="none"/>
                <w:lang w:eastAsia="zh-CN"/>
                <w14:textFill>
                  <w14:solidFill>
                    <w14:schemeClr w14:val="tx1"/>
                  </w14:solidFill>
                </w14:textFill>
              </w:rPr>
            </w:pPr>
            <w:r>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t>7、</w:t>
            </w:r>
            <w:r>
              <w:rPr>
                <w:rFonts w:hint="default" w:ascii="Times New Roman" w:hAnsi="Times New Roman" w:eastAsia="宋体" w:cs="Times New Roman"/>
                <w:b/>
                <w:bCs/>
                <w:snapToGrid/>
                <w:color w:val="000000" w:themeColor="text1"/>
                <w:spacing w:val="0"/>
                <w:kern w:val="0"/>
                <w:position w:val="0"/>
                <w:sz w:val="24"/>
                <w:szCs w:val="24"/>
                <w:highlight w:val="none"/>
                <w14:textFill>
                  <w14:solidFill>
                    <w14:schemeClr w14:val="tx1"/>
                  </w14:solidFill>
                </w14:textFill>
              </w:rPr>
              <w:t>环保投资估算</w:t>
            </w:r>
          </w:p>
          <w:p w14:paraId="31857F3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项目总投资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300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万元，其中环保投资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100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万元</w:t>
            </w:r>
            <w:r>
              <w:rPr>
                <w:rFonts w:hint="default" w:ascii="Times New Roman" w:hAnsi="Times New Roman" w:eastAsia="宋体" w:cs="Times New Roman"/>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约占总投资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3.33</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%，主要用于废水、废气、固体废物和噪声污染的治理。</w:t>
            </w:r>
          </w:p>
          <w:p w14:paraId="37FDABA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pPr>
            <w:r>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t>表</w:t>
            </w:r>
            <w:r>
              <w:rPr>
                <w:rFonts w:hint="eastAsia" w:ascii="Times New Roman" w:hAnsi="Times New Roman" w:eastAsia="宋体" w:cs="Times New Roman"/>
                <w:b/>
                <w:snapToGrid/>
                <w:color w:val="000000" w:themeColor="text1"/>
                <w:spacing w:val="0"/>
                <w:kern w:val="0"/>
                <w:position w:val="0"/>
                <w:sz w:val="24"/>
                <w:szCs w:val="24"/>
                <w:highlight w:val="none"/>
                <w:lang w:val="en-US" w:eastAsia="zh-CN"/>
                <w14:textFill>
                  <w14:solidFill>
                    <w14:schemeClr w14:val="tx1"/>
                  </w14:solidFill>
                </w14:textFill>
              </w:rPr>
              <w:t>4</w:t>
            </w:r>
            <w:r>
              <w:rPr>
                <w:rFonts w:hint="eastAsia" w:cs="Times New Roman"/>
                <w:b/>
                <w:snapToGrid/>
                <w:color w:val="000000" w:themeColor="text1"/>
                <w:spacing w:val="0"/>
                <w:kern w:val="0"/>
                <w:position w:val="0"/>
                <w:sz w:val="24"/>
                <w:szCs w:val="24"/>
                <w:highlight w:val="none"/>
                <w:lang w:val="en-US" w:eastAsia="zh-CN"/>
                <w14:textFill>
                  <w14:solidFill>
                    <w14:schemeClr w14:val="tx1"/>
                  </w14:solidFill>
                </w14:textFill>
              </w:rPr>
              <w:t xml:space="preserve">.14 </w:t>
            </w:r>
            <w:r>
              <w:rPr>
                <w:rFonts w:hint="default" w:ascii="Times New Roman" w:hAnsi="Times New Roman" w:eastAsia="宋体" w:cs="Times New Roman"/>
                <w:b/>
                <w:snapToGrid/>
                <w:color w:val="000000" w:themeColor="text1"/>
                <w:spacing w:val="0"/>
                <w:kern w:val="0"/>
                <w:position w:val="0"/>
                <w:sz w:val="24"/>
                <w:szCs w:val="24"/>
                <w:highlight w:val="none"/>
                <w14:textFill>
                  <w14:solidFill>
                    <w14:schemeClr w14:val="tx1"/>
                  </w14:solidFill>
                </w14:textFill>
              </w:rPr>
              <w:t xml:space="preserve"> </w:t>
            </w:r>
            <w:r>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t>项目环保防治措施及投资估算表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002"/>
              <w:gridCol w:w="3825"/>
              <w:gridCol w:w="1374"/>
            </w:tblGrid>
            <w:tr w14:paraId="6839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noWrap w:val="0"/>
                  <w:vAlign w:val="center"/>
                </w:tcPr>
                <w:p w14:paraId="029E1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污染类别</w:t>
                  </w:r>
                </w:p>
              </w:tc>
              <w:tc>
                <w:tcPr>
                  <w:tcW w:w="2002" w:type="dxa"/>
                  <w:noWrap w:val="0"/>
                  <w:vAlign w:val="center"/>
                </w:tcPr>
                <w:p w14:paraId="33F6B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污染防治对象</w:t>
                  </w:r>
                </w:p>
              </w:tc>
              <w:tc>
                <w:tcPr>
                  <w:tcW w:w="3825" w:type="dxa"/>
                  <w:noWrap w:val="0"/>
                  <w:vAlign w:val="center"/>
                </w:tcPr>
                <w:p w14:paraId="0FC25A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治理措施</w:t>
                  </w:r>
                </w:p>
              </w:tc>
              <w:tc>
                <w:tcPr>
                  <w:tcW w:w="1374" w:type="dxa"/>
                  <w:noWrap w:val="0"/>
                  <w:vAlign w:val="center"/>
                </w:tcPr>
                <w:p w14:paraId="013120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投资估算（万元）</w:t>
                  </w:r>
                </w:p>
              </w:tc>
            </w:tr>
            <w:tr w14:paraId="72E5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noWrap w:val="0"/>
                  <w:vAlign w:val="center"/>
                </w:tcPr>
                <w:p w14:paraId="7CF0FC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废水</w:t>
                  </w:r>
                </w:p>
              </w:tc>
              <w:tc>
                <w:tcPr>
                  <w:tcW w:w="2002" w:type="dxa"/>
                  <w:noWrap w:val="0"/>
                  <w:vAlign w:val="center"/>
                </w:tcPr>
                <w:p w14:paraId="420F2B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生活污水</w:t>
                  </w:r>
                </w:p>
              </w:tc>
              <w:tc>
                <w:tcPr>
                  <w:tcW w:w="3825" w:type="dxa"/>
                  <w:vMerge w:val="restart"/>
                  <w:noWrap w:val="0"/>
                  <w:vAlign w:val="center"/>
                </w:tcPr>
                <w:p w14:paraId="2500A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eastAsia="zh-CN"/>
                      <w14:textFill>
                        <w14:solidFill>
                          <w14:schemeClr w14:val="tx1"/>
                        </w14:solidFill>
                      </w14:textFill>
                    </w:rPr>
                    <w:t>污水处理站</w:t>
                  </w:r>
                </w:p>
              </w:tc>
              <w:tc>
                <w:tcPr>
                  <w:tcW w:w="1374" w:type="dxa"/>
                  <w:vMerge w:val="restart"/>
                  <w:noWrap w:val="0"/>
                  <w:vAlign w:val="center"/>
                </w:tcPr>
                <w:p w14:paraId="7FE6C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743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noWrap w:val="0"/>
                  <w:vAlign w:val="center"/>
                </w:tcPr>
                <w:p w14:paraId="0252C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p>
              </w:tc>
              <w:tc>
                <w:tcPr>
                  <w:tcW w:w="2002" w:type="dxa"/>
                  <w:noWrap w:val="0"/>
                  <w:vAlign w:val="center"/>
                </w:tcPr>
                <w:p w14:paraId="22B01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eastAsia="zh-CN"/>
                      <w14:textFill>
                        <w14:solidFill>
                          <w14:schemeClr w14:val="tx1"/>
                        </w14:solidFill>
                      </w14:textFill>
                    </w:rPr>
                    <w:t>锅炉废水</w:t>
                  </w:r>
                </w:p>
              </w:tc>
              <w:tc>
                <w:tcPr>
                  <w:tcW w:w="3825" w:type="dxa"/>
                  <w:vMerge w:val="continue"/>
                  <w:noWrap w:val="0"/>
                  <w:vAlign w:val="center"/>
                </w:tcPr>
                <w:p w14:paraId="0D3386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snapToGrid/>
                      <w:color w:val="000000" w:themeColor="text1"/>
                      <w:spacing w:val="0"/>
                      <w:kern w:val="0"/>
                      <w:position w:val="0"/>
                      <w:sz w:val="21"/>
                      <w:szCs w:val="21"/>
                      <w:highlight w:val="none"/>
                      <w:lang w:eastAsia="zh-CN"/>
                      <w14:textFill>
                        <w14:solidFill>
                          <w14:schemeClr w14:val="tx1"/>
                        </w14:solidFill>
                      </w14:textFill>
                    </w:rPr>
                  </w:pPr>
                </w:p>
              </w:tc>
              <w:tc>
                <w:tcPr>
                  <w:tcW w:w="1374" w:type="dxa"/>
                  <w:vMerge w:val="continue"/>
                  <w:noWrap w:val="0"/>
                  <w:vAlign w:val="center"/>
                </w:tcPr>
                <w:p w14:paraId="513ED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p>
              </w:tc>
            </w:tr>
            <w:tr w14:paraId="46E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noWrap w:val="0"/>
                  <w:vAlign w:val="center"/>
                </w:tcPr>
                <w:p w14:paraId="2F7F86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废气</w:t>
                  </w:r>
                </w:p>
              </w:tc>
              <w:tc>
                <w:tcPr>
                  <w:tcW w:w="2002" w:type="dxa"/>
                  <w:noWrap w:val="0"/>
                  <w:vAlign w:val="center"/>
                </w:tcPr>
                <w:p w14:paraId="66B76A77">
                  <w:pPr>
                    <w:pStyle w:val="11"/>
                    <w:keepNext w:val="0"/>
                    <w:keepLines w:val="0"/>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9T锅炉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3825" w:type="dxa"/>
                  <w:noWrap w:val="0"/>
                  <w:vAlign w:val="center"/>
                </w:tcPr>
                <w:p w14:paraId="7E1176A6">
                  <w:pPr>
                    <w:keepNext w:val="0"/>
                    <w:keepLines w:val="0"/>
                    <w:pageBreakBefore w:val="0"/>
                    <w:kinsoku/>
                    <w:wordWrap/>
                    <w:overflowPunct/>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低氮燃烧器+12m高排气筒（DA001）</w:t>
                  </w:r>
                </w:p>
              </w:tc>
              <w:tc>
                <w:tcPr>
                  <w:tcW w:w="1374" w:type="dxa"/>
                  <w:noWrap w:val="0"/>
                  <w:vAlign w:val="center"/>
                </w:tcPr>
                <w:p w14:paraId="617E1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85</w:t>
                  </w:r>
                </w:p>
              </w:tc>
            </w:tr>
            <w:tr w14:paraId="7B3A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noWrap w:val="0"/>
                  <w:vAlign w:val="center"/>
                </w:tcPr>
                <w:p w14:paraId="06DD57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噪声</w:t>
                  </w:r>
                </w:p>
              </w:tc>
              <w:tc>
                <w:tcPr>
                  <w:tcW w:w="2002" w:type="dxa"/>
                  <w:noWrap w:val="0"/>
                  <w:vAlign w:val="center"/>
                </w:tcPr>
                <w:p w14:paraId="77F8CE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设备噪声等</w:t>
                  </w:r>
                </w:p>
              </w:tc>
              <w:tc>
                <w:tcPr>
                  <w:tcW w:w="3825" w:type="dxa"/>
                  <w:noWrap w:val="0"/>
                  <w:vAlign w:val="center"/>
                </w:tcPr>
                <w:p w14:paraId="115FE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选用低噪声设备、建筑隔声等</w:t>
                  </w:r>
                </w:p>
              </w:tc>
              <w:tc>
                <w:tcPr>
                  <w:tcW w:w="1374" w:type="dxa"/>
                  <w:noWrap w:val="0"/>
                  <w:vAlign w:val="center"/>
                </w:tcPr>
                <w:p w14:paraId="59746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w:t>
                  </w:r>
                </w:p>
              </w:tc>
            </w:tr>
            <w:tr w14:paraId="352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restart"/>
                  <w:noWrap w:val="0"/>
                  <w:vAlign w:val="center"/>
                </w:tcPr>
                <w:p w14:paraId="0673A1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固废</w:t>
                  </w:r>
                </w:p>
              </w:tc>
              <w:tc>
                <w:tcPr>
                  <w:tcW w:w="2002" w:type="dxa"/>
                  <w:noWrap w:val="0"/>
                  <w:vAlign w:val="center"/>
                </w:tcPr>
                <w:p w14:paraId="03BA25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一般工业固体废物</w:t>
                  </w:r>
                </w:p>
              </w:tc>
              <w:tc>
                <w:tcPr>
                  <w:tcW w:w="3825" w:type="dxa"/>
                  <w:noWrap w:val="0"/>
                  <w:vAlign w:val="center"/>
                </w:tcPr>
                <w:p w14:paraId="591FA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于生产车间暂存</w:t>
                  </w:r>
                </w:p>
              </w:tc>
              <w:tc>
                <w:tcPr>
                  <w:tcW w:w="1374" w:type="dxa"/>
                  <w:noWrap w:val="0"/>
                  <w:vAlign w:val="center"/>
                </w:tcPr>
                <w:p w14:paraId="415484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22F1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1" w:type="dxa"/>
                  <w:vMerge w:val="continue"/>
                  <w:noWrap w:val="0"/>
                  <w:vAlign w:val="center"/>
                </w:tcPr>
                <w:p w14:paraId="5A5944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p>
              </w:tc>
              <w:tc>
                <w:tcPr>
                  <w:tcW w:w="2002" w:type="dxa"/>
                  <w:noWrap w:val="0"/>
                  <w:vAlign w:val="center"/>
                </w:tcPr>
                <w:p w14:paraId="2A1A48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生活垃圾</w:t>
                  </w:r>
                </w:p>
              </w:tc>
              <w:tc>
                <w:tcPr>
                  <w:tcW w:w="3825" w:type="dxa"/>
                  <w:noWrap w:val="0"/>
                  <w:vAlign w:val="center"/>
                </w:tcPr>
                <w:p w14:paraId="2A2420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垃圾桶等</w:t>
                  </w:r>
                </w:p>
              </w:tc>
              <w:tc>
                <w:tcPr>
                  <w:tcW w:w="1374" w:type="dxa"/>
                  <w:noWrap w:val="0"/>
                  <w:vAlign w:val="center"/>
                </w:tcPr>
                <w:p w14:paraId="1B7964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743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13" w:type="dxa"/>
                  <w:gridSpan w:val="2"/>
                  <w:noWrap w:val="0"/>
                  <w:vAlign w:val="center"/>
                </w:tcPr>
                <w:p w14:paraId="682AAB85">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地下水</w:t>
                  </w:r>
                  <w:r>
                    <w:rPr>
                      <w:rFonts w:hint="eastAsia" w:cs="Times New Roman"/>
                      <w:b w:val="0"/>
                      <w:bCs w:val="0"/>
                      <w:color w:val="000000" w:themeColor="text1"/>
                      <w:sz w:val="21"/>
                      <w:szCs w:val="21"/>
                      <w:highlight w:val="none"/>
                      <w:lang w:eastAsia="zh-CN"/>
                      <w14:textFill>
                        <w14:solidFill>
                          <w14:schemeClr w14:val="tx1"/>
                        </w14:solidFill>
                      </w14:textFill>
                    </w:rPr>
                    <w:t>、土壤</w:t>
                  </w:r>
                </w:p>
              </w:tc>
              <w:tc>
                <w:tcPr>
                  <w:tcW w:w="3825" w:type="dxa"/>
                  <w:noWrap w:val="0"/>
                  <w:vAlign w:val="center"/>
                </w:tcPr>
                <w:p w14:paraId="7AA63C9F">
                  <w:pPr>
                    <w:keepNext w:val="0"/>
                    <w:keepLines w:val="0"/>
                    <w:pageBreakBefore w:val="0"/>
                    <w:widowControl w:val="0"/>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一般防渗、重点防渗</w:t>
                  </w:r>
                </w:p>
              </w:tc>
              <w:tc>
                <w:tcPr>
                  <w:tcW w:w="1374" w:type="dxa"/>
                  <w:noWrap w:val="0"/>
                  <w:vAlign w:val="center"/>
                </w:tcPr>
                <w:p w14:paraId="4F6EB239">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依托原有</w:t>
                  </w:r>
                </w:p>
              </w:tc>
            </w:tr>
            <w:tr w14:paraId="3680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13" w:type="dxa"/>
                  <w:gridSpan w:val="2"/>
                  <w:noWrap w:val="0"/>
                  <w:vAlign w:val="center"/>
                </w:tcPr>
                <w:p w14:paraId="353A25C7">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环境风险</w:t>
                  </w:r>
                </w:p>
              </w:tc>
              <w:tc>
                <w:tcPr>
                  <w:tcW w:w="3825" w:type="dxa"/>
                  <w:noWrap w:val="0"/>
                  <w:vAlign w:val="center"/>
                </w:tcPr>
                <w:p w14:paraId="7457E900">
                  <w:pPr>
                    <w:keepNext w:val="0"/>
                    <w:keepLines w:val="0"/>
                    <w:pageBreakBefore w:val="0"/>
                    <w:widowControl w:val="0"/>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设置室外消火栓、灭火器、制定风险应急预案等。</w:t>
                  </w:r>
                </w:p>
              </w:tc>
              <w:tc>
                <w:tcPr>
                  <w:tcW w:w="1374" w:type="dxa"/>
                  <w:noWrap w:val="0"/>
                  <w:vAlign w:val="center"/>
                </w:tcPr>
                <w:p w14:paraId="460B584A">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5</w:t>
                  </w:r>
                </w:p>
              </w:tc>
            </w:tr>
            <w:tr w14:paraId="662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38" w:type="dxa"/>
                  <w:gridSpan w:val="3"/>
                  <w:noWrap w:val="0"/>
                  <w:vAlign w:val="center"/>
                </w:tcPr>
                <w:p w14:paraId="524B9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合计</w:t>
                  </w:r>
                </w:p>
              </w:tc>
              <w:tc>
                <w:tcPr>
                  <w:tcW w:w="1374" w:type="dxa"/>
                  <w:noWrap w:val="0"/>
                  <w:vAlign w:val="center"/>
                </w:tcPr>
                <w:p w14:paraId="32D01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100</w:t>
                  </w:r>
                </w:p>
              </w:tc>
            </w:tr>
          </w:tbl>
          <w:p w14:paraId="51853808">
            <w:pPr>
              <w:pStyle w:val="11"/>
              <w:rPr>
                <w:rFonts w:hint="default"/>
                <w:color w:val="000000" w:themeColor="text1"/>
                <w:lang w:val="zh-CN"/>
                <w14:textFill>
                  <w14:solidFill>
                    <w14:schemeClr w14:val="tx1"/>
                  </w14:solidFill>
                </w14:textFill>
              </w:rPr>
            </w:pPr>
          </w:p>
          <w:p w14:paraId="4642DE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p>
        </w:tc>
      </w:tr>
    </w:tbl>
    <w:p w14:paraId="4FC0398B">
      <w:pPr>
        <w:rPr>
          <w:rFonts w:hint="eastAsia" w:eastAsia="宋体"/>
          <w:snapToGrid/>
          <w:color w:val="000000" w:themeColor="text1"/>
          <w:spacing w:val="0"/>
          <w:kern w:val="0"/>
          <w:position w:val="0"/>
          <w:lang w:eastAsia="zh-CN"/>
          <w14:textFill>
            <w14:solidFill>
              <w14:schemeClr w14:val="tx1"/>
            </w14:solidFill>
          </w14:textFill>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3F31068E">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五、</w:t>
      </w:r>
      <w:bookmarkStart w:id="0" w:name="_Hlk54167917"/>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环境保护措施监督检查清单</w:t>
      </w:r>
      <w:bookmarkEnd w:id="0"/>
    </w:p>
    <w:tbl>
      <w:tblPr>
        <w:tblStyle w:val="24"/>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860"/>
        <w:gridCol w:w="1350"/>
        <w:gridCol w:w="1860"/>
        <w:gridCol w:w="2357"/>
      </w:tblGrid>
      <w:tr w14:paraId="06D20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64" w:type="dxa"/>
            <w:tcBorders>
              <w:tl2br w:val="single" w:color="auto" w:sz="8" w:space="0"/>
            </w:tcBorders>
            <w:noWrap w:val="0"/>
            <w:vAlign w:val="top"/>
          </w:tcPr>
          <w:p w14:paraId="07C93942">
            <w:pPr>
              <w:adjustRightInd w:val="0"/>
              <w:snapToGrid w:val="0"/>
              <w:ind w:firstLine="84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内容</w:t>
            </w:r>
          </w:p>
          <w:p w14:paraId="7F2DECFC">
            <w:pPr>
              <w:adjustRightInd w:val="0"/>
              <w:snapToGrid w:val="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要素</w:t>
            </w:r>
          </w:p>
        </w:tc>
        <w:tc>
          <w:tcPr>
            <w:tcW w:w="1860" w:type="dxa"/>
            <w:tcBorders>
              <w:tl2br w:val="nil"/>
              <w:tr2bl w:val="nil"/>
            </w:tcBorders>
            <w:noWrap w:val="0"/>
            <w:vAlign w:val="center"/>
          </w:tcPr>
          <w:p w14:paraId="495F893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排放口</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编号、</w:t>
            </w:r>
          </w:p>
          <w:p w14:paraId="4D240E9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名称</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/污染源</w:t>
            </w:r>
          </w:p>
        </w:tc>
        <w:tc>
          <w:tcPr>
            <w:tcW w:w="1350" w:type="dxa"/>
            <w:tcBorders>
              <w:tl2br w:val="nil"/>
              <w:tr2bl w:val="nil"/>
            </w:tcBorders>
            <w:noWrap w:val="0"/>
            <w:vAlign w:val="center"/>
          </w:tcPr>
          <w:p w14:paraId="1BA1523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污染物项目</w:t>
            </w:r>
          </w:p>
        </w:tc>
        <w:tc>
          <w:tcPr>
            <w:tcW w:w="1860" w:type="dxa"/>
            <w:tcBorders>
              <w:tl2br w:val="nil"/>
              <w:tr2bl w:val="nil"/>
            </w:tcBorders>
            <w:noWrap w:val="0"/>
            <w:vAlign w:val="center"/>
          </w:tcPr>
          <w:p w14:paraId="1FC533E7">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环境保护措施</w:t>
            </w:r>
          </w:p>
        </w:tc>
        <w:tc>
          <w:tcPr>
            <w:tcW w:w="2357" w:type="dxa"/>
            <w:tcBorders>
              <w:tl2br w:val="nil"/>
              <w:tr2bl w:val="nil"/>
            </w:tcBorders>
            <w:noWrap w:val="0"/>
            <w:vAlign w:val="center"/>
          </w:tcPr>
          <w:p w14:paraId="04E4E2FD">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执行标准</w:t>
            </w:r>
          </w:p>
        </w:tc>
      </w:tr>
      <w:tr w14:paraId="62776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564" w:type="dxa"/>
            <w:tcBorders>
              <w:tl2br w:val="nil"/>
              <w:tr2bl w:val="nil"/>
            </w:tcBorders>
            <w:noWrap w:val="0"/>
            <w:vAlign w:val="center"/>
          </w:tcPr>
          <w:p w14:paraId="7247EBB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大气环境</w:t>
            </w:r>
          </w:p>
        </w:tc>
        <w:tc>
          <w:tcPr>
            <w:tcW w:w="1860" w:type="dxa"/>
            <w:tcBorders>
              <w:tl2br w:val="nil"/>
              <w:tr2bl w:val="nil"/>
            </w:tcBorders>
            <w:noWrap w:val="0"/>
            <w:vAlign w:val="center"/>
          </w:tcPr>
          <w:p w14:paraId="6C3D315E">
            <w:pPr>
              <w:adjustRightInd w:val="0"/>
              <w:snapToGrid w:val="0"/>
              <w:jc w:val="center"/>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t>9T锅炉废气排放口</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DA00</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1</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w:t>
            </w: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p w14:paraId="25B1845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锅炉</w:t>
            </w:r>
          </w:p>
        </w:tc>
        <w:tc>
          <w:tcPr>
            <w:tcW w:w="1350" w:type="dxa"/>
            <w:tcBorders>
              <w:tl2br w:val="nil"/>
              <w:tr2bl w:val="nil"/>
            </w:tcBorders>
            <w:noWrap w:val="0"/>
            <w:vAlign w:val="center"/>
          </w:tcPr>
          <w:p w14:paraId="167AD5A4">
            <w:pPr>
              <w:autoSpaceDE w:val="0"/>
              <w:autoSpaceDN w:val="0"/>
              <w:adjustRightIn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t>二氧化硫、氮氧化物</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颗粒物、</w:t>
            </w:r>
            <w:r>
              <w:rPr>
                <w:rFonts w:hint="eastAsia" w:ascii="Times New Roman" w:hAnsi="Times New Roman" w:cs="Times New Roman"/>
                <w:b w:val="0"/>
                <w:bCs/>
                <w:color w:val="000000" w:themeColor="text1"/>
                <w:sz w:val="21"/>
                <w:szCs w:val="21"/>
                <w:lang w:val="en-US" w:eastAsia="zh-CN"/>
                <w14:textFill>
                  <w14:solidFill>
                    <w14:schemeClr w14:val="tx1"/>
                  </w14:solidFill>
                </w14:textFill>
              </w:rPr>
              <w:t>林格曼黑度</w:t>
            </w:r>
          </w:p>
        </w:tc>
        <w:tc>
          <w:tcPr>
            <w:tcW w:w="1860" w:type="dxa"/>
            <w:tcBorders>
              <w:tl2br w:val="nil"/>
              <w:tr2bl w:val="nil"/>
            </w:tcBorders>
            <w:noWrap w:val="0"/>
            <w:vAlign w:val="center"/>
          </w:tcPr>
          <w:p w14:paraId="7A53BA6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32"/>
                <w:szCs w:val="32"/>
                <w:highlight w:val="no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低氮燃烧器+12m高排气筒（DA001）</w:t>
            </w:r>
          </w:p>
        </w:tc>
        <w:tc>
          <w:tcPr>
            <w:tcW w:w="2357" w:type="dxa"/>
            <w:tcBorders>
              <w:tl2br w:val="nil"/>
              <w:tr2bl w:val="nil"/>
            </w:tcBorders>
            <w:noWrap w:val="0"/>
            <w:vAlign w:val="center"/>
          </w:tcPr>
          <w:p w14:paraId="487636E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锅炉大气污染物排放标准</w:t>
            </w:r>
            <w:r>
              <w:rPr>
                <w:rFonts w:hint="default" w:ascii="Times New Roman" w:hAnsi="Times New Roman" w:eastAsia="宋体" w:cs="Times New Roman"/>
                <w:color w:val="000000" w:themeColor="text1"/>
                <w:sz w:val="24"/>
                <w:szCs w:val="24"/>
                <w14:textFill>
                  <w14:solidFill>
                    <w14:schemeClr w14:val="tx1"/>
                  </w14:solidFill>
                </w14:textFill>
              </w:rPr>
              <w:t>》（GB</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13271</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2014</w:t>
            </w:r>
            <w:r>
              <w:rPr>
                <w:rFonts w:hint="default" w:ascii="Times New Roman" w:hAnsi="Times New Roman" w:eastAsia="宋体" w:cs="Times New Roman"/>
                <w:color w:val="000000" w:themeColor="text1"/>
                <w:sz w:val="24"/>
                <w:szCs w:val="24"/>
                <w14:textFill>
                  <w14:solidFill>
                    <w14:schemeClr w14:val="tx1"/>
                  </w14:solidFill>
                </w14:textFill>
              </w:rPr>
              <w:t>）表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燃气锅炉特别排放限值要求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，其中氮氧化物排放浓度满足“安徽省大气办关于印发《安徽省2020年大气污染防治重点工作任务》的通知” （皖大气办【2020】2号）中氮氧化物排放浓度不高于50毫克/立方米的限值要求</w:t>
            </w:r>
          </w:p>
        </w:tc>
      </w:tr>
      <w:tr w14:paraId="3F8C9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restart"/>
            <w:tcBorders>
              <w:tl2br w:val="nil"/>
              <w:tr2bl w:val="nil"/>
            </w:tcBorders>
            <w:noWrap w:val="0"/>
            <w:vAlign w:val="center"/>
          </w:tcPr>
          <w:p w14:paraId="69C1947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地表水环境</w:t>
            </w:r>
          </w:p>
        </w:tc>
        <w:tc>
          <w:tcPr>
            <w:tcW w:w="1860" w:type="dxa"/>
            <w:vMerge w:val="restart"/>
            <w:tcBorders>
              <w:tl2br w:val="nil"/>
              <w:tr2bl w:val="nil"/>
            </w:tcBorders>
            <w:noWrap w:val="0"/>
            <w:vAlign w:val="center"/>
          </w:tcPr>
          <w:p w14:paraId="26FAF34E">
            <w:pPr>
              <w:adjustRightInd w:val="0"/>
              <w:snapToGrid w:val="0"/>
              <w:jc w:val="center"/>
              <w:rPr>
                <w:rFonts w:hint="eastAsia"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14:textFill>
                  <w14:solidFill>
                    <w14:schemeClr w14:val="tx1"/>
                  </w14:solidFill>
                </w14:textFill>
              </w:rPr>
              <w:t>员工</w:t>
            </w:r>
          </w:p>
          <w:p w14:paraId="1273CB02">
            <w:pPr>
              <w:adjustRightInd w:val="0"/>
              <w:snapToGrid w:val="0"/>
              <w:jc w:val="center"/>
              <w:rPr>
                <w:rFonts w:hint="eastAsia"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14:textFill>
                  <w14:solidFill>
                    <w14:schemeClr w14:val="tx1"/>
                  </w14:solidFill>
                </w14:textFill>
              </w:rPr>
              <w:t>生活</w:t>
            </w:r>
          </w:p>
          <w:p w14:paraId="40CD8FAA">
            <w:pPr>
              <w:spacing w:line="240" w:lineRule="exact"/>
              <w:ind w:firstLine="0" w:firstLineChars="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14:textFill>
                  <w14:solidFill>
                    <w14:schemeClr w14:val="tx1"/>
                  </w14:solidFill>
                </w14:textFill>
              </w:rPr>
              <w:t>污水</w:t>
            </w:r>
          </w:p>
        </w:tc>
        <w:tc>
          <w:tcPr>
            <w:tcW w:w="1350" w:type="dxa"/>
            <w:tcBorders>
              <w:tl2br w:val="nil"/>
              <w:tr2bl w:val="nil"/>
            </w:tcBorders>
            <w:noWrap w:val="0"/>
            <w:vAlign w:val="center"/>
          </w:tcPr>
          <w:p w14:paraId="7E90326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860" w:type="dxa"/>
            <w:vMerge w:val="restart"/>
            <w:tcBorders>
              <w:tl2br w:val="nil"/>
              <w:tr2bl w:val="nil"/>
            </w:tcBorders>
            <w:noWrap w:val="0"/>
            <w:vAlign w:val="center"/>
          </w:tcPr>
          <w:p w14:paraId="6D38BF0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污水处理站</w:t>
            </w:r>
          </w:p>
        </w:tc>
        <w:tc>
          <w:tcPr>
            <w:tcW w:w="2357" w:type="dxa"/>
            <w:vMerge w:val="restart"/>
            <w:tcBorders>
              <w:tl2br w:val="nil"/>
              <w:tr2bl w:val="nil"/>
            </w:tcBorders>
            <w:noWrap w:val="0"/>
            <w:vAlign w:val="center"/>
          </w:tcPr>
          <w:p w14:paraId="37042D8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《食品加工制造业水污染物排放标准》（GB 46817-2025）表</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中</w:t>
            </w:r>
            <w:r>
              <w:rPr>
                <w:rFonts w:hint="eastAsia" w:cs="Times New Roman"/>
                <w:color w:val="000000" w:themeColor="text1"/>
                <w:sz w:val="24"/>
                <w:szCs w:val="24"/>
                <w:lang w:eastAsia="zh-CN"/>
                <w14:textFill>
                  <w14:solidFill>
                    <w14:schemeClr w14:val="tx1"/>
                  </w14:solidFill>
                </w14:textFill>
              </w:rPr>
              <w:t>水污染物排放限值</w:t>
            </w:r>
            <w:r>
              <w:rPr>
                <w:rFonts w:hint="default" w:ascii="Times New Roman" w:hAnsi="Times New Roman" w:eastAsia="宋体" w:cs="Times New Roman"/>
                <w:color w:val="000000" w:themeColor="text1"/>
                <w:sz w:val="24"/>
                <w:szCs w:val="24"/>
                <w14:textFill>
                  <w14:solidFill>
                    <w14:schemeClr w14:val="tx1"/>
                  </w14:solidFill>
                </w14:textFill>
              </w:rPr>
              <w:t>及</w:t>
            </w:r>
            <w:r>
              <w:rPr>
                <w:rFonts w:hint="eastAsia" w:cs="Times New Roman"/>
                <w:color w:val="000000" w:themeColor="text1"/>
                <w:sz w:val="24"/>
                <w:szCs w:val="24"/>
                <w:lang w:eastAsia="zh-CN"/>
                <w14:textFill>
                  <w14:solidFill>
                    <w14:schemeClr w14:val="tx1"/>
                  </w14:solidFill>
                </w14:textFill>
              </w:rPr>
              <w:t>汴北污水处理厂</w:t>
            </w:r>
            <w:r>
              <w:rPr>
                <w:rFonts w:hint="default" w:ascii="Times New Roman" w:hAnsi="Times New Roman" w:eastAsia="宋体" w:cs="Times New Roman"/>
                <w:color w:val="000000" w:themeColor="text1"/>
                <w:sz w:val="24"/>
                <w:szCs w:val="24"/>
                <w14:textFill>
                  <w14:solidFill>
                    <w14:schemeClr w14:val="tx1"/>
                  </w14:solidFill>
                </w14:textFill>
              </w:rPr>
              <w:t>接管标准限值</w:t>
            </w:r>
          </w:p>
        </w:tc>
      </w:tr>
      <w:tr w14:paraId="1BB43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07C8DC3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3F3C3F9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noWrap w:val="0"/>
            <w:vAlign w:val="center"/>
          </w:tcPr>
          <w:p w14:paraId="70E48AD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SS</w:t>
            </w:r>
          </w:p>
        </w:tc>
        <w:tc>
          <w:tcPr>
            <w:tcW w:w="1860" w:type="dxa"/>
            <w:vMerge w:val="continue"/>
            <w:tcBorders>
              <w:tl2br w:val="nil"/>
              <w:tr2bl w:val="nil"/>
            </w:tcBorders>
            <w:noWrap w:val="0"/>
            <w:vAlign w:val="center"/>
          </w:tcPr>
          <w:p w14:paraId="04DC0D0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21838A38">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41F15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7A5673C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1206A9B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noWrap w:val="0"/>
            <w:vAlign w:val="center"/>
          </w:tcPr>
          <w:p w14:paraId="30CE8E25">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4"/>
                <w:szCs w:val="24"/>
                <w:vertAlign w:val="subscript"/>
                <w:lang w:val="en-US" w:eastAsia="zh-CN"/>
                <w14:textFill>
                  <w14:solidFill>
                    <w14:schemeClr w14:val="tx1"/>
                  </w14:solidFill>
                </w14:textFill>
              </w:rPr>
              <w:t>5</w:t>
            </w:r>
          </w:p>
        </w:tc>
        <w:tc>
          <w:tcPr>
            <w:tcW w:w="1860" w:type="dxa"/>
            <w:vMerge w:val="continue"/>
            <w:tcBorders>
              <w:tl2br w:val="nil"/>
              <w:tr2bl w:val="nil"/>
            </w:tcBorders>
            <w:noWrap w:val="0"/>
            <w:vAlign w:val="center"/>
          </w:tcPr>
          <w:p w14:paraId="3AA4A9C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5DA9475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5251D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21F58FE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6A8901E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noWrap w:val="0"/>
            <w:vAlign w:val="center"/>
          </w:tcPr>
          <w:p w14:paraId="6F09C25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cs="Times New Roman"/>
                <w:snapToGrid/>
                <w:color w:val="000000" w:themeColor="text1"/>
                <w:spacing w:val="0"/>
                <w:kern w:val="0"/>
                <w:position w:val="0"/>
                <w:sz w:val="24"/>
                <w:szCs w:val="24"/>
                <w14:textFill>
                  <w14:solidFill>
                    <w14:schemeClr w14:val="tx1"/>
                  </w14:solidFill>
                </w14:textFill>
              </w:rPr>
              <w:t>NH</w:t>
            </w:r>
            <w:r>
              <w:rPr>
                <w:rFonts w:cs="Times New Roman"/>
                <w:snapToGrid/>
                <w:color w:val="000000" w:themeColor="text1"/>
                <w:spacing w:val="0"/>
                <w:kern w:val="0"/>
                <w:position w:val="0"/>
                <w:sz w:val="24"/>
                <w:szCs w:val="24"/>
                <w:vertAlign w:val="subscript"/>
                <w14:textFill>
                  <w14:solidFill>
                    <w14:schemeClr w14:val="tx1"/>
                  </w14:solidFill>
                </w14:textFill>
              </w:rPr>
              <w:t>3</w:t>
            </w:r>
            <w:r>
              <w:rPr>
                <w:rFonts w:cs="Times New Roman"/>
                <w:snapToGrid/>
                <w:color w:val="000000" w:themeColor="text1"/>
                <w:spacing w:val="0"/>
                <w:kern w:val="0"/>
                <w:position w:val="0"/>
                <w:sz w:val="24"/>
                <w:szCs w:val="24"/>
                <w14:textFill>
                  <w14:solidFill>
                    <w14:schemeClr w14:val="tx1"/>
                  </w14:solidFill>
                </w14:textFill>
              </w:rPr>
              <w:t>-N</w:t>
            </w:r>
          </w:p>
        </w:tc>
        <w:tc>
          <w:tcPr>
            <w:tcW w:w="1860" w:type="dxa"/>
            <w:vMerge w:val="continue"/>
            <w:tcBorders>
              <w:tl2br w:val="nil"/>
              <w:tr2bl w:val="nil"/>
            </w:tcBorders>
            <w:noWrap w:val="0"/>
            <w:vAlign w:val="center"/>
          </w:tcPr>
          <w:p w14:paraId="51C9197B">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6730E3F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21566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6178796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restart"/>
            <w:tcBorders>
              <w:tl2br w:val="nil"/>
              <w:tr2bl w:val="nil"/>
            </w:tcBorders>
            <w:noWrap w:val="0"/>
            <w:vAlign w:val="center"/>
          </w:tcPr>
          <w:p w14:paraId="7A505FD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锅炉废水</w:t>
            </w:r>
          </w:p>
        </w:tc>
        <w:tc>
          <w:tcPr>
            <w:tcW w:w="1350" w:type="dxa"/>
            <w:tcBorders>
              <w:tl2br w:val="nil"/>
              <w:tr2bl w:val="nil"/>
            </w:tcBorders>
            <w:shd w:val="clear" w:color="auto" w:fill="auto"/>
            <w:noWrap w:val="0"/>
            <w:vAlign w:val="center"/>
          </w:tcPr>
          <w:p w14:paraId="08B5C9A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860" w:type="dxa"/>
            <w:vMerge w:val="continue"/>
            <w:tcBorders>
              <w:tl2br w:val="nil"/>
              <w:tr2bl w:val="nil"/>
            </w:tcBorders>
            <w:noWrap w:val="0"/>
            <w:vAlign w:val="center"/>
          </w:tcPr>
          <w:p w14:paraId="5EE014C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6DA03F9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34BE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vMerge w:val="continue"/>
            <w:tcBorders>
              <w:tl2br w:val="nil"/>
              <w:tr2bl w:val="nil"/>
            </w:tcBorders>
            <w:noWrap w:val="0"/>
            <w:vAlign w:val="center"/>
          </w:tcPr>
          <w:p w14:paraId="6BE2E34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60" w:type="dxa"/>
            <w:vMerge w:val="continue"/>
            <w:tcBorders>
              <w:tl2br w:val="nil"/>
              <w:tr2bl w:val="nil"/>
            </w:tcBorders>
            <w:noWrap w:val="0"/>
            <w:vAlign w:val="center"/>
          </w:tcPr>
          <w:p w14:paraId="5D330485">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50" w:type="dxa"/>
            <w:tcBorders>
              <w:tl2br w:val="nil"/>
              <w:tr2bl w:val="nil"/>
            </w:tcBorders>
            <w:shd w:val="clear" w:color="auto" w:fill="auto"/>
            <w:noWrap w:val="0"/>
            <w:vAlign w:val="center"/>
          </w:tcPr>
          <w:p w14:paraId="72CED26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SS</w:t>
            </w:r>
          </w:p>
        </w:tc>
        <w:tc>
          <w:tcPr>
            <w:tcW w:w="1860" w:type="dxa"/>
            <w:vMerge w:val="continue"/>
            <w:tcBorders>
              <w:tl2br w:val="nil"/>
              <w:tr2bl w:val="nil"/>
            </w:tcBorders>
            <w:noWrap w:val="0"/>
            <w:vAlign w:val="center"/>
          </w:tcPr>
          <w:p w14:paraId="6540FE3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2357" w:type="dxa"/>
            <w:vMerge w:val="continue"/>
            <w:tcBorders>
              <w:tl2br w:val="nil"/>
              <w:tr2bl w:val="nil"/>
            </w:tcBorders>
            <w:noWrap w:val="0"/>
            <w:vAlign w:val="center"/>
          </w:tcPr>
          <w:p w14:paraId="488FC76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4B63A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64" w:type="dxa"/>
            <w:tcBorders>
              <w:tl2br w:val="nil"/>
              <w:tr2bl w:val="nil"/>
            </w:tcBorders>
            <w:noWrap w:val="0"/>
            <w:vAlign w:val="center"/>
          </w:tcPr>
          <w:p w14:paraId="6BCE383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声环境</w:t>
            </w:r>
          </w:p>
        </w:tc>
        <w:tc>
          <w:tcPr>
            <w:tcW w:w="1860" w:type="dxa"/>
            <w:tcBorders>
              <w:tl2br w:val="nil"/>
              <w:tr2bl w:val="nil"/>
            </w:tcBorders>
            <w:noWrap w:val="0"/>
            <w:vAlign w:val="center"/>
          </w:tcPr>
          <w:p w14:paraId="6897B5F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厂界</w:t>
            </w:r>
          </w:p>
        </w:tc>
        <w:tc>
          <w:tcPr>
            <w:tcW w:w="1350" w:type="dxa"/>
            <w:tcBorders>
              <w:tl2br w:val="nil"/>
              <w:tr2bl w:val="nil"/>
            </w:tcBorders>
            <w:noWrap w:val="0"/>
            <w:vAlign w:val="center"/>
          </w:tcPr>
          <w:p w14:paraId="798E6D4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噪声</w:t>
            </w:r>
          </w:p>
        </w:tc>
        <w:tc>
          <w:tcPr>
            <w:tcW w:w="1860" w:type="dxa"/>
            <w:tcBorders>
              <w:tl2br w:val="nil"/>
              <w:tr2bl w:val="nil"/>
            </w:tcBorders>
            <w:noWrap w:val="0"/>
            <w:vAlign w:val="center"/>
          </w:tcPr>
          <w:p w14:paraId="406D7652">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合理布局；对高噪声设备采取隔振减振措施；车间隔声；合理安排生产时间</w:t>
            </w:r>
          </w:p>
        </w:tc>
        <w:tc>
          <w:tcPr>
            <w:tcW w:w="2357" w:type="dxa"/>
            <w:tcBorders>
              <w:tl2br w:val="nil"/>
              <w:tr2bl w:val="nil"/>
            </w:tcBorders>
            <w:noWrap w:val="0"/>
            <w:vAlign w:val="center"/>
          </w:tcPr>
          <w:p w14:paraId="6F6FC78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《工业企业厂界环境噪声排放标准》（GB12348-2008）中的</w:t>
            </w:r>
            <w:r>
              <w:rPr>
                <w:rFonts w:hint="eastAsia" w:cs="Times New Roman"/>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类</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标准</w:t>
            </w:r>
          </w:p>
        </w:tc>
      </w:tr>
      <w:tr w14:paraId="78B2D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64" w:type="dxa"/>
            <w:tcBorders>
              <w:tl2br w:val="nil"/>
              <w:tr2bl w:val="nil"/>
            </w:tcBorders>
            <w:noWrap w:val="0"/>
            <w:vAlign w:val="center"/>
          </w:tcPr>
          <w:p w14:paraId="643BE7F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电磁辐射</w:t>
            </w:r>
          </w:p>
        </w:tc>
        <w:tc>
          <w:tcPr>
            <w:tcW w:w="7427" w:type="dxa"/>
            <w:gridSpan w:val="4"/>
            <w:tcBorders>
              <w:tl2br w:val="nil"/>
              <w:tr2bl w:val="nil"/>
            </w:tcBorders>
            <w:noWrap w:val="0"/>
            <w:vAlign w:val="center"/>
          </w:tcPr>
          <w:p w14:paraId="0DBE7C6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无</w:t>
            </w:r>
          </w:p>
        </w:tc>
      </w:tr>
      <w:tr w14:paraId="7D9D1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64" w:type="dxa"/>
            <w:tcBorders>
              <w:tl2br w:val="nil"/>
              <w:tr2bl w:val="nil"/>
            </w:tcBorders>
            <w:noWrap w:val="0"/>
            <w:vAlign w:val="center"/>
          </w:tcPr>
          <w:p w14:paraId="1AFEC94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固体废物</w:t>
            </w:r>
          </w:p>
        </w:tc>
        <w:tc>
          <w:tcPr>
            <w:tcW w:w="7427" w:type="dxa"/>
            <w:gridSpan w:val="4"/>
            <w:tcBorders>
              <w:tl2br w:val="nil"/>
              <w:tr2bl w:val="nil"/>
            </w:tcBorders>
            <w:noWrap w:val="0"/>
            <w:vAlign w:val="center"/>
          </w:tcPr>
          <w:p w14:paraId="3FCAB931">
            <w:pPr>
              <w:keepNext w:val="0"/>
              <w:keepLines w:val="0"/>
              <w:pageBreakBefore w:val="0"/>
              <w:widowControl/>
              <w:kinsoku/>
              <w:wordWrap/>
              <w:overflowPunct/>
              <w:topLinePunct w:val="0"/>
              <w:autoSpaceDE/>
              <w:autoSpaceDN/>
              <w:bidi w:val="0"/>
              <w:adjustRightInd/>
              <w:snapToGrid/>
              <w:spacing w:before="95" w:beforeLines="30"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本项目产生的</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一般工业固体废物</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废反渗透膜统一收集后由厂家回收</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生活垃圾委托环卫部门统一处理。</w:t>
            </w:r>
          </w:p>
        </w:tc>
      </w:tr>
      <w:tr w14:paraId="1E2BB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564" w:type="dxa"/>
            <w:tcBorders>
              <w:tl2br w:val="nil"/>
              <w:tr2bl w:val="nil"/>
            </w:tcBorders>
            <w:noWrap w:val="0"/>
            <w:vAlign w:val="center"/>
          </w:tcPr>
          <w:p w14:paraId="77DFB26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土壤及地下水污染防治措施</w:t>
            </w:r>
          </w:p>
        </w:tc>
        <w:tc>
          <w:tcPr>
            <w:tcW w:w="7427" w:type="dxa"/>
            <w:gridSpan w:val="4"/>
            <w:tcBorders>
              <w:tl2br w:val="nil"/>
              <w:tr2bl w:val="nil"/>
            </w:tcBorders>
            <w:noWrap w:val="0"/>
            <w:vAlign w:val="center"/>
          </w:tcPr>
          <w:p w14:paraId="52FD40BC">
            <w:pPr>
              <w:keepNext w:val="0"/>
              <w:keepLines w:val="0"/>
              <w:pageBreakBefore w:val="0"/>
              <w:widowControl w:val="0"/>
              <w:kinsoku/>
              <w:wordWrap/>
              <w:overflowPunct/>
              <w:topLinePunct w:val="0"/>
              <w:autoSpaceDE/>
              <w:autoSpaceDN/>
              <w:bidi w:val="0"/>
              <w:adjustRightInd w:val="0"/>
              <w:snapToGrid w:val="0"/>
              <w:spacing w:before="95" w:beforeLines="30"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一般防渗、重点防渗</w:t>
            </w:r>
          </w:p>
        </w:tc>
      </w:tr>
      <w:tr w14:paraId="64B2E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64" w:type="dxa"/>
            <w:tcBorders>
              <w:tl2br w:val="nil"/>
              <w:tr2bl w:val="nil"/>
            </w:tcBorders>
            <w:noWrap w:val="0"/>
            <w:vAlign w:val="center"/>
          </w:tcPr>
          <w:p w14:paraId="196C17FC">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生态保护措施</w:t>
            </w:r>
          </w:p>
        </w:tc>
        <w:tc>
          <w:tcPr>
            <w:tcW w:w="7427" w:type="dxa"/>
            <w:gridSpan w:val="4"/>
            <w:tcBorders>
              <w:tl2br w:val="nil"/>
              <w:tr2bl w:val="nil"/>
            </w:tcBorders>
            <w:noWrap w:val="0"/>
            <w:vAlign w:val="center"/>
          </w:tcPr>
          <w:p w14:paraId="4A103187">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项目区域附近无自然保护区，人文景观和名胜古迹等环境敏感点，周围没有需要特殊保护的生态环境。项目建设不会对周围生态环境造成影响。</w:t>
            </w:r>
          </w:p>
        </w:tc>
      </w:tr>
      <w:tr w14:paraId="4F062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564" w:type="dxa"/>
            <w:tcBorders>
              <w:tl2br w:val="nil"/>
              <w:tr2bl w:val="nil"/>
            </w:tcBorders>
            <w:noWrap w:val="0"/>
            <w:vAlign w:val="center"/>
          </w:tcPr>
          <w:p w14:paraId="77CAB62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环境风险</w:t>
            </w:r>
          </w:p>
          <w:p w14:paraId="1759AE0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防范措施</w:t>
            </w:r>
          </w:p>
        </w:tc>
        <w:tc>
          <w:tcPr>
            <w:tcW w:w="7427" w:type="dxa"/>
            <w:gridSpan w:val="4"/>
            <w:tcBorders>
              <w:tl2br w:val="nil"/>
              <w:tr2bl w:val="nil"/>
            </w:tcBorders>
            <w:noWrap w:val="0"/>
            <w:vAlign w:val="center"/>
          </w:tcPr>
          <w:p w14:paraId="7DD4F990">
            <w:pPr>
              <w:keepNext w:val="0"/>
              <w:keepLines w:val="0"/>
              <w:pageBreakBefore w:val="0"/>
              <w:widowControl w:val="0"/>
              <w:kinsoku/>
              <w:wordWrap/>
              <w:overflowPunct/>
              <w:topLinePunct w:val="0"/>
              <w:autoSpaceDE/>
              <w:autoSpaceDN/>
              <w:bidi w:val="0"/>
              <w:adjustRightInd w:val="0"/>
              <w:snapToGrid w:val="0"/>
              <w:spacing w:before="95" w:beforeLines="30" w:line="312"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为保证公司员工和周围居民的生命财产安全，防止重、特大事故的发生，并能在事故发生后迅速有效的控制处理，防止事故扩大，根据公司实际情况，本</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着“安全第一，预防为主；统一指挥，分工负责”</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的原则，制定严格的事故应急预案并经常演练使之启动运转及时，是减轻风险事故环境影响的有效措施。</w:t>
            </w:r>
          </w:p>
        </w:tc>
      </w:tr>
      <w:tr w14:paraId="5DFCC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564" w:type="dxa"/>
            <w:tcBorders>
              <w:tl2br w:val="nil"/>
              <w:tr2bl w:val="nil"/>
            </w:tcBorders>
            <w:noWrap w:val="0"/>
            <w:vAlign w:val="center"/>
          </w:tcPr>
          <w:p w14:paraId="25E0276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其他环境</w:t>
            </w:r>
          </w:p>
          <w:p w14:paraId="766BC62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管理要求</w:t>
            </w:r>
          </w:p>
        </w:tc>
        <w:tc>
          <w:tcPr>
            <w:tcW w:w="7427" w:type="dxa"/>
            <w:gridSpan w:val="4"/>
            <w:tcBorders>
              <w:tl2br w:val="nil"/>
              <w:tr2bl w:val="nil"/>
            </w:tcBorders>
            <w:noWrap w:val="0"/>
            <w:vAlign w:val="center"/>
          </w:tcPr>
          <w:p w14:paraId="01F0C7FA">
            <w:pPr>
              <w:keepNext w:val="0"/>
              <w:keepLines w:val="0"/>
              <w:pageBreakBefore w:val="0"/>
              <w:widowControl w:val="0"/>
              <w:kinsoku/>
              <w:wordWrap/>
              <w:overflowPunct/>
              <w:topLinePunct w:val="0"/>
              <w:autoSpaceDE/>
              <w:autoSpaceDN/>
              <w:bidi w:val="0"/>
              <w:adjustRightInd w:val="0"/>
              <w:snapToGrid w:val="0"/>
              <w:spacing w:line="348" w:lineRule="auto"/>
              <w:jc w:val="left"/>
              <w:textAlignment w:val="auto"/>
              <w:rPr>
                <w:rFonts w:hint="default" w:ascii="Times New Roman" w:hAnsi="Times New Roman"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14:textFill>
                  <w14:solidFill>
                    <w14:schemeClr w14:val="tx1"/>
                  </w14:solidFill>
                </w14:textFill>
              </w:rPr>
              <w:t>1、排放口规范化及信息公开化</w:t>
            </w:r>
          </w:p>
          <w:p w14:paraId="591B4C06">
            <w:pPr>
              <w:keepNext w:val="0"/>
              <w:keepLines w:val="0"/>
              <w:pageBreakBefore w:val="0"/>
              <w:widowControl/>
              <w:suppressLineNumbers w:val="0"/>
              <w:kinsoku/>
              <w:wordWrap/>
              <w:overflowPunct/>
              <w:topLinePunct w:val="0"/>
              <w:autoSpaceDE/>
              <w:autoSpaceDN/>
              <w:bidi w:val="0"/>
              <w:adjustRightInd w:val="0"/>
              <w:snapToGrid w:val="0"/>
              <w:spacing w:line="348" w:lineRule="auto"/>
              <w:ind w:firstLine="480" w:firstLineChars="200"/>
              <w:jc w:val="left"/>
              <w:textAlignment w:val="auto"/>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根据《关于开展排放口规范化整治工作的通知》（环发</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1999</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24号）、《排污口规范化整治技术要求》（环监</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1996</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470号）、《固定污染源废气监测点位设置技术规范》（DB37/T 3535-2019）等规定的要求，一切新建、改造、</w:t>
            </w:r>
            <w:r>
              <w:rPr>
                <w:rFonts w:hint="eastAsia" w:cs="Times New Roman"/>
                <w:snapToGrid/>
                <w:color w:val="000000" w:themeColor="text1"/>
                <w:spacing w:val="0"/>
                <w:kern w:val="0"/>
                <w:position w:val="0"/>
                <w:sz w:val="24"/>
                <w:szCs w:val="24"/>
                <w:lang w:eastAsia="zh-CN"/>
                <w14:textFill>
                  <w14:solidFill>
                    <w14:schemeClr w14:val="tx1"/>
                  </w14:solidFill>
                </w14:textFill>
              </w:rPr>
              <w:t>改建</w:t>
            </w:r>
            <w:r>
              <w:rPr>
                <w:rFonts w:hint="default" w:ascii="Times New Roman" w:hAnsi="Times New Roman" w:cs="Times New Roman"/>
                <w:snapToGrid/>
                <w:color w:val="000000" w:themeColor="text1"/>
                <w:spacing w:val="0"/>
                <w:kern w:val="0"/>
                <w:position w:val="0"/>
                <w:sz w:val="24"/>
                <w:szCs w:val="24"/>
                <w14:textFill>
                  <w14:solidFill>
                    <w14:schemeClr w14:val="tx1"/>
                  </w14:solidFill>
                </w14:textFill>
              </w:rPr>
              <w:t>的排污单位以及限期治理的排污单位必须在建设污染治理设施的同时，建设规范化排放口。因此，建设项目产生的各类污染物的排放口必须规范化，并且规范化工作的完成必须与污染治理设施同步</w:t>
            </w:r>
            <w:r>
              <w:rPr>
                <w:rFonts w:hint="eastAsia"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p>
          <w:p w14:paraId="6D791C19">
            <w:pPr>
              <w:pStyle w:val="29"/>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与排污许可证制度衔接</w:t>
            </w:r>
          </w:p>
          <w:p w14:paraId="6F9ACB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ind w:leftChars="0" w:firstLine="480" w:firstLineChars="200"/>
              <w:jc w:val="left"/>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根据《关于做好环境影响评价制度与排污许可制衔接相关工作的通知》（环办环评[2017]84号），项目应在获得环评审批文件后，按照国家环境保护相关法律法规以及排污许可证申请与核发技术规范要求</w:t>
            </w:r>
            <w:r>
              <w:rPr>
                <w:rFonts w:hint="eastAsia" w:cs="Times New Roman"/>
                <w:color w:val="000000" w:themeColor="text1"/>
                <w:kern w:val="0"/>
                <w:sz w:val="24"/>
                <w:szCs w:val="24"/>
                <w:lang w:val="en-US" w:eastAsia="zh-CN" w:bidi="ar"/>
                <w14:textFill>
                  <w14:solidFill>
                    <w14:schemeClr w14:val="tx1"/>
                  </w14:solidFill>
                </w14:textFill>
              </w:rPr>
              <w:t>变更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排污许可证，</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并在取得排污许可证后按照排污许可证申请与核发技术规范相关要求履行自行检测、台账管理、执行报告等手续。</w:t>
            </w:r>
          </w:p>
          <w:p w14:paraId="08C29EA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bidi="ar"/>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bidi="ar"/>
                <w14:textFill>
                  <w14:solidFill>
                    <w14:schemeClr w14:val="tx1"/>
                  </w14:solidFill>
                </w14:textFill>
              </w:rPr>
              <w:t>3、竣工环境保护设施验收</w:t>
            </w:r>
          </w:p>
          <w:p w14:paraId="17356C38">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t>根据《建设项目竣工环境保护验收暂行办法》的规定，建设项目竣工后，建设单位应当如实查验、监测、记载建设项目环境保护设施的建设和调试情况，编制验收监测报告。</w:t>
            </w:r>
          </w:p>
          <w:p w14:paraId="31B47C4A">
            <w:pPr>
              <w:pStyle w:val="29"/>
              <w:numPr>
                <w:ilvl w:val="1"/>
                <w:numId w:val="0"/>
              </w:numPr>
              <w:snapToGrid w:val="0"/>
              <w:spacing w:line="360" w:lineRule="auto"/>
              <w:ind w:left="-60" w:leftChars="0"/>
              <w:rPr>
                <w:rFonts w:hint="eastAsia" w:ascii="宋体" w:hAnsi="宋体" w:eastAsia="宋体" w:cs="宋体"/>
                <w:b/>
                <w:bCs/>
                <w:color w:val="000000" w:themeColor="text1"/>
                <w:kern w:val="0"/>
                <w:sz w:val="24"/>
                <w:szCs w:val="24"/>
                <w:highlight w:val="none"/>
                <w:lang w:bidi="ar"/>
                <w14:textFill>
                  <w14:solidFill>
                    <w14:schemeClr w14:val="tx1"/>
                  </w14:solidFill>
                </w14:textFill>
              </w:rPr>
            </w:pPr>
            <w:r>
              <w:rPr>
                <w:rFonts w:hint="eastAsia" w:cs="Times New Roman"/>
                <w:b/>
                <w:bCs/>
                <w:color w:val="000000" w:themeColor="text1"/>
                <w:kern w:val="0"/>
                <w:sz w:val="24"/>
                <w:szCs w:val="24"/>
                <w:highlight w:val="none"/>
                <w:lang w:val="en-US" w:eastAsia="zh-CN" w:bidi="ar"/>
                <w14:textFill>
                  <w14:solidFill>
                    <w14:schemeClr w14:val="tx1"/>
                  </w14:solidFill>
                </w14:textFill>
              </w:rPr>
              <w:t>4、</w:t>
            </w:r>
            <w:r>
              <w:rPr>
                <w:rFonts w:hint="eastAsia" w:cs="Times New Roman"/>
                <w:b/>
                <w:bCs/>
                <w:color w:val="000000" w:themeColor="text1"/>
                <w:kern w:val="0"/>
                <w:sz w:val="24"/>
                <w:szCs w:val="24"/>
                <w:highlight w:val="none"/>
                <w:lang w:eastAsia="zh-CN" w:bidi="ar"/>
                <w14:textFill>
                  <w14:solidFill>
                    <w14:schemeClr w14:val="tx1"/>
                  </w14:solidFill>
                </w14:textFill>
              </w:rPr>
              <w:t>改建</w:t>
            </w:r>
            <w:r>
              <w:rPr>
                <w:rFonts w:hint="default" w:ascii="Times New Roman" w:hAnsi="Times New Roman" w:eastAsia="宋体" w:cs="Times New Roman"/>
                <w:b/>
                <w:bCs/>
                <w:color w:val="000000" w:themeColor="text1"/>
                <w:kern w:val="0"/>
                <w:sz w:val="24"/>
                <w:szCs w:val="24"/>
                <w:highlight w:val="none"/>
                <w:lang w:bidi="ar"/>
                <w14:textFill>
                  <w14:solidFill>
                    <w14:schemeClr w14:val="tx1"/>
                  </w14:solidFill>
                </w14:textFill>
              </w:rPr>
              <w:t>前后污染物排放</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“三本账”</w:t>
            </w:r>
          </w:p>
          <w:p w14:paraId="5C2B14DD">
            <w:pPr>
              <w:pStyle w:val="29"/>
              <w:numPr>
                <w:ilvl w:val="1"/>
                <w:numId w:val="0"/>
              </w:numPr>
              <w:snapToGrid w:val="0"/>
              <w:spacing w:line="360" w:lineRule="auto"/>
              <w:ind w:left="-60" w:leftChars="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表5.</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eastAsia" w:cs="Times New Roman"/>
                <w:b/>
                <w:bCs/>
                <w:color w:val="000000" w:themeColor="text1"/>
                <w:kern w:val="0"/>
                <w:sz w:val="24"/>
                <w:szCs w:val="24"/>
                <w:highlight w:val="none"/>
                <w:lang w:eastAsia="zh-CN" w:bidi="ar"/>
                <w14:textFill>
                  <w14:solidFill>
                    <w14:schemeClr w14:val="tx1"/>
                  </w14:solidFill>
                </w14:textFill>
              </w:rPr>
              <w:t>改建</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前后污染物</w:t>
            </w:r>
            <w:r>
              <w:rPr>
                <w:rFonts w:hint="eastAsia" w:ascii="宋体" w:hAnsi="宋体" w:eastAsia="宋体" w:cs="宋体"/>
                <w:b/>
                <w:bCs/>
                <w:color w:val="000000" w:themeColor="text1"/>
                <w:sz w:val="24"/>
                <w:szCs w:val="24"/>
                <w:highlight w:val="none"/>
                <w14:textFill>
                  <w14:solidFill>
                    <w14:schemeClr w14:val="tx1"/>
                  </w14:solidFill>
                </w14:textFill>
              </w:rPr>
              <w:t>排放“三本账”</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单位：t/a</w:t>
            </w:r>
          </w:p>
          <w:tbl>
            <w:tblPr>
              <w:tblStyle w:val="25"/>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8"/>
              <w:gridCol w:w="946"/>
              <w:gridCol w:w="1085"/>
              <w:gridCol w:w="939"/>
              <w:gridCol w:w="1262"/>
              <w:gridCol w:w="1044"/>
            </w:tblGrid>
            <w:tr w14:paraId="2683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07CC82FD">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类别</w:t>
                  </w:r>
                </w:p>
              </w:tc>
              <w:tc>
                <w:tcPr>
                  <w:tcW w:w="1238" w:type="dxa"/>
                  <w:vAlign w:val="center"/>
                </w:tcPr>
                <w:p w14:paraId="0B276BCB">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污染物名称</w:t>
                  </w:r>
                </w:p>
              </w:tc>
              <w:tc>
                <w:tcPr>
                  <w:tcW w:w="946" w:type="dxa"/>
                  <w:vAlign w:val="center"/>
                </w:tcPr>
                <w:p w14:paraId="340C8C37">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改建</w:t>
                  </w:r>
                  <w:r>
                    <w:rPr>
                      <w:rFonts w:hint="default" w:ascii="Times New Roman" w:hAnsi="Times New Roman" w:eastAsia="宋体" w:cs="Times New Roman"/>
                      <w:color w:val="000000" w:themeColor="text1"/>
                      <w:sz w:val="21"/>
                      <w:szCs w:val="21"/>
                      <w:highlight w:val="none"/>
                      <w14:textFill>
                        <w14:solidFill>
                          <w14:schemeClr w14:val="tx1"/>
                        </w14:solidFill>
                      </w14:textFill>
                    </w:rPr>
                    <w:t>前排放量</w:t>
                  </w:r>
                </w:p>
              </w:tc>
              <w:tc>
                <w:tcPr>
                  <w:tcW w:w="1085" w:type="dxa"/>
                  <w:vAlign w:val="center"/>
                </w:tcPr>
                <w:p w14:paraId="7439DA31">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本项目排放量</w:t>
                  </w:r>
                </w:p>
              </w:tc>
              <w:tc>
                <w:tcPr>
                  <w:tcW w:w="939" w:type="dxa"/>
                  <w:vAlign w:val="center"/>
                </w:tcPr>
                <w:p w14:paraId="21384CE0">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“以新带老”削减量</w:t>
                  </w:r>
                </w:p>
              </w:tc>
              <w:tc>
                <w:tcPr>
                  <w:tcW w:w="1262" w:type="dxa"/>
                  <w:vAlign w:val="center"/>
                </w:tcPr>
                <w:p w14:paraId="0DEA863C">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改建</w:t>
                  </w:r>
                  <w:r>
                    <w:rPr>
                      <w:rFonts w:hint="default" w:ascii="Times New Roman" w:hAnsi="Times New Roman" w:eastAsia="宋体" w:cs="Times New Roman"/>
                      <w:color w:val="000000" w:themeColor="text1"/>
                      <w:sz w:val="21"/>
                      <w:szCs w:val="21"/>
                      <w:highlight w:val="none"/>
                      <w14:textFill>
                        <w14:solidFill>
                          <w14:schemeClr w14:val="tx1"/>
                        </w14:solidFill>
                      </w14:textFill>
                    </w:rPr>
                    <w:t>后排放量</w:t>
                  </w:r>
                </w:p>
              </w:tc>
              <w:tc>
                <w:tcPr>
                  <w:tcW w:w="1044" w:type="dxa"/>
                  <w:vAlign w:val="center"/>
                </w:tcPr>
                <w:p w14:paraId="138B5C76">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排放增减量</w:t>
                  </w:r>
                </w:p>
              </w:tc>
            </w:tr>
            <w:tr w14:paraId="62B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shd w:val="clear" w:color="auto" w:fill="auto"/>
                  <w:vAlign w:val="center"/>
                </w:tcPr>
                <w:p w14:paraId="2C48A0CB">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废气</w:t>
                  </w:r>
                </w:p>
              </w:tc>
              <w:tc>
                <w:tcPr>
                  <w:tcW w:w="1238" w:type="dxa"/>
                  <w:shd w:val="clear" w:color="auto" w:fill="auto"/>
                  <w:vAlign w:val="center"/>
                </w:tcPr>
                <w:p w14:paraId="613FBACD">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颗粒物</w:t>
                  </w:r>
                </w:p>
              </w:tc>
              <w:tc>
                <w:tcPr>
                  <w:tcW w:w="946" w:type="dxa"/>
                  <w:shd w:val="clear" w:color="auto" w:fill="auto"/>
                  <w:vAlign w:val="center"/>
                </w:tcPr>
                <w:p w14:paraId="0D8EEE51">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085" w:type="dxa"/>
                  <w:shd w:val="clear" w:color="auto" w:fill="auto"/>
                  <w:vAlign w:val="center"/>
                </w:tcPr>
                <w:p w14:paraId="36F74B5D">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939" w:type="dxa"/>
                  <w:shd w:val="clear" w:color="auto" w:fill="auto"/>
                  <w:vAlign w:val="center"/>
                </w:tcPr>
                <w:p w14:paraId="224F755B">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0"/>
                      <w:sz w:val="21"/>
                      <w:szCs w:val="21"/>
                      <w:highlight w:val="none"/>
                      <w:lang w:val="en-US" w:eastAsia="zh-CN" w:bidi="ar-SA"/>
                      <w14:textFill>
                        <w14:solidFill>
                          <w14:schemeClr w14:val="tx1"/>
                        </w14:solidFill>
                      </w14:textFill>
                    </w:rPr>
                    <w:t>0.024</w:t>
                  </w:r>
                </w:p>
              </w:tc>
              <w:tc>
                <w:tcPr>
                  <w:tcW w:w="1262" w:type="dxa"/>
                  <w:shd w:val="clear" w:color="auto" w:fill="auto"/>
                  <w:vAlign w:val="center"/>
                </w:tcPr>
                <w:p w14:paraId="0706102A">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0.399</w:t>
                  </w:r>
                </w:p>
              </w:tc>
              <w:tc>
                <w:tcPr>
                  <w:tcW w:w="1044" w:type="dxa"/>
                  <w:shd w:val="clear" w:color="auto" w:fill="auto"/>
                  <w:vAlign w:val="center"/>
                </w:tcPr>
                <w:p w14:paraId="6AD660A2">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cs="Times New Roman"/>
                      <w:color w:val="000000" w:themeColor="text1"/>
                      <w:kern w:val="2"/>
                      <w:sz w:val="21"/>
                      <w:szCs w:val="21"/>
                      <w:highlight w:val="none"/>
                      <w:lang w:val="en-US" w:eastAsia="zh-CN" w:bidi="ar-SA"/>
                      <w14:textFill>
                        <w14:solidFill>
                          <w14:schemeClr w14:val="tx1"/>
                        </w14:solidFill>
                      </w14:textFill>
                    </w:rPr>
                    <w:t>+0.375</w:t>
                  </w:r>
                </w:p>
              </w:tc>
            </w:tr>
            <w:tr w14:paraId="6F92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1EE2C30B">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635613F6">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cs="Times New Roman"/>
                      <w:color w:val="000000" w:themeColor="text1"/>
                      <w:sz w:val="21"/>
                      <w:szCs w:val="21"/>
                      <w:highlight w:val="none"/>
                      <w:lang w:val="en-US" w:eastAsia="zh-CN"/>
                      <w14:textFill>
                        <w14:solidFill>
                          <w14:schemeClr w14:val="tx1"/>
                        </w14:solidFill>
                      </w14:textFill>
                    </w:rPr>
                    <w:t>SO</w:t>
                  </w:r>
                  <w:r>
                    <w:rPr>
                      <w:rFonts w:hint="eastAsia" w:ascii="Times New Roman" w:cs="Times New Roman"/>
                      <w:color w:val="000000" w:themeColor="text1"/>
                      <w:sz w:val="21"/>
                      <w:szCs w:val="21"/>
                      <w:highlight w:val="none"/>
                      <w:vertAlign w:val="subscript"/>
                      <w:lang w:val="en-US" w:eastAsia="zh-CN"/>
                      <w14:textFill>
                        <w14:solidFill>
                          <w14:schemeClr w14:val="tx1"/>
                        </w14:solidFill>
                      </w14:textFill>
                    </w:rPr>
                    <w:t>2</w:t>
                  </w:r>
                </w:p>
              </w:tc>
              <w:tc>
                <w:tcPr>
                  <w:tcW w:w="946" w:type="dxa"/>
                  <w:shd w:val="clear" w:color="auto" w:fill="auto"/>
                  <w:vAlign w:val="center"/>
                </w:tcPr>
                <w:p w14:paraId="2D580A65">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085" w:type="dxa"/>
                  <w:shd w:val="clear" w:color="auto" w:fill="auto"/>
                  <w:vAlign w:val="center"/>
                </w:tcPr>
                <w:p w14:paraId="5A711872">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939" w:type="dxa"/>
                  <w:shd w:val="clear" w:color="auto" w:fill="auto"/>
                  <w:vAlign w:val="center"/>
                </w:tcPr>
                <w:p w14:paraId="5385A922">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0.012</w:t>
                  </w:r>
                </w:p>
              </w:tc>
              <w:tc>
                <w:tcPr>
                  <w:tcW w:w="1262" w:type="dxa"/>
                  <w:shd w:val="clear" w:color="auto" w:fill="auto"/>
                  <w:vAlign w:val="center"/>
                </w:tcPr>
                <w:p w14:paraId="3D65640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0.333</w:t>
                  </w:r>
                </w:p>
              </w:tc>
              <w:tc>
                <w:tcPr>
                  <w:tcW w:w="1044" w:type="dxa"/>
                  <w:shd w:val="clear" w:color="auto" w:fill="auto"/>
                  <w:vAlign w:val="center"/>
                </w:tcPr>
                <w:p w14:paraId="3285FEB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+0.321</w:t>
                  </w:r>
                </w:p>
              </w:tc>
            </w:tr>
            <w:tr w14:paraId="29B1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220CD85A">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D2A05E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NOx</w:t>
                  </w:r>
                </w:p>
              </w:tc>
              <w:tc>
                <w:tcPr>
                  <w:tcW w:w="946" w:type="dxa"/>
                  <w:shd w:val="clear" w:color="auto" w:fill="auto"/>
                  <w:vAlign w:val="center"/>
                </w:tcPr>
                <w:p w14:paraId="0F767BE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085" w:type="dxa"/>
                  <w:shd w:val="clear" w:color="auto" w:fill="auto"/>
                  <w:vAlign w:val="center"/>
                </w:tcPr>
                <w:p w14:paraId="28B4D5C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939" w:type="dxa"/>
                  <w:shd w:val="clear" w:color="auto" w:fill="auto"/>
                  <w:vAlign w:val="center"/>
                </w:tcPr>
                <w:p w14:paraId="0F7F18B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0.254</w:t>
                  </w:r>
                </w:p>
              </w:tc>
              <w:tc>
                <w:tcPr>
                  <w:tcW w:w="1262" w:type="dxa"/>
                  <w:shd w:val="clear" w:color="auto" w:fill="auto"/>
                  <w:vAlign w:val="center"/>
                </w:tcPr>
                <w:p w14:paraId="575701B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0.504</w:t>
                  </w:r>
                </w:p>
              </w:tc>
              <w:tc>
                <w:tcPr>
                  <w:tcW w:w="1044" w:type="dxa"/>
                  <w:shd w:val="clear" w:color="auto" w:fill="auto"/>
                  <w:vAlign w:val="center"/>
                </w:tcPr>
                <w:p w14:paraId="71E6F17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+0.25</w:t>
                  </w:r>
                </w:p>
              </w:tc>
            </w:tr>
            <w:tr w14:paraId="128B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shd w:val="clear" w:color="auto" w:fill="auto"/>
                  <w:vAlign w:val="center"/>
                </w:tcPr>
                <w:p w14:paraId="091F72FA">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1238" w:type="dxa"/>
                  <w:shd w:val="clear" w:color="auto" w:fill="auto"/>
                  <w:vAlign w:val="center"/>
                </w:tcPr>
                <w:p w14:paraId="528E10E6">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COD</w:t>
                  </w:r>
                </w:p>
              </w:tc>
              <w:tc>
                <w:tcPr>
                  <w:tcW w:w="946" w:type="dxa"/>
                  <w:shd w:val="clear" w:color="auto" w:fill="auto"/>
                  <w:vAlign w:val="center"/>
                </w:tcPr>
                <w:p w14:paraId="5C023CAF">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85" w:type="dxa"/>
                  <w:shd w:val="clear" w:color="auto" w:fill="auto"/>
                  <w:vAlign w:val="center"/>
                </w:tcPr>
                <w:p w14:paraId="00BB03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939" w:type="dxa"/>
                  <w:shd w:val="clear" w:color="auto" w:fill="auto"/>
                  <w:vAlign w:val="center"/>
                </w:tcPr>
                <w:p w14:paraId="748843BB">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262" w:type="dxa"/>
                  <w:shd w:val="clear" w:color="auto" w:fill="auto"/>
                  <w:vAlign w:val="center"/>
                </w:tcPr>
                <w:p w14:paraId="2C3D7B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44" w:type="dxa"/>
                  <w:shd w:val="clear" w:color="auto" w:fill="auto"/>
                  <w:vAlign w:val="center"/>
                </w:tcPr>
                <w:p w14:paraId="21901D2E">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A62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571C371B">
                  <w:pPr>
                    <w:pStyle w:val="29"/>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158BC2C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NH</w:t>
                  </w:r>
                  <w:r>
                    <w:rPr>
                      <w:rFonts w:hint="default" w:ascii="Times New Roman" w:hAnsi="Times New Roman" w:eastAsia="宋体" w:cs="Times New Roman"/>
                      <w:color w:val="000000" w:themeColor="text1"/>
                      <w:kern w:val="0"/>
                      <w:sz w:val="21"/>
                      <w:szCs w:val="21"/>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-N</w:t>
                  </w:r>
                </w:p>
              </w:tc>
              <w:tc>
                <w:tcPr>
                  <w:tcW w:w="946" w:type="dxa"/>
                  <w:shd w:val="clear" w:color="auto" w:fill="auto"/>
                  <w:vAlign w:val="center"/>
                </w:tcPr>
                <w:p w14:paraId="7EFCE7AA">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85" w:type="dxa"/>
                  <w:shd w:val="clear" w:color="auto" w:fill="auto"/>
                  <w:vAlign w:val="center"/>
                </w:tcPr>
                <w:p w14:paraId="3DBAF3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939" w:type="dxa"/>
                  <w:shd w:val="clear" w:color="auto" w:fill="auto"/>
                  <w:vAlign w:val="center"/>
                </w:tcPr>
                <w:p w14:paraId="0896D77A">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262" w:type="dxa"/>
                  <w:shd w:val="clear" w:color="auto" w:fill="auto"/>
                  <w:vAlign w:val="center"/>
                </w:tcPr>
                <w:p w14:paraId="198988B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044" w:type="dxa"/>
                  <w:shd w:val="clear" w:color="auto" w:fill="auto"/>
                  <w:vAlign w:val="center"/>
                </w:tcPr>
                <w:p w14:paraId="5C700E6F">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0708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shd w:val="clear" w:color="auto" w:fill="auto"/>
                  <w:vAlign w:val="center"/>
                </w:tcPr>
                <w:p w14:paraId="0D5BAA42">
                  <w:pPr>
                    <w:pStyle w:val="29"/>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1238" w:type="dxa"/>
                  <w:shd w:val="clear" w:color="auto" w:fill="auto"/>
                  <w:vAlign w:val="center"/>
                </w:tcPr>
                <w:p w14:paraId="75FD5B03">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生活垃圾</w:t>
                  </w:r>
                </w:p>
              </w:tc>
              <w:tc>
                <w:tcPr>
                  <w:tcW w:w="946" w:type="dxa"/>
                  <w:shd w:val="clear" w:color="auto" w:fill="auto"/>
                  <w:vAlign w:val="center"/>
                </w:tcPr>
                <w:p w14:paraId="23B777FF">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bidi="en-US"/>
                      <w14:textFill>
                        <w14:solidFill>
                          <w14:schemeClr w14:val="tx1"/>
                        </w14:solidFill>
                      </w14:textFill>
                    </w:rPr>
                    <w:t>45</w:t>
                  </w:r>
                </w:p>
              </w:tc>
              <w:tc>
                <w:tcPr>
                  <w:tcW w:w="1085" w:type="dxa"/>
                  <w:shd w:val="clear" w:color="auto" w:fill="auto"/>
                  <w:vAlign w:val="center"/>
                </w:tcPr>
                <w:p w14:paraId="7925608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3.96</w:t>
                  </w:r>
                </w:p>
              </w:tc>
              <w:tc>
                <w:tcPr>
                  <w:tcW w:w="939" w:type="dxa"/>
                  <w:shd w:val="clear" w:color="auto" w:fill="auto"/>
                  <w:vAlign w:val="center"/>
                </w:tcPr>
                <w:p w14:paraId="64C33986">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26FB1D04">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eastAsia" w:cs="Times New Roman"/>
                      <w:snapToGrid w:val="0"/>
                      <w:color w:val="000000" w:themeColor="text1"/>
                      <w:kern w:val="21"/>
                      <w:sz w:val="21"/>
                      <w:szCs w:val="21"/>
                      <w:highlight w:val="none"/>
                      <w:lang w:val="en-US" w:eastAsia="zh-CN"/>
                      <w14:textFill>
                        <w14:solidFill>
                          <w14:schemeClr w14:val="tx1"/>
                        </w14:solidFill>
                      </w14:textFill>
                    </w:rPr>
                    <w:t>48.96</w:t>
                  </w:r>
                </w:p>
              </w:tc>
              <w:tc>
                <w:tcPr>
                  <w:tcW w:w="1044" w:type="dxa"/>
                  <w:shd w:val="clear" w:color="auto" w:fill="auto"/>
                  <w:vAlign w:val="center"/>
                </w:tcPr>
                <w:p w14:paraId="080C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t>+3.96</w:t>
                  </w:r>
                </w:p>
              </w:tc>
            </w:tr>
            <w:tr w14:paraId="1861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44032C3C">
                  <w:pPr>
                    <w:pStyle w:val="29"/>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9B5834D">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破损、坏烂果蔬</w:t>
                  </w:r>
                </w:p>
              </w:tc>
              <w:tc>
                <w:tcPr>
                  <w:tcW w:w="946" w:type="dxa"/>
                  <w:shd w:val="clear" w:color="auto" w:fill="auto"/>
                  <w:vAlign w:val="center"/>
                </w:tcPr>
                <w:p w14:paraId="019B26B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1000</w:t>
                  </w:r>
                </w:p>
              </w:tc>
              <w:tc>
                <w:tcPr>
                  <w:tcW w:w="1085" w:type="dxa"/>
                  <w:shd w:val="clear" w:color="auto" w:fill="auto"/>
                  <w:vAlign w:val="center"/>
                </w:tcPr>
                <w:p w14:paraId="5915987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0</w:t>
                  </w:r>
                </w:p>
              </w:tc>
              <w:tc>
                <w:tcPr>
                  <w:tcW w:w="939" w:type="dxa"/>
                  <w:shd w:val="clear" w:color="auto" w:fill="auto"/>
                  <w:vAlign w:val="center"/>
                </w:tcPr>
                <w:p w14:paraId="533C2C17">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201C1D2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1000</w:t>
                  </w:r>
                </w:p>
              </w:tc>
              <w:tc>
                <w:tcPr>
                  <w:tcW w:w="1044" w:type="dxa"/>
                  <w:shd w:val="clear" w:color="auto" w:fill="auto"/>
                  <w:vAlign w:val="center"/>
                </w:tcPr>
                <w:p w14:paraId="0BC3B42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r>
            <w:tr w14:paraId="38BF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61B884DB">
                  <w:pPr>
                    <w:pStyle w:val="29"/>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73E03F2">
                  <w:pPr>
                    <w:keepNext w:val="0"/>
                    <w:keepLines w:val="0"/>
                    <w:pageBreakBefore w:val="0"/>
                    <w:widowControl/>
                    <w:suppressLineNumbers w:val="0"/>
                    <w:kinsoku/>
                    <w:wordWrap/>
                    <w:overflowPunct/>
                    <w:autoSpaceDE/>
                    <w:autoSpaceDN/>
                    <w:bidi w:val="0"/>
                    <w:jc w:val="center"/>
                    <w:textAlignment w:val="auto"/>
                    <w:rPr>
                      <w:rFonts w:hint="eastAsia"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废包装材料</w:t>
                  </w:r>
                </w:p>
              </w:tc>
              <w:tc>
                <w:tcPr>
                  <w:tcW w:w="946" w:type="dxa"/>
                  <w:shd w:val="clear" w:color="auto" w:fill="auto"/>
                  <w:vAlign w:val="center"/>
                </w:tcPr>
                <w:p w14:paraId="07F1AC27">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w:t>
                  </w:r>
                </w:p>
              </w:tc>
              <w:tc>
                <w:tcPr>
                  <w:tcW w:w="1085" w:type="dxa"/>
                  <w:shd w:val="clear" w:color="auto" w:fill="auto"/>
                  <w:vAlign w:val="center"/>
                </w:tcPr>
                <w:p w14:paraId="3B7A23F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c>
                <w:tcPr>
                  <w:tcW w:w="939" w:type="dxa"/>
                  <w:shd w:val="clear" w:color="auto" w:fill="auto"/>
                  <w:vAlign w:val="center"/>
                </w:tcPr>
                <w:p w14:paraId="7353E63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32EF5667">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w:t>
                  </w:r>
                </w:p>
              </w:tc>
              <w:tc>
                <w:tcPr>
                  <w:tcW w:w="1044" w:type="dxa"/>
                  <w:shd w:val="clear" w:color="auto" w:fill="auto"/>
                  <w:vAlign w:val="center"/>
                </w:tcPr>
                <w:p w14:paraId="0F16E4E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r>
            <w:tr w14:paraId="56D4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2795D631">
                  <w:pPr>
                    <w:pStyle w:val="29"/>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41C7C127">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zh-CN" w:eastAsia="zh-CN" w:bidi="ar-SA"/>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废反渗透膜</w:t>
                  </w:r>
                </w:p>
              </w:tc>
              <w:tc>
                <w:tcPr>
                  <w:tcW w:w="946" w:type="dxa"/>
                  <w:shd w:val="clear" w:color="auto" w:fill="auto"/>
                  <w:vAlign w:val="center"/>
                </w:tcPr>
                <w:p w14:paraId="65012B1A">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0.05</w:t>
                  </w:r>
                </w:p>
              </w:tc>
              <w:tc>
                <w:tcPr>
                  <w:tcW w:w="1085" w:type="dxa"/>
                  <w:shd w:val="clear" w:color="auto" w:fill="auto"/>
                  <w:vAlign w:val="center"/>
                </w:tcPr>
                <w:p w14:paraId="27EE5EF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c>
                <w:tcPr>
                  <w:tcW w:w="939" w:type="dxa"/>
                  <w:shd w:val="clear" w:color="auto" w:fill="auto"/>
                  <w:vAlign w:val="center"/>
                </w:tcPr>
                <w:p w14:paraId="2701995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4EF0773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0.05</w:t>
                  </w:r>
                </w:p>
              </w:tc>
              <w:tc>
                <w:tcPr>
                  <w:tcW w:w="1044" w:type="dxa"/>
                  <w:shd w:val="clear" w:color="auto" w:fill="auto"/>
                  <w:vAlign w:val="center"/>
                </w:tcPr>
                <w:p w14:paraId="3C67C3B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r>
            <w:tr w14:paraId="1A25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continue"/>
                  <w:shd w:val="clear" w:color="auto" w:fill="auto"/>
                  <w:vAlign w:val="center"/>
                </w:tcPr>
                <w:p w14:paraId="36ACC7D7">
                  <w:pPr>
                    <w:pStyle w:val="29"/>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38" w:type="dxa"/>
                  <w:shd w:val="clear" w:color="auto" w:fill="auto"/>
                  <w:vAlign w:val="center"/>
                </w:tcPr>
                <w:p w14:paraId="10B5355D">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污水处理站污泥</w:t>
                  </w:r>
                </w:p>
              </w:tc>
              <w:tc>
                <w:tcPr>
                  <w:tcW w:w="946" w:type="dxa"/>
                  <w:shd w:val="clear" w:color="auto" w:fill="auto"/>
                  <w:vAlign w:val="center"/>
                </w:tcPr>
                <w:p w14:paraId="5E3A1AB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2.7</w:t>
                  </w:r>
                </w:p>
              </w:tc>
              <w:tc>
                <w:tcPr>
                  <w:tcW w:w="1085" w:type="dxa"/>
                  <w:shd w:val="clear" w:color="auto" w:fill="auto"/>
                  <w:vAlign w:val="center"/>
                </w:tcPr>
                <w:p w14:paraId="66B039A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vertAlign w:val="baseline"/>
                      <w:lang w:val="en-US" w:eastAsia="zh-CN" w:bidi="ar-SA"/>
                      <w14:textFill>
                        <w14:solidFill>
                          <w14:schemeClr w14:val="tx1"/>
                        </w14:solidFill>
                      </w14:textFill>
                    </w:rPr>
                    <w:t>0</w:t>
                  </w:r>
                </w:p>
              </w:tc>
              <w:tc>
                <w:tcPr>
                  <w:tcW w:w="939" w:type="dxa"/>
                  <w:shd w:val="clear" w:color="auto" w:fill="auto"/>
                  <w:vAlign w:val="center"/>
                </w:tcPr>
                <w:p w14:paraId="1CED9207">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c>
                <w:tcPr>
                  <w:tcW w:w="1262" w:type="dxa"/>
                  <w:shd w:val="clear" w:color="auto" w:fill="auto"/>
                  <w:vAlign w:val="center"/>
                </w:tcPr>
                <w:p w14:paraId="4ED60F3C">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vertAlign w:val="baseline"/>
                      <w:lang w:val="en-US" w:eastAsia="zh-CN" w:bidi="ar-SA"/>
                      <w14:textFill>
                        <w14:solidFill>
                          <w14:schemeClr w14:val="tx1"/>
                        </w14:solidFill>
                      </w14:textFill>
                    </w:rPr>
                    <w:t>2.7</w:t>
                  </w:r>
                </w:p>
              </w:tc>
              <w:tc>
                <w:tcPr>
                  <w:tcW w:w="1044" w:type="dxa"/>
                  <w:shd w:val="clear" w:color="auto" w:fill="auto"/>
                  <w:vAlign w:val="center"/>
                </w:tcPr>
                <w:p w14:paraId="275D9854">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r>
          </w:tbl>
          <w:p w14:paraId="3D28DF61">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7B4BD7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5650D220">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E4AC32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C37DCF6">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3657396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9D5EEC6">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966EF98">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736622FE">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13856572">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D61BDA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309C50F">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CE46EF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1E5DA77">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04F3ADF">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4E80E30B">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3113CB09">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1643E083">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573B84DD">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20E3C9A3">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eastAsia" w:ascii="宋体" w:hAnsi="宋体" w:cs="宋体"/>
                <w:snapToGrid/>
                <w:color w:val="000000" w:themeColor="text1"/>
                <w:spacing w:val="0"/>
                <w:kern w:val="0"/>
                <w:position w:val="0"/>
                <w:sz w:val="24"/>
                <w:szCs w:val="24"/>
                <w:lang w:val="en-US" w:eastAsia="zh-CN" w:bidi="ar-SA"/>
                <w14:textFill>
                  <w14:solidFill>
                    <w14:schemeClr w14:val="tx1"/>
                  </w14:solidFill>
                </w14:textFill>
              </w:rPr>
            </w:pPr>
          </w:p>
          <w:p w14:paraId="0F2F06DB">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default" w:ascii="宋体" w:hAnsi="宋体" w:eastAsia="宋体" w:cs="宋体"/>
                <w:snapToGrid/>
                <w:color w:val="000000" w:themeColor="text1"/>
                <w:spacing w:val="0"/>
                <w:kern w:val="0"/>
                <w:position w:val="0"/>
                <w:sz w:val="24"/>
                <w:szCs w:val="24"/>
                <w:lang w:val="en-US" w:eastAsia="zh-CN" w:bidi="ar-SA"/>
                <w14:textFill>
                  <w14:solidFill>
                    <w14:schemeClr w14:val="tx1"/>
                  </w14:solidFill>
                </w14:textFill>
              </w:rPr>
            </w:pPr>
          </w:p>
        </w:tc>
      </w:tr>
    </w:tbl>
    <w:p w14:paraId="306DA2E8">
      <w:pPr>
        <w:pStyle w:val="2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14:textFill>
            <w14:solidFill>
              <w14:schemeClr w14:val="tx1"/>
            </w14:solidFill>
          </w14:textFill>
        </w:rPr>
        <w:br w:type="page"/>
      </w:r>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六、结论</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C521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8865" w:type="dxa"/>
            <w:tcBorders>
              <w:tl2br w:val="nil"/>
              <w:tr2bl w:val="nil"/>
            </w:tcBorders>
            <w:noWrap w:val="0"/>
            <w:vAlign w:val="center"/>
          </w:tcPr>
          <w:p w14:paraId="7E55E227">
            <w:pPr>
              <w:bidi w:val="0"/>
              <w:spacing w:line="360" w:lineRule="auto"/>
              <w:ind w:firstLine="480" w:firstLineChars="200"/>
              <w:rPr>
                <w:rFonts w:hint="eastAsia" w:ascii="Times New Roman" w:hAnsi="Times New Roman" w:eastAsia="宋体" w:cs="Times New Roman"/>
                <w:snapToGrid/>
                <w:color w:val="000000" w:themeColor="text1"/>
                <w:spacing w:val="0"/>
                <w:kern w:val="0"/>
                <w:position w:val="0"/>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eastAsia="zh-CN"/>
                <w14:textFill>
                  <w14:solidFill>
                    <w14:schemeClr w14:val="tx1"/>
                  </w14:solidFill>
                </w14:textFill>
              </w:rPr>
              <w:t>安徽东方果园生物科技有限公司安徽东方果园生物科技有限公司技术升级改造项目</w:t>
            </w:r>
            <w:r>
              <w:rPr>
                <w:rFonts w:hint="default" w:ascii="Times New Roman" w:hAnsi="Times New Roman" w:eastAsia="宋体" w:cs="Times New Roman"/>
                <w:color w:val="000000" w:themeColor="text1"/>
                <w:sz w:val="24"/>
                <w:szCs w:val="24"/>
                <w:lang w:eastAsia="zh-CN"/>
                <w14:textFill>
                  <w14:solidFill>
                    <w14:schemeClr w14:val="tx1"/>
                  </w14:solidFill>
                </w14:textFill>
              </w:rPr>
              <w:t>的建设符合</w:t>
            </w:r>
            <w:r>
              <w:rPr>
                <w:rFonts w:hint="eastAsia" w:cs="Times New Roman"/>
                <w:color w:val="000000" w:themeColor="text1"/>
                <w:sz w:val="24"/>
                <w:szCs w:val="24"/>
                <w:lang w:val="en-US" w:eastAsia="zh-CN"/>
                <w14:textFill>
                  <w14:solidFill>
                    <w14:schemeClr w14:val="tx1"/>
                  </w14:solidFill>
                </w14:textFill>
              </w:rPr>
              <w:t>相关</w:t>
            </w:r>
            <w:r>
              <w:rPr>
                <w:rFonts w:hint="default" w:ascii="Times New Roman" w:hAnsi="Times New Roman" w:eastAsia="宋体" w:cs="Times New Roman"/>
                <w:color w:val="000000" w:themeColor="text1"/>
                <w:sz w:val="24"/>
                <w:szCs w:val="24"/>
                <w:lang w:eastAsia="zh-CN"/>
                <w14:textFill>
                  <w14:solidFill>
                    <w14:schemeClr w14:val="tx1"/>
                  </w14:solidFill>
                </w14:textFill>
              </w:rPr>
              <w:t>要求</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只要工程在运行期严格执行有关环保法规规定，切实落实报告提出的各项污染防治措施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在</w:t>
            </w:r>
            <w:r>
              <w:rPr>
                <w:rFonts w:hint="eastAsia" w:ascii="Times New Roman" w:hAnsi="Times New Roman" w:eastAsia="宋体"/>
                <w:color w:val="000000" w:themeColor="text1"/>
                <w:sz w:val="24"/>
                <w:szCs w:val="24"/>
                <w:lang w:eastAsia="zh-CN"/>
                <w14:textFill>
                  <w14:solidFill>
                    <w14:schemeClr w14:val="tx1"/>
                  </w14:solidFill>
                </w14:textFill>
              </w:rPr>
              <w:t>确保污染物达标排放</w:t>
            </w:r>
            <w:r>
              <w:rPr>
                <w:color w:val="000000" w:themeColor="text1"/>
                <w:sz w:val="24"/>
                <w14:textFill>
                  <w14:solidFill>
                    <w14:schemeClr w14:val="tx1"/>
                  </w14:solidFill>
                </w14:textFill>
              </w:rPr>
              <w:t>的前提下，本项目的建设对周围环境的不利影响较小</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8"/>
                <w14:textFill>
                  <w14:solidFill>
                    <w14:schemeClr w14:val="tx1"/>
                  </w14:solidFill>
                </w14:textFill>
              </w:rPr>
              <w:t>因而从环境保护的角度而言，该项目是可行的。</w:t>
            </w:r>
          </w:p>
        </w:tc>
      </w:tr>
    </w:tbl>
    <w:p w14:paraId="493A055B">
      <w:pPr>
        <w:rPr>
          <w:rFonts w:hint="default" w:ascii="Times New Roman" w:hAnsi="Times New Roman" w:eastAsia="宋体" w:cs="Times New Roman"/>
          <w:snapToGrid/>
          <w:color w:val="000000" w:themeColor="text1"/>
          <w:spacing w:val="0"/>
          <w:kern w:val="0"/>
          <w:position w:val="0"/>
          <w14:textFill>
            <w14:solidFill>
              <w14:schemeClr w14:val="tx1"/>
            </w14:solidFill>
          </w14:textFill>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68C175A1">
      <w:pPr>
        <w:pStyle w:val="22"/>
        <w:adjustRightInd w:val="0"/>
        <w:snapToGrid w:val="0"/>
        <w:spacing w:before="0" w:beforeAutospacing="0" w:after="0" w:afterAutospacing="0" w:line="360" w:lineRule="auto"/>
        <w:outlineLvl w:val="0"/>
        <w:rPr>
          <w:rFonts w:hint="default" w:ascii="Times New Roman" w:hAnsi="Times New Roman" w:eastAsia="宋体" w:cs="Times New Roman"/>
          <w:b/>
          <w:bCs/>
          <w:snapToGrid/>
          <w:color w:val="000000" w:themeColor="text1"/>
          <w:spacing w:val="0"/>
          <w:kern w:val="0"/>
          <w:position w:val="0"/>
          <w:sz w:val="32"/>
          <w:szCs w:val="32"/>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2"/>
          <w:szCs w:val="32"/>
          <w14:textFill>
            <w14:solidFill>
              <w14:schemeClr w14:val="tx1"/>
            </w14:solidFill>
          </w14:textFill>
        </w:rPr>
        <w:t>附表</w:t>
      </w:r>
    </w:p>
    <w:p w14:paraId="280ABE0C">
      <w:pPr>
        <w:pStyle w:val="22"/>
        <w:adjustRightInd w:val="0"/>
        <w:snapToGrid w:val="0"/>
        <w:spacing w:before="0" w:beforeAutospacing="0" w:after="0" w:afterAutospacing="0" w:line="360" w:lineRule="auto"/>
        <w:jc w:val="center"/>
        <w:outlineLvl w:val="0"/>
        <w:rPr>
          <w:rFonts w:hint="default" w:ascii="Times New Roman" w:hAnsi="Times New Roman" w:eastAsia="宋体" w:cs="Times New Roman"/>
          <w:b/>
          <w:bCs/>
          <w:snapToGrid/>
          <w:color w:val="000000" w:themeColor="text1"/>
          <w:spacing w:val="0"/>
          <w:kern w:val="0"/>
          <w:position w:val="0"/>
          <w:sz w:val="38"/>
          <w:szCs w:val="38"/>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8"/>
          <w:szCs w:val="38"/>
          <w14:textFill>
            <w14:solidFill>
              <w14:schemeClr w14:val="tx1"/>
            </w14:solidFill>
          </w14:textFill>
        </w:rPr>
        <w:t>建设项目污染物排放量汇总表</w:t>
      </w:r>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16"/>
        <w:gridCol w:w="1695"/>
        <w:gridCol w:w="1275"/>
        <w:gridCol w:w="1725"/>
        <w:gridCol w:w="1530"/>
        <w:gridCol w:w="1520"/>
        <w:gridCol w:w="1752"/>
        <w:gridCol w:w="1387"/>
      </w:tblGrid>
      <w:tr w14:paraId="69CCB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88" w:type="dxa"/>
            <w:tcBorders>
              <w:tl2br w:val="single" w:color="auto" w:sz="4" w:space="0"/>
            </w:tcBorders>
            <w:noWrap w:val="0"/>
            <w:tcMar>
              <w:left w:w="28" w:type="dxa"/>
              <w:right w:w="28" w:type="dxa"/>
            </w:tcMar>
            <w:vAlign w:val="center"/>
          </w:tcPr>
          <w:p w14:paraId="4F2701E9">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w:t>
            </w:r>
          </w:p>
          <w:p w14:paraId="2E836D1D">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分类</w:t>
            </w:r>
          </w:p>
        </w:tc>
        <w:tc>
          <w:tcPr>
            <w:tcW w:w="1316" w:type="dxa"/>
            <w:noWrap w:val="0"/>
            <w:tcMar>
              <w:left w:w="28" w:type="dxa"/>
              <w:right w:w="28" w:type="dxa"/>
            </w:tcMar>
            <w:vAlign w:val="center"/>
          </w:tcPr>
          <w:p w14:paraId="37D57539">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污染物名称</w:t>
            </w:r>
          </w:p>
        </w:tc>
        <w:tc>
          <w:tcPr>
            <w:tcW w:w="1695" w:type="dxa"/>
            <w:noWrap w:val="0"/>
            <w:tcMar>
              <w:left w:w="28" w:type="dxa"/>
              <w:right w:w="28" w:type="dxa"/>
            </w:tcMar>
            <w:vAlign w:val="center"/>
          </w:tcPr>
          <w:p w14:paraId="7759B3F1">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275" w:type="dxa"/>
            <w:noWrap w:val="0"/>
            <w:tcMar>
              <w:left w:w="28" w:type="dxa"/>
              <w:right w:w="28" w:type="dxa"/>
            </w:tcMar>
            <w:vAlign w:val="center"/>
          </w:tcPr>
          <w:p w14:paraId="7352F86C">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w:t>
            </w:r>
          </w:p>
          <w:p w14:paraId="000E6EA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许可排放量</w:t>
            </w:r>
          </w:p>
          <w:p w14:paraId="23710388">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2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②</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725" w:type="dxa"/>
            <w:noWrap w:val="0"/>
            <w:tcMar>
              <w:left w:w="28" w:type="dxa"/>
              <w:right w:w="28" w:type="dxa"/>
            </w:tcMar>
            <w:vAlign w:val="center"/>
          </w:tcPr>
          <w:p w14:paraId="76BCDCF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在建工程排放量（固体废物产生量）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530" w:type="dxa"/>
            <w:noWrap w:val="0"/>
            <w:tcMar>
              <w:left w:w="28" w:type="dxa"/>
              <w:right w:w="28" w:type="dxa"/>
            </w:tcMar>
            <w:vAlign w:val="center"/>
          </w:tcPr>
          <w:p w14:paraId="56456ED1">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520" w:type="dxa"/>
            <w:noWrap w:val="0"/>
            <w:tcMar>
              <w:left w:w="28" w:type="dxa"/>
              <w:right w:w="28" w:type="dxa"/>
            </w:tcMar>
            <w:vAlign w:val="center"/>
          </w:tcPr>
          <w:p w14:paraId="2413496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以新带老削减量（新建项目不填）</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752" w:type="dxa"/>
            <w:noWrap w:val="0"/>
            <w:tcMar>
              <w:left w:w="28" w:type="dxa"/>
              <w:right w:w="28" w:type="dxa"/>
            </w:tcMar>
            <w:vAlign w:val="center"/>
          </w:tcPr>
          <w:p w14:paraId="6F7D39F0">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本项目建成后全厂排放量（固体废物产生量）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387" w:type="dxa"/>
            <w:noWrap w:val="0"/>
            <w:tcMar>
              <w:left w:w="28" w:type="dxa"/>
              <w:right w:w="28" w:type="dxa"/>
            </w:tcMar>
            <w:vAlign w:val="center"/>
          </w:tcPr>
          <w:p w14:paraId="73BEE1AC">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变化量</w:t>
            </w:r>
          </w:p>
          <w:p w14:paraId="237891A6">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r>
      <w:tr w14:paraId="252CB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restart"/>
            <w:noWrap w:val="0"/>
            <w:vAlign w:val="center"/>
          </w:tcPr>
          <w:p w14:paraId="1349253D">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废气</w:t>
            </w:r>
          </w:p>
        </w:tc>
        <w:tc>
          <w:tcPr>
            <w:tcW w:w="1316" w:type="dxa"/>
            <w:shd w:val="clear" w:color="auto" w:fill="auto"/>
            <w:noWrap w:val="0"/>
            <w:vAlign w:val="center"/>
          </w:tcPr>
          <w:p w14:paraId="4216A700">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颗粒物</w:t>
            </w:r>
          </w:p>
        </w:tc>
        <w:tc>
          <w:tcPr>
            <w:tcW w:w="1695" w:type="dxa"/>
            <w:shd w:val="clear" w:color="auto" w:fill="auto"/>
            <w:noWrap w:val="0"/>
            <w:vAlign w:val="center"/>
          </w:tcPr>
          <w:p w14:paraId="59C4F3CC">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0"/>
                <w:sz w:val="24"/>
                <w:szCs w:val="24"/>
                <w:highlight w:val="none"/>
                <w:lang w:val="en-US" w:eastAsia="zh-CN" w:bidi="ar-SA"/>
                <w14:textFill>
                  <w14:solidFill>
                    <w14:schemeClr w14:val="tx1"/>
                  </w14:solidFill>
                </w14:textFill>
              </w:rPr>
              <w:t>0.024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70E8EA41">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28CA372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2DE181A5">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0.399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58A9EF9F">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0"/>
                <w:sz w:val="24"/>
                <w:szCs w:val="24"/>
                <w:highlight w:val="none"/>
                <w:lang w:val="en-US" w:eastAsia="zh-CN" w:bidi="ar-SA"/>
                <w14:textFill>
                  <w14:solidFill>
                    <w14:schemeClr w14:val="tx1"/>
                  </w14:solidFill>
                </w14:textFill>
              </w:rPr>
              <w:t>0.024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752" w:type="dxa"/>
            <w:shd w:val="clear" w:color="auto" w:fill="auto"/>
            <w:noWrap w:val="0"/>
            <w:vAlign w:val="center"/>
          </w:tcPr>
          <w:p w14:paraId="72513FFE">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0.399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0A4953A5">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cs="Times New Roman"/>
                <w:color w:val="000000" w:themeColor="text1"/>
                <w:kern w:val="2"/>
                <w:sz w:val="24"/>
                <w:szCs w:val="24"/>
                <w:highlight w:val="none"/>
                <w:lang w:val="en-US" w:eastAsia="zh-CN" w:bidi="ar-SA"/>
                <w14:textFill>
                  <w14:solidFill>
                    <w14:schemeClr w14:val="tx1"/>
                  </w14:solidFill>
                </w14:textFill>
              </w:rPr>
              <w:t>+0.375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60BC8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5653BD6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3AC13B5B">
            <w:pPr>
              <w:pStyle w:val="39"/>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cs="Times New Roman"/>
                <w:color w:val="000000" w:themeColor="text1"/>
                <w:sz w:val="24"/>
                <w:szCs w:val="24"/>
                <w:highlight w:val="none"/>
                <w:lang w:val="en-US" w:eastAsia="zh-CN"/>
                <w14:textFill>
                  <w14:solidFill>
                    <w14:schemeClr w14:val="tx1"/>
                  </w14:solidFill>
                </w14:textFill>
              </w:rPr>
              <w:t>SO</w:t>
            </w:r>
            <w:r>
              <w:rPr>
                <w:rFonts w:hint="eastAsia" w:ascii="Times New Roman" w:cs="Times New Roman"/>
                <w:color w:val="000000" w:themeColor="text1"/>
                <w:sz w:val="24"/>
                <w:szCs w:val="24"/>
                <w:highlight w:val="none"/>
                <w:vertAlign w:val="subscript"/>
                <w:lang w:val="en-US" w:eastAsia="zh-CN"/>
                <w14:textFill>
                  <w14:solidFill>
                    <w14:schemeClr w14:val="tx1"/>
                  </w14:solidFill>
                </w14:textFill>
              </w:rPr>
              <w:t>2</w:t>
            </w:r>
          </w:p>
        </w:tc>
        <w:tc>
          <w:tcPr>
            <w:tcW w:w="1695" w:type="dxa"/>
            <w:shd w:val="clear" w:color="auto" w:fill="auto"/>
            <w:noWrap w:val="0"/>
            <w:vAlign w:val="center"/>
          </w:tcPr>
          <w:p w14:paraId="7F8CE36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0.012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048CA920">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3C5C05A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554F514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0.333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4BBB708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0.012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752" w:type="dxa"/>
            <w:shd w:val="clear" w:color="auto" w:fill="auto"/>
            <w:noWrap w:val="0"/>
            <w:vAlign w:val="center"/>
          </w:tcPr>
          <w:p w14:paraId="4FD8A99F">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0.333</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3163ADE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+0.321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575CA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2935060A">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7A4009B4">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NOx</w:t>
            </w:r>
          </w:p>
        </w:tc>
        <w:tc>
          <w:tcPr>
            <w:tcW w:w="1695" w:type="dxa"/>
            <w:shd w:val="clear" w:color="auto" w:fill="auto"/>
            <w:noWrap w:val="0"/>
            <w:vAlign w:val="center"/>
          </w:tcPr>
          <w:p w14:paraId="2AFF3D5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0.254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5A1239BE">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349DF4E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5994681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0.504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3A8819A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0.254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752" w:type="dxa"/>
            <w:shd w:val="clear" w:color="auto" w:fill="auto"/>
            <w:noWrap w:val="0"/>
            <w:vAlign w:val="center"/>
          </w:tcPr>
          <w:p w14:paraId="5CB13E5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0.504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1AD7D72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+0.25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70F0F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Merge w:val="restart"/>
            <w:noWrap w:val="0"/>
            <w:vAlign w:val="center"/>
          </w:tcPr>
          <w:p w14:paraId="0D9302A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废水</w:t>
            </w:r>
          </w:p>
        </w:tc>
        <w:tc>
          <w:tcPr>
            <w:tcW w:w="1316" w:type="dxa"/>
            <w:shd w:val="clear" w:color="auto" w:fill="auto"/>
            <w:noWrap w:val="0"/>
            <w:vAlign w:val="center"/>
          </w:tcPr>
          <w:p w14:paraId="2D369161">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COD</w:t>
            </w:r>
          </w:p>
        </w:tc>
        <w:tc>
          <w:tcPr>
            <w:tcW w:w="1695" w:type="dxa"/>
            <w:shd w:val="clear" w:color="auto" w:fill="auto"/>
            <w:noWrap w:val="0"/>
            <w:vAlign w:val="center"/>
          </w:tcPr>
          <w:p w14:paraId="1472C297">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275" w:type="dxa"/>
            <w:noWrap w:val="0"/>
            <w:vAlign w:val="center"/>
          </w:tcPr>
          <w:p w14:paraId="1E697C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56E5500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601D6AE4">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20" w:type="dxa"/>
            <w:shd w:val="clear" w:color="auto" w:fill="auto"/>
            <w:noWrap w:val="0"/>
            <w:vAlign w:val="center"/>
          </w:tcPr>
          <w:p w14:paraId="4448787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752" w:type="dxa"/>
            <w:shd w:val="clear" w:color="auto" w:fill="auto"/>
            <w:noWrap w:val="0"/>
            <w:vAlign w:val="center"/>
          </w:tcPr>
          <w:p w14:paraId="5723272D">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387" w:type="dxa"/>
            <w:shd w:val="clear" w:color="auto" w:fill="auto"/>
            <w:noWrap w:val="0"/>
            <w:vAlign w:val="center"/>
          </w:tcPr>
          <w:p w14:paraId="6BEE16C6">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14:paraId="0891B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8" w:type="dxa"/>
            <w:vMerge w:val="continue"/>
            <w:noWrap w:val="0"/>
            <w:vAlign w:val="center"/>
          </w:tcPr>
          <w:p w14:paraId="2525041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5A410352">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NH</w:t>
            </w:r>
            <w:r>
              <w:rPr>
                <w:rFonts w:hint="default" w:ascii="Times New Roman" w:hAnsi="Times New Roman" w:eastAsia="宋体" w:cs="Times New Roman"/>
                <w:color w:val="000000" w:themeColor="text1"/>
                <w:kern w:val="0"/>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-N</w:t>
            </w:r>
          </w:p>
        </w:tc>
        <w:tc>
          <w:tcPr>
            <w:tcW w:w="1695" w:type="dxa"/>
            <w:shd w:val="clear" w:color="auto" w:fill="auto"/>
            <w:noWrap w:val="0"/>
            <w:vAlign w:val="center"/>
          </w:tcPr>
          <w:p w14:paraId="6A9AD65F">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275" w:type="dxa"/>
            <w:noWrap w:val="0"/>
            <w:vAlign w:val="center"/>
          </w:tcPr>
          <w:p w14:paraId="4B4B642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22360DB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078BCAED">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20" w:type="dxa"/>
            <w:shd w:val="clear" w:color="auto" w:fill="auto"/>
            <w:noWrap w:val="0"/>
            <w:vAlign w:val="center"/>
          </w:tcPr>
          <w:p w14:paraId="4E1F5622">
            <w:pPr>
              <w:keepNext w:val="0"/>
              <w:keepLines w:val="0"/>
              <w:pageBreakBefore w:val="0"/>
              <w:widowControl/>
              <w:kinsoku/>
              <w:wordWrap/>
              <w:overflowPunct/>
              <w:topLinePunct w:val="0"/>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752" w:type="dxa"/>
            <w:shd w:val="clear" w:color="auto" w:fill="auto"/>
            <w:noWrap w:val="0"/>
            <w:vAlign w:val="center"/>
          </w:tcPr>
          <w:p w14:paraId="20D8C457">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387" w:type="dxa"/>
            <w:shd w:val="clear" w:color="auto" w:fill="auto"/>
            <w:noWrap w:val="0"/>
            <w:vAlign w:val="center"/>
          </w:tcPr>
          <w:p w14:paraId="0C047D83">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14:paraId="6D7E2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restart"/>
            <w:noWrap w:val="0"/>
            <w:vAlign w:val="center"/>
          </w:tcPr>
          <w:p w14:paraId="43B557DF">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一般工业</w:t>
            </w:r>
          </w:p>
          <w:p w14:paraId="5F0CFCC7">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固体废物</w:t>
            </w:r>
          </w:p>
        </w:tc>
        <w:tc>
          <w:tcPr>
            <w:tcW w:w="1316" w:type="dxa"/>
            <w:shd w:val="clear" w:color="auto" w:fill="auto"/>
            <w:noWrap w:val="0"/>
            <w:vAlign w:val="center"/>
          </w:tcPr>
          <w:p w14:paraId="442CBA0F">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生活垃圾</w:t>
            </w:r>
          </w:p>
        </w:tc>
        <w:tc>
          <w:tcPr>
            <w:tcW w:w="1695" w:type="dxa"/>
            <w:shd w:val="clear" w:color="auto" w:fill="auto"/>
            <w:noWrap w:val="0"/>
            <w:vAlign w:val="center"/>
          </w:tcPr>
          <w:p w14:paraId="3432231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4"/>
                <w:szCs w:val="24"/>
                <w:highlight w:val="none"/>
                <w:lang w:val="en-US" w:eastAsia="zh-CN" w:bidi="en-US"/>
                <w14:textFill>
                  <w14:solidFill>
                    <w14:schemeClr w14:val="tx1"/>
                  </w14:solidFill>
                </w14:textFill>
              </w:rPr>
            </w:pPr>
            <w:r>
              <w:rPr>
                <w:rFonts w:hint="eastAsia" w:ascii="Times New Roman" w:hAnsi="Times New Roman" w:cs="Times New Roman"/>
                <w:color w:val="000000" w:themeColor="text1"/>
                <w:kern w:val="0"/>
                <w:sz w:val="24"/>
                <w:szCs w:val="24"/>
                <w:highlight w:val="none"/>
                <w:lang w:val="en-US" w:eastAsia="zh-CN" w:bidi="en-US"/>
                <w14:textFill>
                  <w14:solidFill>
                    <w14:schemeClr w14:val="tx1"/>
                  </w14:solidFill>
                </w14:textFill>
              </w:rPr>
              <w:t>45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5CD6424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01FA36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014F2AF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t>3.96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520" w:type="dxa"/>
            <w:shd w:val="clear" w:color="auto" w:fill="auto"/>
            <w:noWrap w:val="0"/>
            <w:vAlign w:val="center"/>
          </w:tcPr>
          <w:p w14:paraId="16AC3D29">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72048A9D">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eastAsia" w:cs="Times New Roman"/>
                <w:snapToGrid w:val="0"/>
                <w:color w:val="000000" w:themeColor="text1"/>
                <w:kern w:val="21"/>
                <w:sz w:val="24"/>
                <w:szCs w:val="24"/>
                <w:highlight w:val="none"/>
                <w:lang w:val="en-US" w:eastAsia="zh-CN"/>
                <w14:textFill>
                  <w14:solidFill>
                    <w14:schemeClr w14:val="tx1"/>
                  </w14:solidFill>
                </w14:textFill>
              </w:rPr>
              <w:t>48.96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2E4AC0D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highlight w:val="none"/>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highlight w:val="none"/>
                <w:vertAlign w:val="baseline"/>
                <w:lang w:val="en-US" w:eastAsia="zh-CN" w:bidi="ar-SA"/>
                <w14:textFill>
                  <w14:solidFill>
                    <w14:schemeClr w14:val="tx1"/>
                  </w14:solidFill>
                </w14:textFill>
              </w:rPr>
              <w:t>+3.96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r>
      <w:tr w14:paraId="62BE1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3B6FA26B">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0384CA16">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4"/>
                <w:szCs w:val="24"/>
                <w:highlight w:val="none"/>
                <w:vertAlign w:val="baseline"/>
                <w:lang w:val="en-US" w:eastAsia="zh-CN"/>
                <w14:textFill>
                  <w14:solidFill>
                    <w14:schemeClr w14:val="tx1"/>
                  </w14:solidFill>
                </w14:textFill>
              </w:rPr>
              <w:t>破损、坏烂果蔬</w:t>
            </w:r>
          </w:p>
        </w:tc>
        <w:tc>
          <w:tcPr>
            <w:tcW w:w="1695" w:type="dxa"/>
            <w:shd w:val="clear" w:color="auto" w:fill="auto"/>
            <w:noWrap w:val="0"/>
            <w:vAlign w:val="center"/>
          </w:tcPr>
          <w:p w14:paraId="0F693CA0">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1000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0FE7680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6D9F082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39B933C9">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0</w:t>
            </w:r>
          </w:p>
        </w:tc>
        <w:tc>
          <w:tcPr>
            <w:tcW w:w="1520" w:type="dxa"/>
            <w:shd w:val="clear" w:color="auto" w:fill="auto"/>
            <w:noWrap w:val="0"/>
            <w:vAlign w:val="center"/>
          </w:tcPr>
          <w:p w14:paraId="6DA794D0">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5147AE7A">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1000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02F9B7FA">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r>
      <w:tr w14:paraId="5578A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4F4421F0">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5088FAA2">
            <w:pPr>
              <w:keepNext w:val="0"/>
              <w:keepLines w:val="0"/>
              <w:pageBreakBefore w:val="0"/>
              <w:widowControl/>
              <w:suppressLineNumbers w:val="0"/>
              <w:kinsoku/>
              <w:wordWrap/>
              <w:overflowPunct/>
              <w:autoSpaceDE/>
              <w:autoSpaceDN/>
              <w:bidi w:val="0"/>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4"/>
                <w:szCs w:val="24"/>
                <w:highlight w:val="none"/>
                <w:vertAlign w:val="baseline"/>
                <w:lang w:val="en-US" w:eastAsia="zh-CN"/>
                <w14:textFill>
                  <w14:solidFill>
                    <w14:schemeClr w14:val="tx1"/>
                  </w14:solidFill>
                </w14:textFill>
              </w:rPr>
              <w:t>废包装材料</w:t>
            </w:r>
          </w:p>
        </w:tc>
        <w:tc>
          <w:tcPr>
            <w:tcW w:w="1695" w:type="dxa"/>
            <w:shd w:val="clear" w:color="auto" w:fill="auto"/>
            <w:noWrap w:val="0"/>
            <w:vAlign w:val="center"/>
          </w:tcPr>
          <w:p w14:paraId="14BBD4D5">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4A54CD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49AA325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19DE9450">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c>
          <w:tcPr>
            <w:tcW w:w="1520" w:type="dxa"/>
            <w:shd w:val="clear" w:color="auto" w:fill="auto"/>
            <w:noWrap w:val="0"/>
            <w:vAlign w:val="center"/>
          </w:tcPr>
          <w:p w14:paraId="7FC51353">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14841CF6">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181B3CFC">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r>
      <w:tr w14:paraId="2BF8B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4AA0D056">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3C6AD426">
            <w:pPr>
              <w:keepNext w:val="0"/>
              <w:keepLines w:val="0"/>
              <w:pageBreakBefore w:val="0"/>
              <w:widowControl/>
              <w:suppressLineNumbers w:val="0"/>
              <w:kinsoku/>
              <w:wordWrap/>
              <w:overflowPunct/>
              <w:autoSpaceDE/>
              <w:autoSpaceDN/>
              <w:bidi w:val="0"/>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sz w:val="24"/>
                <w:szCs w:val="24"/>
                <w:highlight w:val="none"/>
                <w:vertAlign w:val="baseline"/>
                <w:lang w:val="en-US" w:eastAsia="zh-CN"/>
                <w14:textFill>
                  <w14:solidFill>
                    <w14:schemeClr w14:val="tx1"/>
                  </w14:solidFill>
                </w14:textFill>
              </w:rPr>
              <w:t>废反渗透膜</w:t>
            </w:r>
          </w:p>
        </w:tc>
        <w:tc>
          <w:tcPr>
            <w:tcW w:w="1695" w:type="dxa"/>
            <w:shd w:val="clear" w:color="auto" w:fill="auto"/>
            <w:noWrap w:val="0"/>
            <w:vAlign w:val="center"/>
          </w:tcPr>
          <w:p w14:paraId="2643CC41">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0.05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275" w:type="dxa"/>
            <w:noWrap w:val="0"/>
            <w:vAlign w:val="center"/>
          </w:tcPr>
          <w:p w14:paraId="3EF957F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5417AB0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3E93A602">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c>
          <w:tcPr>
            <w:tcW w:w="1520" w:type="dxa"/>
            <w:shd w:val="clear" w:color="auto" w:fill="auto"/>
            <w:noWrap w:val="0"/>
            <w:vAlign w:val="center"/>
          </w:tcPr>
          <w:p w14:paraId="0C7C3695">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000000" w:themeColor="text1"/>
                <w:kern w:val="21"/>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4C2E853A">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0.05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t/a</w:t>
            </w:r>
          </w:p>
        </w:tc>
        <w:tc>
          <w:tcPr>
            <w:tcW w:w="1387" w:type="dxa"/>
            <w:shd w:val="clear" w:color="auto" w:fill="auto"/>
            <w:noWrap w:val="0"/>
            <w:vAlign w:val="center"/>
          </w:tcPr>
          <w:p w14:paraId="6ECE41C9">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0</w:t>
            </w:r>
          </w:p>
        </w:tc>
      </w:tr>
      <w:tr w14:paraId="074A1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88" w:type="dxa"/>
            <w:vMerge w:val="continue"/>
            <w:noWrap w:val="0"/>
            <w:vAlign w:val="center"/>
          </w:tcPr>
          <w:p w14:paraId="5B3F5A2A">
            <w:pPr>
              <w:pStyle w:val="39"/>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shd w:val="clear" w:color="auto" w:fill="auto"/>
            <w:noWrap w:val="0"/>
            <w:vAlign w:val="center"/>
          </w:tcPr>
          <w:p w14:paraId="2794965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污水处理站污泥</w:t>
            </w:r>
          </w:p>
        </w:tc>
        <w:tc>
          <w:tcPr>
            <w:tcW w:w="1695" w:type="dxa"/>
            <w:shd w:val="clear" w:color="auto" w:fill="auto"/>
            <w:noWrap w:val="0"/>
            <w:vAlign w:val="center"/>
          </w:tcPr>
          <w:p w14:paraId="35D16618">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2.7</w:t>
            </w:r>
          </w:p>
        </w:tc>
        <w:tc>
          <w:tcPr>
            <w:tcW w:w="1275" w:type="dxa"/>
            <w:noWrap w:val="0"/>
            <w:vAlign w:val="center"/>
          </w:tcPr>
          <w:p w14:paraId="3115C49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76AB4F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shd w:val="clear" w:color="auto" w:fill="auto"/>
            <w:noWrap w:val="0"/>
            <w:vAlign w:val="center"/>
          </w:tcPr>
          <w:p w14:paraId="665561D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vertAlign w:val="baseline"/>
                <w:lang w:val="en-US" w:eastAsia="zh-CN" w:bidi="ar-SA"/>
                <w14:textFill>
                  <w14:solidFill>
                    <w14:schemeClr w14:val="tx1"/>
                  </w14:solidFill>
                </w14:textFill>
              </w:rPr>
              <w:t>0</w:t>
            </w:r>
          </w:p>
        </w:tc>
        <w:tc>
          <w:tcPr>
            <w:tcW w:w="1520" w:type="dxa"/>
            <w:shd w:val="clear" w:color="auto" w:fill="auto"/>
            <w:noWrap w:val="0"/>
            <w:vAlign w:val="center"/>
          </w:tcPr>
          <w:p w14:paraId="584C3EE8">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752" w:type="dxa"/>
            <w:shd w:val="clear" w:color="auto" w:fill="auto"/>
            <w:noWrap w:val="0"/>
            <w:vAlign w:val="center"/>
          </w:tcPr>
          <w:p w14:paraId="3242993E">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2"/>
                <w:sz w:val="24"/>
                <w:szCs w:val="24"/>
                <w:vertAlign w:val="baseli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4"/>
                <w:szCs w:val="24"/>
                <w:vertAlign w:val="baseline"/>
                <w:lang w:val="en-US" w:eastAsia="zh-CN" w:bidi="ar-SA"/>
                <w14:textFill>
                  <w14:solidFill>
                    <w14:schemeClr w14:val="tx1"/>
                  </w14:solidFill>
                </w14:textFill>
              </w:rPr>
              <w:t>2.7</w:t>
            </w:r>
          </w:p>
        </w:tc>
        <w:tc>
          <w:tcPr>
            <w:tcW w:w="1387" w:type="dxa"/>
            <w:shd w:val="clear" w:color="auto" w:fill="auto"/>
            <w:noWrap w:val="0"/>
            <w:vAlign w:val="center"/>
          </w:tcPr>
          <w:p w14:paraId="293E79D5">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0</w:t>
            </w:r>
          </w:p>
        </w:tc>
      </w:tr>
    </w:tbl>
    <w:p w14:paraId="138ACDC5">
      <w:pPr>
        <w:pStyle w:val="39"/>
        <w:spacing w:before="192" w:beforeLines="80" w:after="24"/>
        <w:jc w:val="left"/>
        <w:rPr>
          <w:snapToGrid/>
          <w:color w:val="000000" w:themeColor="text1"/>
          <w:spacing w:val="0"/>
          <w:kern w:val="0"/>
          <w:position w:val="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注：</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_x0017_页栀.栀.">
    <w:altName w:val="宋体"/>
    <w:panose1 w:val="00000000000000000000"/>
    <w:charset w:val="86"/>
    <w:family w:val="roman"/>
    <w:pitch w:val="default"/>
    <w:sig w:usb0="00000000" w:usb1="00000000" w:usb2="00000010" w:usb3="00000000" w:csb0="00040000" w:csb1="00000000"/>
  </w:font>
  <w:font w:name="宋体_x0019_á.硈..">
    <w:altName w:val="宋体"/>
    <w:panose1 w:val="00000000000000000000"/>
    <w:charset w:val="86"/>
    <w:family w:val="roman"/>
    <w:pitch w:val="default"/>
    <w:sig w:usb0="00000000" w:usb1="00000000" w:usb2="00000010" w:usb3="00000000" w:csb0="00040000" w:csb1="00000000"/>
  </w:font>
  <w:font w:name="宋体_x0019_页栀.栀.">
    <w:altName w:val="宋体"/>
    <w:panose1 w:val="00000000000000000000"/>
    <w:charset w:val="86"/>
    <w:family w:val="roma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2D20">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9D9C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F9D9C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D17A">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DDF19"/>
    <w:multiLevelType w:val="singleLevel"/>
    <w:tmpl w:val="040DDF19"/>
    <w:lvl w:ilvl="0" w:tentative="0">
      <w:start w:val="4"/>
      <w:numFmt w:val="decimal"/>
      <w:suff w:val="nothing"/>
      <w:lvlText w:val="（%1）"/>
      <w:lvlJc w:val="left"/>
    </w:lvl>
  </w:abstractNum>
  <w:abstractNum w:abstractNumId="1">
    <w:nsid w:val="3851F72F"/>
    <w:multiLevelType w:val="singleLevel"/>
    <w:tmpl w:val="3851F72F"/>
    <w:lvl w:ilvl="0" w:tentative="0">
      <w:start w:val="2"/>
      <w:numFmt w:val="decimal"/>
      <w:suff w:val="nothing"/>
      <w:lvlText w:val="（%1）"/>
      <w:lvlJc w:val="left"/>
    </w:lvl>
  </w:abstractNum>
  <w:abstractNum w:abstractNumId="2">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31"/>
      <w:suff w:val="space"/>
      <w:lvlText w:val="%1.%2"/>
      <w:lvlJc w:val="left"/>
      <w:pPr>
        <w:ind w:left="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D483313"/>
    <w:multiLevelType w:val="singleLevel"/>
    <w:tmpl w:val="5D48331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jkyYTdlNTUzMDRhODRiNzg1MjkyOWY5YmJhOWYifQ=="/>
  </w:docVars>
  <w:rsids>
    <w:rsidRoot w:val="0C1F2DCC"/>
    <w:rsid w:val="005A0FB6"/>
    <w:rsid w:val="0070256E"/>
    <w:rsid w:val="00A35E24"/>
    <w:rsid w:val="00DD5592"/>
    <w:rsid w:val="013A2B3D"/>
    <w:rsid w:val="01E16E78"/>
    <w:rsid w:val="02A50E35"/>
    <w:rsid w:val="02B473C2"/>
    <w:rsid w:val="038C76D9"/>
    <w:rsid w:val="03E424F8"/>
    <w:rsid w:val="03EC7ADB"/>
    <w:rsid w:val="03EE2141"/>
    <w:rsid w:val="041F4F2F"/>
    <w:rsid w:val="04345EF4"/>
    <w:rsid w:val="046454DD"/>
    <w:rsid w:val="048D6C55"/>
    <w:rsid w:val="04A87295"/>
    <w:rsid w:val="04F75026"/>
    <w:rsid w:val="0504479F"/>
    <w:rsid w:val="0578205D"/>
    <w:rsid w:val="05A52CD4"/>
    <w:rsid w:val="05EB4740"/>
    <w:rsid w:val="05FC1E78"/>
    <w:rsid w:val="06091D7E"/>
    <w:rsid w:val="060D2611"/>
    <w:rsid w:val="0627491E"/>
    <w:rsid w:val="063615CF"/>
    <w:rsid w:val="06377541"/>
    <w:rsid w:val="067250DF"/>
    <w:rsid w:val="0674148A"/>
    <w:rsid w:val="06C76316"/>
    <w:rsid w:val="07022D0B"/>
    <w:rsid w:val="071C5217"/>
    <w:rsid w:val="07224507"/>
    <w:rsid w:val="07352867"/>
    <w:rsid w:val="07D0225B"/>
    <w:rsid w:val="082B0327"/>
    <w:rsid w:val="08D63481"/>
    <w:rsid w:val="09134014"/>
    <w:rsid w:val="09B12175"/>
    <w:rsid w:val="09FC684E"/>
    <w:rsid w:val="0A8C4A70"/>
    <w:rsid w:val="0A9A7ED3"/>
    <w:rsid w:val="0AC126BD"/>
    <w:rsid w:val="0ACF3715"/>
    <w:rsid w:val="0AEA6446"/>
    <w:rsid w:val="0AFB42DB"/>
    <w:rsid w:val="0B2068A2"/>
    <w:rsid w:val="0B4D1BF1"/>
    <w:rsid w:val="0B6E1DBA"/>
    <w:rsid w:val="0BA86219"/>
    <w:rsid w:val="0BCC3665"/>
    <w:rsid w:val="0BD25EA5"/>
    <w:rsid w:val="0BE502CE"/>
    <w:rsid w:val="0C1F2DCC"/>
    <w:rsid w:val="0C7A146C"/>
    <w:rsid w:val="0C952A5F"/>
    <w:rsid w:val="0CCA63CF"/>
    <w:rsid w:val="0CD67C16"/>
    <w:rsid w:val="0D2164B4"/>
    <w:rsid w:val="0DEF13A5"/>
    <w:rsid w:val="0DF97A17"/>
    <w:rsid w:val="0E241805"/>
    <w:rsid w:val="0E32414B"/>
    <w:rsid w:val="0E415B37"/>
    <w:rsid w:val="0E707A9D"/>
    <w:rsid w:val="0E903981"/>
    <w:rsid w:val="0E9C3207"/>
    <w:rsid w:val="0EBD7507"/>
    <w:rsid w:val="0F0D7F01"/>
    <w:rsid w:val="0F26430D"/>
    <w:rsid w:val="0F357C2D"/>
    <w:rsid w:val="0FBC7AAE"/>
    <w:rsid w:val="10020E17"/>
    <w:rsid w:val="1008205A"/>
    <w:rsid w:val="100C336D"/>
    <w:rsid w:val="1010343F"/>
    <w:rsid w:val="10433815"/>
    <w:rsid w:val="10552892"/>
    <w:rsid w:val="107E2F66"/>
    <w:rsid w:val="113A2539"/>
    <w:rsid w:val="113C0AE4"/>
    <w:rsid w:val="117235B3"/>
    <w:rsid w:val="1198551F"/>
    <w:rsid w:val="11F97259"/>
    <w:rsid w:val="12576D02"/>
    <w:rsid w:val="126704C7"/>
    <w:rsid w:val="128A0DA8"/>
    <w:rsid w:val="12B24B8F"/>
    <w:rsid w:val="12F47048"/>
    <w:rsid w:val="1302463D"/>
    <w:rsid w:val="13E32E07"/>
    <w:rsid w:val="13FD12E9"/>
    <w:rsid w:val="148D1E32"/>
    <w:rsid w:val="15202377"/>
    <w:rsid w:val="1564613E"/>
    <w:rsid w:val="15E839EB"/>
    <w:rsid w:val="15E93D94"/>
    <w:rsid w:val="16764681"/>
    <w:rsid w:val="16D61039"/>
    <w:rsid w:val="16F644E9"/>
    <w:rsid w:val="17B84AE8"/>
    <w:rsid w:val="18260680"/>
    <w:rsid w:val="185C1E3F"/>
    <w:rsid w:val="185F6911"/>
    <w:rsid w:val="187E0F8A"/>
    <w:rsid w:val="18A90457"/>
    <w:rsid w:val="18D257F9"/>
    <w:rsid w:val="191143D5"/>
    <w:rsid w:val="197B72A7"/>
    <w:rsid w:val="19945BBE"/>
    <w:rsid w:val="19D007FC"/>
    <w:rsid w:val="1A193AB0"/>
    <w:rsid w:val="1AE942E3"/>
    <w:rsid w:val="1AED2CFB"/>
    <w:rsid w:val="1B6B20E9"/>
    <w:rsid w:val="1BB510FC"/>
    <w:rsid w:val="1BD7788B"/>
    <w:rsid w:val="1C4D5C5B"/>
    <w:rsid w:val="1C5D577C"/>
    <w:rsid w:val="1C6A41A6"/>
    <w:rsid w:val="1C7E48CB"/>
    <w:rsid w:val="1D1A13FE"/>
    <w:rsid w:val="1DAE712A"/>
    <w:rsid w:val="1E262E07"/>
    <w:rsid w:val="1E6C189B"/>
    <w:rsid w:val="1E7B4EF2"/>
    <w:rsid w:val="1E7D092C"/>
    <w:rsid w:val="1F445FB7"/>
    <w:rsid w:val="1F7473BA"/>
    <w:rsid w:val="1FA414E1"/>
    <w:rsid w:val="1FA52E9B"/>
    <w:rsid w:val="1FBE0616"/>
    <w:rsid w:val="1FD85EA7"/>
    <w:rsid w:val="20000F5F"/>
    <w:rsid w:val="20002B6A"/>
    <w:rsid w:val="201E1010"/>
    <w:rsid w:val="201E384D"/>
    <w:rsid w:val="204C400B"/>
    <w:rsid w:val="206E1E82"/>
    <w:rsid w:val="20923264"/>
    <w:rsid w:val="20942FC2"/>
    <w:rsid w:val="211E52F5"/>
    <w:rsid w:val="215533AC"/>
    <w:rsid w:val="21775E43"/>
    <w:rsid w:val="217F0425"/>
    <w:rsid w:val="219E4AC3"/>
    <w:rsid w:val="222F1D40"/>
    <w:rsid w:val="22742140"/>
    <w:rsid w:val="22771730"/>
    <w:rsid w:val="22BB627F"/>
    <w:rsid w:val="22D67995"/>
    <w:rsid w:val="230D281F"/>
    <w:rsid w:val="234A68AA"/>
    <w:rsid w:val="237F4EB8"/>
    <w:rsid w:val="23B42AC3"/>
    <w:rsid w:val="245E57C6"/>
    <w:rsid w:val="247743BB"/>
    <w:rsid w:val="24974602"/>
    <w:rsid w:val="24C35D2A"/>
    <w:rsid w:val="252962B8"/>
    <w:rsid w:val="25390F4E"/>
    <w:rsid w:val="254C7A37"/>
    <w:rsid w:val="25754019"/>
    <w:rsid w:val="25946943"/>
    <w:rsid w:val="25CA53CE"/>
    <w:rsid w:val="25F87081"/>
    <w:rsid w:val="26301C23"/>
    <w:rsid w:val="26875407"/>
    <w:rsid w:val="268A6BC2"/>
    <w:rsid w:val="268F4C66"/>
    <w:rsid w:val="26961352"/>
    <w:rsid w:val="26CA5D68"/>
    <w:rsid w:val="26E3403D"/>
    <w:rsid w:val="27031047"/>
    <w:rsid w:val="273E77F6"/>
    <w:rsid w:val="275D7F8F"/>
    <w:rsid w:val="27BF00CD"/>
    <w:rsid w:val="27E70AD2"/>
    <w:rsid w:val="28501936"/>
    <w:rsid w:val="28545EAC"/>
    <w:rsid w:val="28A6020C"/>
    <w:rsid w:val="28B119B2"/>
    <w:rsid w:val="28D21782"/>
    <w:rsid w:val="28EB0BE6"/>
    <w:rsid w:val="2911526E"/>
    <w:rsid w:val="292E385F"/>
    <w:rsid w:val="29432365"/>
    <w:rsid w:val="29564161"/>
    <w:rsid w:val="297A3B47"/>
    <w:rsid w:val="29E131D0"/>
    <w:rsid w:val="29F51159"/>
    <w:rsid w:val="29FB2F90"/>
    <w:rsid w:val="2A21557C"/>
    <w:rsid w:val="2A3D7995"/>
    <w:rsid w:val="2A7C03DA"/>
    <w:rsid w:val="2A7E3970"/>
    <w:rsid w:val="2AF21C6E"/>
    <w:rsid w:val="2B2F6205"/>
    <w:rsid w:val="2C756168"/>
    <w:rsid w:val="2C774EC1"/>
    <w:rsid w:val="2CBF3DCB"/>
    <w:rsid w:val="2CCD3C51"/>
    <w:rsid w:val="2CDA7500"/>
    <w:rsid w:val="2D1B36F8"/>
    <w:rsid w:val="2D3128C4"/>
    <w:rsid w:val="2D802D0B"/>
    <w:rsid w:val="2E385C78"/>
    <w:rsid w:val="2E443131"/>
    <w:rsid w:val="2E562DAF"/>
    <w:rsid w:val="2EBD7029"/>
    <w:rsid w:val="2EDA436E"/>
    <w:rsid w:val="2F0A3A24"/>
    <w:rsid w:val="2F544C9F"/>
    <w:rsid w:val="30145578"/>
    <w:rsid w:val="30F85AFE"/>
    <w:rsid w:val="310349C4"/>
    <w:rsid w:val="315E0057"/>
    <w:rsid w:val="316F0417"/>
    <w:rsid w:val="317258B0"/>
    <w:rsid w:val="317753A4"/>
    <w:rsid w:val="317F1EE4"/>
    <w:rsid w:val="31996DFC"/>
    <w:rsid w:val="32DE239E"/>
    <w:rsid w:val="32DF4298"/>
    <w:rsid w:val="335D5A35"/>
    <w:rsid w:val="33B25DBD"/>
    <w:rsid w:val="33B50EFF"/>
    <w:rsid w:val="33CB73FA"/>
    <w:rsid w:val="34790D04"/>
    <w:rsid w:val="347D0016"/>
    <w:rsid w:val="349E0F74"/>
    <w:rsid w:val="34C533FD"/>
    <w:rsid w:val="358C3BA0"/>
    <w:rsid w:val="35E520D6"/>
    <w:rsid w:val="35E62E21"/>
    <w:rsid w:val="35FE06F6"/>
    <w:rsid w:val="365C2DD8"/>
    <w:rsid w:val="36AA011E"/>
    <w:rsid w:val="37812475"/>
    <w:rsid w:val="37863396"/>
    <w:rsid w:val="37FA05CC"/>
    <w:rsid w:val="38091A80"/>
    <w:rsid w:val="381F6911"/>
    <w:rsid w:val="38590FA8"/>
    <w:rsid w:val="39697972"/>
    <w:rsid w:val="398B5761"/>
    <w:rsid w:val="3A9D71A5"/>
    <w:rsid w:val="3AA27967"/>
    <w:rsid w:val="3AA93344"/>
    <w:rsid w:val="3ABB7ABF"/>
    <w:rsid w:val="3AC058DE"/>
    <w:rsid w:val="3B15262F"/>
    <w:rsid w:val="3B3D6E62"/>
    <w:rsid w:val="3CB21484"/>
    <w:rsid w:val="3CE91F3F"/>
    <w:rsid w:val="3D3636BD"/>
    <w:rsid w:val="3D3A54C8"/>
    <w:rsid w:val="3E0265D1"/>
    <w:rsid w:val="3E0B72D5"/>
    <w:rsid w:val="3E9B565E"/>
    <w:rsid w:val="3E9B7D4B"/>
    <w:rsid w:val="3F494CD9"/>
    <w:rsid w:val="3F61431F"/>
    <w:rsid w:val="3F6B4B31"/>
    <w:rsid w:val="40100ABF"/>
    <w:rsid w:val="4080519A"/>
    <w:rsid w:val="4092438B"/>
    <w:rsid w:val="41052011"/>
    <w:rsid w:val="41C60598"/>
    <w:rsid w:val="42515A0A"/>
    <w:rsid w:val="42540EB1"/>
    <w:rsid w:val="42646575"/>
    <w:rsid w:val="42E141C0"/>
    <w:rsid w:val="43730D0F"/>
    <w:rsid w:val="439E48AD"/>
    <w:rsid w:val="43A45F94"/>
    <w:rsid w:val="43E46244"/>
    <w:rsid w:val="440D2C87"/>
    <w:rsid w:val="445448F1"/>
    <w:rsid w:val="44597031"/>
    <w:rsid w:val="44AC40EF"/>
    <w:rsid w:val="44F34401"/>
    <w:rsid w:val="450F2064"/>
    <w:rsid w:val="453749EF"/>
    <w:rsid w:val="45DD5472"/>
    <w:rsid w:val="45EE241C"/>
    <w:rsid w:val="46492B77"/>
    <w:rsid w:val="46755A9C"/>
    <w:rsid w:val="47190D00"/>
    <w:rsid w:val="47591743"/>
    <w:rsid w:val="47665118"/>
    <w:rsid w:val="47EE3067"/>
    <w:rsid w:val="485F64E4"/>
    <w:rsid w:val="48741046"/>
    <w:rsid w:val="48805E95"/>
    <w:rsid w:val="48BF75E9"/>
    <w:rsid w:val="490D7B75"/>
    <w:rsid w:val="4920798D"/>
    <w:rsid w:val="49432435"/>
    <w:rsid w:val="4A123C3D"/>
    <w:rsid w:val="4A4A14DD"/>
    <w:rsid w:val="4ABA5374"/>
    <w:rsid w:val="4B832417"/>
    <w:rsid w:val="4BBF74EC"/>
    <w:rsid w:val="4C2C5741"/>
    <w:rsid w:val="4C4905C7"/>
    <w:rsid w:val="4C9C716C"/>
    <w:rsid w:val="4CBB57A1"/>
    <w:rsid w:val="4CF61CE8"/>
    <w:rsid w:val="4D0D33BB"/>
    <w:rsid w:val="4D9E721C"/>
    <w:rsid w:val="4DB370F5"/>
    <w:rsid w:val="4DF34485"/>
    <w:rsid w:val="4E0B0276"/>
    <w:rsid w:val="4E0D27F5"/>
    <w:rsid w:val="4E4E7093"/>
    <w:rsid w:val="4E571C5E"/>
    <w:rsid w:val="4E6E3E55"/>
    <w:rsid w:val="4EDD75C8"/>
    <w:rsid w:val="4F4816D0"/>
    <w:rsid w:val="4F5346D7"/>
    <w:rsid w:val="4F6047EC"/>
    <w:rsid w:val="4F785ABA"/>
    <w:rsid w:val="4F844638"/>
    <w:rsid w:val="501E15EE"/>
    <w:rsid w:val="509E6B33"/>
    <w:rsid w:val="50A8054F"/>
    <w:rsid w:val="50B653BF"/>
    <w:rsid w:val="50D35F69"/>
    <w:rsid w:val="50FA67BE"/>
    <w:rsid w:val="51081151"/>
    <w:rsid w:val="51273EEE"/>
    <w:rsid w:val="512B40EB"/>
    <w:rsid w:val="51325980"/>
    <w:rsid w:val="515F4C0A"/>
    <w:rsid w:val="516E3547"/>
    <w:rsid w:val="5171704B"/>
    <w:rsid w:val="517A638F"/>
    <w:rsid w:val="517B359E"/>
    <w:rsid w:val="519A433C"/>
    <w:rsid w:val="51C458AD"/>
    <w:rsid w:val="51E2438D"/>
    <w:rsid w:val="51E44BBF"/>
    <w:rsid w:val="51F94B2A"/>
    <w:rsid w:val="51FA5521"/>
    <w:rsid w:val="520D572D"/>
    <w:rsid w:val="52281700"/>
    <w:rsid w:val="52730B44"/>
    <w:rsid w:val="52823F3E"/>
    <w:rsid w:val="52CB0DE9"/>
    <w:rsid w:val="52ED56C7"/>
    <w:rsid w:val="536B3ACC"/>
    <w:rsid w:val="5377683A"/>
    <w:rsid w:val="539D1D80"/>
    <w:rsid w:val="53AF6B6F"/>
    <w:rsid w:val="53C934E8"/>
    <w:rsid w:val="54244390"/>
    <w:rsid w:val="547743AF"/>
    <w:rsid w:val="54AE46C0"/>
    <w:rsid w:val="555250C2"/>
    <w:rsid w:val="55990AC1"/>
    <w:rsid w:val="560D56A9"/>
    <w:rsid w:val="561C493E"/>
    <w:rsid w:val="564761E6"/>
    <w:rsid w:val="565328D9"/>
    <w:rsid w:val="56751CB0"/>
    <w:rsid w:val="567B6F8D"/>
    <w:rsid w:val="56A47A0A"/>
    <w:rsid w:val="571121E6"/>
    <w:rsid w:val="574C122B"/>
    <w:rsid w:val="5765363E"/>
    <w:rsid w:val="577313FA"/>
    <w:rsid w:val="578C3EDA"/>
    <w:rsid w:val="57995614"/>
    <w:rsid w:val="582240E4"/>
    <w:rsid w:val="583A2F6D"/>
    <w:rsid w:val="58486325"/>
    <w:rsid w:val="58721811"/>
    <w:rsid w:val="589D2B5D"/>
    <w:rsid w:val="58DA7713"/>
    <w:rsid w:val="59442DCF"/>
    <w:rsid w:val="597178BD"/>
    <w:rsid w:val="59FD4D67"/>
    <w:rsid w:val="5A3B2502"/>
    <w:rsid w:val="5A44224E"/>
    <w:rsid w:val="5A53777D"/>
    <w:rsid w:val="5A5F5797"/>
    <w:rsid w:val="5A6F0660"/>
    <w:rsid w:val="5AA91A93"/>
    <w:rsid w:val="5AD605A9"/>
    <w:rsid w:val="5B1A65A9"/>
    <w:rsid w:val="5B9F02B8"/>
    <w:rsid w:val="5C1C655D"/>
    <w:rsid w:val="5CAB6D64"/>
    <w:rsid w:val="5CB97CEE"/>
    <w:rsid w:val="5CF92144"/>
    <w:rsid w:val="5D1C4C68"/>
    <w:rsid w:val="5DD40DE1"/>
    <w:rsid w:val="5E3F64CF"/>
    <w:rsid w:val="5E6A5D46"/>
    <w:rsid w:val="5E7D74BF"/>
    <w:rsid w:val="5EC46558"/>
    <w:rsid w:val="5F247AF2"/>
    <w:rsid w:val="5F531BD4"/>
    <w:rsid w:val="5FAC0F8B"/>
    <w:rsid w:val="60086481"/>
    <w:rsid w:val="60B860A6"/>
    <w:rsid w:val="60F91084"/>
    <w:rsid w:val="61842912"/>
    <w:rsid w:val="61A06C8C"/>
    <w:rsid w:val="61DA75E3"/>
    <w:rsid w:val="61F63BD9"/>
    <w:rsid w:val="622418C2"/>
    <w:rsid w:val="62316037"/>
    <w:rsid w:val="623E21B8"/>
    <w:rsid w:val="624D13B0"/>
    <w:rsid w:val="627B3DA9"/>
    <w:rsid w:val="62F64558"/>
    <w:rsid w:val="6303439D"/>
    <w:rsid w:val="63410C4F"/>
    <w:rsid w:val="635D62A7"/>
    <w:rsid w:val="63E12121"/>
    <w:rsid w:val="63E33F1D"/>
    <w:rsid w:val="6401123F"/>
    <w:rsid w:val="64051D87"/>
    <w:rsid w:val="646627A3"/>
    <w:rsid w:val="64AF6309"/>
    <w:rsid w:val="64BB664B"/>
    <w:rsid w:val="64C92CD0"/>
    <w:rsid w:val="64CB3C7D"/>
    <w:rsid w:val="64CF20F6"/>
    <w:rsid w:val="64EC2CA8"/>
    <w:rsid w:val="658F073C"/>
    <w:rsid w:val="65C22231"/>
    <w:rsid w:val="65F55E2B"/>
    <w:rsid w:val="6665346D"/>
    <w:rsid w:val="669E1041"/>
    <w:rsid w:val="66F26570"/>
    <w:rsid w:val="6700318D"/>
    <w:rsid w:val="677E67CE"/>
    <w:rsid w:val="679110D3"/>
    <w:rsid w:val="67FC76A6"/>
    <w:rsid w:val="68017668"/>
    <w:rsid w:val="68223CCB"/>
    <w:rsid w:val="68307350"/>
    <w:rsid w:val="68826485"/>
    <w:rsid w:val="689251EA"/>
    <w:rsid w:val="68CA2C87"/>
    <w:rsid w:val="68D221B5"/>
    <w:rsid w:val="68D979E8"/>
    <w:rsid w:val="69246030"/>
    <w:rsid w:val="69DC1DFB"/>
    <w:rsid w:val="69F1514C"/>
    <w:rsid w:val="69FC19E4"/>
    <w:rsid w:val="6A4121F0"/>
    <w:rsid w:val="6ACD532A"/>
    <w:rsid w:val="6ADA71D1"/>
    <w:rsid w:val="6AE54616"/>
    <w:rsid w:val="6B1A6611"/>
    <w:rsid w:val="6B685053"/>
    <w:rsid w:val="6BFE3795"/>
    <w:rsid w:val="6BFE3DC3"/>
    <w:rsid w:val="6C491A0C"/>
    <w:rsid w:val="6C6B4DFB"/>
    <w:rsid w:val="6CC4450B"/>
    <w:rsid w:val="6D336331"/>
    <w:rsid w:val="6DCF44B3"/>
    <w:rsid w:val="6E0F5141"/>
    <w:rsid w:val="6E410468"/>
    <w:rsid w:val="6E456226"/>
    <w:rsid w:val="6E5F1E3E"/>
    <w:rsid w:val="6F0C601F"/>
    <w:rsid w:val="70217031"/>
    <w:rsid w:val="70263260"/>
    <w:rsid w:val="705E4C8A"/>
    <w:rsid w:val="70787AE6"/>
    <w:rsid w:val="70A22ACD"/>
    <w:rsid w:val="70E5498C"/>
    <w:rsid w:val="71013786"/>
    <w:rsid w:val="711A444B"/>
    <w:rsid w:val="71272858"/>
    <w:rsid w:val="717A5048"/>
    <w:rsid w:val="72097CD5"/>
    <w:rsid w:val="72203F91"/>
    <w:rsid w:val="7226053B"/>
    <w:rsid w:val="72914E8F"/>
    <w:rsid w:val="72A53AD1"/>
    <w:rsid w:val="72AC3309"/>
    <w:rsid w:val="72FA2A34"/>
    <w:rsid w:val="732857F3"/>
    <w:rsid w:val="73375FC5"/>
    <w:rsid w:val="73492604"/>
    <w:rsid w:val="735421E7"/>
    <w:rsid w:val="73822C43"/>
    <w:rsid w:val="749018A2"/>
    <w:rsid w:val="74A570A6"/>
    <w:rsid w:val="75587B5C"/>
    <w:rsid w:val="75B73601"/>
    <w:rsid w:val="75DE663D"/>
    <w:rsid w:val="760D7895"/>
    <w:rsid w:val="762828A3"/>
    <w:rsid w:val="76417878"/>
    <w:rsid w:val="764E39F2"/>
    <w:rsid w:val="76B10BAB"/>
    <w:rsid w:val="76F71E23"/>
    <w:rsid w:val="774B0EA4"/>
    <w:rsid w:val="77C04FDE"/>
    <w:rsid w:val="77ED7457"/>
    <w:rsid w:val="78665BA4"/>
    <w:rsid w:val="78834F41"/>
    <w:rsid w:val="789E383C"/>
    <w:rsid w:val="78CD513C"/>
    <w:rsid w:val="78DD2BDC"/>
    <w:rsid w:val="7944138C"/>
    <w:rsid w:val="7961380D"/>
    <w:rsid w:val="79F503F9"/>
    <w:rsid w:val="7A3F7AA5"/>
    <w:rsid w:val="7A49755B"/>
    <w:rsid w:val="7A4A72CE"/>
    <w:rsid w:val="7A4F07BE"/>
    <w:rsid w:val="7A6D6467"/>
    <w:rsid w:val="7B1126EB"/>
    <w:rsid w:val="7B160078"/>
    <w:rsid w:val="7BB75966"/>
    <w:rsid w:val="7BC57958"/>
    <w:rsid w:val="7C345888"/>
    <w:rsid w:val="7C3C2E1B"/>
    <w:rsid w:val="7C431DAC"/>
    <w:rsid w:val="7C4579AF"/>
    <w:rsid w:val="7C4A3E13"/>
    <w:rsid w:val="7C9A0DE4"/>
    <w:rsid w:val="7CB63FC6"/>
    <w:rsid w:val="7CC77E2B"/>
    <w:rsid w:val="7D350B5F"/>
    <w:rsid w:val="7D6455EB"/>
    <w:rsid w:val="7DED55ED"/>
    <w:rsid w:val="7E6A36E6"/>
    <w:rsid w:val="7F2449A4"/>
    <w:rsid w:val="7F762529"/>
    <w:rsid w:val="7F791980"/>
    <w:rsid w:val="7FB12BCE"/>
    <w:rsid w:val="7FEE3AA0"/>
    <w:rsid w:val="7FFE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outlineLvl w:val="1"/>
    </w:pPr>
    <w:rPr>
      <w:rFonts w:ascii="宋体" w:hAnsi="宋体"/>
      <w:color w:val="000000"/>
      <w:kern w:val="0"/>
      <w:sz w:val="28"/>
      <w:szCs w:val="20"/>
    </w:rPr>
  </w:style>
  <w:style w:type="paragraph" w:styleId="5">
    <w:name w:val="heading 3"/>
    <w:basedOn w:val="1"/>
    <w:next w:val="1"/>
    <w:autoRedefine/>
    <w:unhideWhenUsed/>
    <w:qFormat/>
    <w:uiPriority w:val="0"/>
    <w:pPr>
      <w:keepNext/>
      <w:keepLines/>
      <w:spacing w:beforeLines="0" w:beforeAutospacing="0" w:afterLines="0" w:afterAutospacing="0" w:line="360" w:lineRule="auto"/>
      <w:ind w:firstLine="0" w:firstLineChars="0"/>
      <w:jc w:val="left"/>
      <w:outlineLvl w:val="2"/>
    </w:pPr>
    <w:rPr>
      <w:rFonts w:ascii="Calibri" w:hAnsi="Calibri"/>
      <w:b/>
    </w:rPr>
  </w:style>
  <w:style w:type="paragraph" w:styleId="6">
    <w:name w:val="heading 4"/>
    <w:basedOn w:val="1"/>
    <w:next w:val="1"/>
    <w:unhideWhenUsed/>
    <w:qFormat/>
    <w:uiPriority w:val="0"/>
    <w:pPr>
      <w:keepNext/>
      <w:keepLines/>
      <w:spacing w:beforeLines="0" w:beforeAutospacing="0" w:afterLines="0" w:afterAutospacing="0" w:line="360" w:lineRule="auto"/>
      <w:ind w:firstLine="1036" w:firstLineChars="200"/>
      <w:jc w:val="left"/>
      <w:outlineLvl w:val="3"/>
    </w:pPr>
    <w:rPr>
      <w:rFonts w:ascii="Times New Roman" w:hAnsi="Times New Roman" w:eastAsia="宋体"/>
      <w:b/>
    </w:rPr>
  </w:style>
  <w:style w:type="character" w:default="1" w:styleId="26">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List 3"/>
    <w:basedOn w:val="1"/>
    <w:next w:val="1"/>
    <w:autoRedefine/>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8">
    <w:name w:val="Normal Indent"/>
    <w:basedOn w:val="1"/>
    <w:next w:val="1"/>
    <w:autoRedefine/>
    <w:qFormat/>
    <w:uiPriority w:val="0"/>
    <w:pPr>
      <w:adjustRightInd w:val="0"/>
      <w:spacing w:line="312" w:lineRule="atLeast"/>
      <w:ind w:firstLine="420"/>
      <w:textAlignment w:val="baseline"/>
    </w:pPr>
  </w:style>
  <w:style w:type="paragraph" w:styleId="9">
    <w:name w:val="caption"/>
    <w:basedOn w:val="1"/>
    <w:next w:val="1"/>
    <w:autoRedefine/>
    <w:qFormat/>
    <w:uiPriority w:val="0"/>
    <w:pPr>
      <w:jc w:val="center"/>
    </w:pPr>
    <w:rPr>
      <w:rFonts w:ascii="Cambria" w:hAnsi="Cambria"/>
      <w:b/>
      <w:sz w:val="24"/>
      <w:szCs w:val="20"/>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pPr>
      <w:widowControl/>
      <w:snapToGrid w:val="0"/>
      <w:spacing w:before="60" w:after="160" w:line="259" w:lineRule="auto"/>
      <w:ind w:right="113"/>
    </w:pPr>
    <w:rPr>
      <w:kern w:val="0"/>
      <w:sz w:val="18"/>
      <w:szCs w:val="20"/>
    </w:rPr>
  </w:style>
  <w:style w:type="paragraph" w:customStyle="1" w:styleId="12">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Body Text Indent"/>
    <w:basedOn w:val="1"/>
    <w:next w:val="14"/>
    <w:qFormat/>
    <w:uiPriority w:val="0"/>
    <w:pPr>
      <w:spacing w:after="120"/>
      <w:ind w:left="420" w:leftChars="200"/>
    </w:pPr>
    <w:rPr>
      <w:kern w:val="0"/>
      <w:sz w:val="24"/>
      <w:szCs w:val="20"/>
    </w:rPr>
  </w:style>
  <w:style w:type="paragraph" w:styleId="14">
    <w:name w:val="Body Text Indent 2"/>
    <w:basedOn w:val="1"/>
    <w:next w:val="15"/>
    <w:autoRedefine/>
    <w:unhideWhenUsed/>
    <w:qFormat/>
    <w:uiPriority w:val="99"/>
    <w:pPr>
      <w:spacing w:after="120" w:line="480" w:lineRule="auto"/>
      <w:ind w:left="420" w:leftChars="200"/>
    </w:pPr>
  </w:style>
  <w:style w:type="paragraph" w:styleId="15">
    <w:name w:val="Body Text First Indent 2"/>
    <w:basedOn w:val="13"/>
    <w:next w:val="1"/>
    <w:autoRedefine/>
    <w:qFormat/>
    <w:uiPriority w:val="0"/>
    <w:pPr>
      <w:ind w:firstLine="420"/>
    </w:pPr>
  </w:style>
  <w:style w:type="paragraph" w:styleId="16">
    <w:name w:val="Plain Text"/>
    <w:basedOn w:val="1"/>
    <w:autoRedefine/>
    <w:unhideWhenUsed/>
    <w:qFormat/>
    <w:uiPriority w:val="99"/>
    <w:rPr>
      <w:rFonts w:ascii="宋体" w:hAnsi="Courier New" w:cs="Courier New"/>
      <w:szCs w:val="21"/>
    </w:rPr>
  </w:style>
  <w:style w:type="paragraph" w:styleId="17">
    <w:name w:val="footer"/>
    <w:basedOn w:val="1"/>
    <w:autoRedefine/>
    <w:qFormat/>
    <w:uiPriority w:val="99"/>
    <w:pPr>
      <w:tabs>
        <w:tab w:val="center" w:pos="4153"/>
        <w:tab w:val="right" w:pos="8306"/>
      </w:tabs>
      <w:snapToGrid w:val="0"/>
      <w:jc w:val="left"/>
    </w:pPr>
    <w:rPr>
      <w:kern w:val="0"/>
      <w:sz w:val="18"/>
      <w:szCs w:val="20"/>
    </w:rPr>
  </w:style>
  <w:style w:type="paragraph" w:styleId="18">
    <w:name w:val="header"/>
    <w:basedOn w:val="1"/>
    <w:next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next w:val="11"/>
    <w:qFormat/>
    <w:uiPriority w:val="0"/>
    <w:pPr>
      <w:ind w:left="200" w:hanging="200" w:hangingChars="200"/>
    </w:pPr>
  </w:style>
  <w:style w:type="paragraph" w:styleId="20">
    <w:name w:val="table of figures"/>
    <w:basedOn w:val="1"/>
    <w:next w:val="1"/>
    <w:autoRedefine/>
    <w:qFormat/>
    <w:uiPriority w:val="0"/>
    <w:pPr>
      <w:ind w:left="200" w:leftChars="200" w:hanging="200" w:hangingChars="200"/>
    </w:pPr>
  </w:style>
  <w:style w:type="paragraph" w:styleId="21">
    <w:name w:val="Body Text 2"/>
    <w:basedOn w:val="1"/>
    <w:autoRedefine/>
    <w:qFormat/>
    <w:uiPriority w:val="0"/>
    <w:rPr>
      <w:sz w:val="28"/>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3">
    <w:name w:val="Body Text First Indent"/>
    <w:basedOn w:val="11"/>
    <w:unhideWhenUsed/>
    <w:qFormat/>
    <w:uiPriority w:val="99"/>
    <w:pPr>
      <w:widowControl w:val="0"/>
      <w:ind w:firstLine="420" w:firstLineChars="100"/>
      <w:jc w:val="both"/>
    </w:pPr>
    <w:rPr>
      <w:kern w:val="2"/>
      <w:sz w:val="21"/>
    </w:rPr>
  </w:style>
  <w:style w:type="table" w:styleId="25">
    <w:name w:val="Table Grid"/>
    <w:basedOn w:val="24"/>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basedOn w:val="26"/>
    <w:autoRedefine/>
    <w:qFormat/>
    <w:uiPriority w:val="0"/>
    <w:rPr>
      <w:i/>
    </w:rPr>
  </w:style>
  <w:style w:type="character" w:styleId="28">
    <w:name w:val="annotation reference"/>
    <w:basedOn w:val="26"/>
    <w:autoRedefine/>
    <w:semiHidden/>
    <w:qFormat/>
    <w:uiPriority w:val="0"/>
    <w:rPr>
      <w:sz w:val="21"/>
      <w:szCs w:val="21"/>
    </w:rPr>
  </w:style>
  <w:style w:type="paragraph" w:customStyle="1" w:styleId="29">
    <w:name w:val="Default"/>
    <w:basedOn w:val="3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纯文本1"/>
    <w:basedOn w:val="1"/>
    <w:autoRedefine/>
    <w:qFormat/>
    <w:uiPriority w:val="0"/>
    <w:pPr>
      <w:adjustRightInd w:val="0"/>
    </w:pPr>
    <w:rPr>
      <w:rFonts w:ascii="宋体" w:hAnsi="Courier New"/>
      <w:szCs w:val="20"/>
    </w:rPr>
  </w:style>
  <w:style w:type="paragraph" w:customStyle="1" w:styleId="31">
    <w:name w:val="标题2"/>
    <w:basedOn w:val="4"/>
    <w:autoRedefine/>
    <w:qFormat/>
    <w:uiPriority w:val="0"/>
    <w:pPr>
      <w:numPr>
        <w:ilvl w:val="1"/>
        <w:numId w:val="1"/>
      </w:numPr>
      <w:spacing w:before="0" w:after="0" w:line="440" w:lineRule="exact"/>
    </w:pPr>
    <w:rPr>
      <w:kern w:val="0"/>
      <w:sz w:val="28"/>
    </w:rPr>
  </w:style>
  <w:style w:type="paragraph" w:customStyle="1" w:styleId="32">
    <w:name w:val="样式35"/>
    <w:basedOn w:val="1"/>
    <w:autoRedefine/>
    <w:qFormat/>
    <w:uiPriority w:val="0"/>
    <w:pPr>
      <w:adjustRightInd w:val="0"/>
      <w:spacing w:line="312" w:lineRule="auto"/>
      <w:ind w:firstLine="567"/>
    </w:pPr>
    <w:rPr>
      <w:rFonts w:ascii="宋体"/>
      <w:kern w:val="0"/>
      <w:sz w:val="28"/>
    </w:rPr>
  </w:style>
  <w:style w:type="paragraph" w:customStyle="1" w:styleId="33">
    <w:name w:val="A-正文"/>
    <w:basedOn w:val="1"/>
    <w:autoRedefine/>
    <w:qFormat/>
    <w:uiPriority w:val="0"/>
    <w:pPr>
      <w:widowControl w:val="0"/>
      <w:adjustRightInd/>
      <w:snapToGrid/>
      <w:spacing w:line="560" w:lineRule="exact"/>
      <w:ind w:firstLine="560" w:firstLineChars="200"/>
    </w:pPr>
    <w:rPr>
      <w:rFonts w:ascii="Times New Roman" w:hAnsi="Times New Roman" w:eastAsia="仿宋_GB2312"/>
      <w:kern w:val="0"/>
      <w:sz w:val="24"/>
      <w:lang w:bidi="ar-SA"/>
    </w:rPr>
  </w:style>
  <w:style w:type="paragraph" w:customStyle="1" w:styleId="34">
    <w:name w:val="表格内容"/>
    <w:basedOn w:val="35"/>
    <w:next w:val="1"/>
    <w:autoRedefine/>
    <w:qFormat/>
    <w:uiPriority w:val="0"/>
    <w:pPr>
      <w:spacing w:line="240" w:lineRule="atLeast"/>
      <w:jc w:val="center"/>
    </w:pPr>
    <w:rPr>
      <w:rFonts w:eastAsia="宋体"/>
      <w:sz w:val="21"/>
    </w:rPr>
  </w:style>
  <w:style w:type="paragraph" w:customStyle="1" w:styleId="35">
    <w:name w:val="表格标题"/>
    <w:basedOn w:val="19"/>
    <w:next w:val="34"/>
    <w:autoRedefine/>
    <w:qFormat/>
    <w:uiPriority w:val="0"/>
    <w:pPr>
      <w:spacing w:before="0" w:beforeLines="0" w:line="360" w:lineRule="auto"/>
      <w:jc w:val="center"/>
    </w:pPr>
    <w:rPr>
      <w:rFonts w:ascii="Times New Roman" w:hAnsi="Times New Roman" w:eastAsia="黑体"/>
      <w:sz w:val="24"/>
      <w:szCs w:val="20"/>
    </w:rPr>
  </w:style>
  <w:style w:type="paragraph" w:customStyle="1" w:styleId="36">
    <w:name w:val="正文 + 仿宋_GB2312"/>
    <w:basedOn w:val="1"/>
    <w:autoRedefine/>
    <w:qFormat/>
    <w:uiPriority w:val="99"/>
    <w:pPr>
      <w:ind w:firstLine="480" w:firstLineChars="200"/>
    </w:pPr>
    <w:rPr>
      <w:rFonts w:ascii="仿宋_GB2312" w:hAnsi="Calibri" w:eastAsia="仿宋_GB2312" w:cs="Times New Roman"/>
      <w:sz w:val="24"/>
    </w:rPr>
  </w:style>
  <w:style w:type="paragraph" w:customStyle="1" w:styleId="37">
    <w:name w:val="胡正文"/>
    <w:basedOn w:val="1"/>
    <w:autoRedefine/>
    <w:qFormat/>
    <w:uiPriority w:val="0"/>
    <w:pPr>
      <w:spacing w:line="360" w:lineRule="auto"/>
      <w:ind w:firstLine="200" w:firstLineChars="200"/>
      <w:jc w:val="left"/>
    </w:pPr>
    <w:rPr>
      <w:rFonts w:ascii="宋体" w:hAnsi="宋体"/>
      <w:sz w:val="24"/>
      <w:szCs w:val="28"/>
    </w:rPr>
  </w:style>
  <w:style w:type="paragraph" w:customStyle="1" w:styleId="38">
    <w:name w:val="图、表标题"/>
    <w:basedOn w:val="1"/>
    <w:autoRedefine/>
    <w:qFormat/>
    <w:uiPriority w:val="0"/>
    <w:pPr>
      <w:jc w:val="center"/>
    </w:pPr>
    <w:rPr>
      <w:b/>
      <w:sz w:val="21"/>
    </w:rPr>
  </w:style>
  <w:style w:type="paragraph" w:customStyle="1" w:styleId="39">
    <w:name w:val="表格"/>
    <w:basedOn w:val="20"/>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40">
    <w:name w:val="图、表内容"/>
    <w:basedOn w:val="1"/>
    <w:autoRedefine/>
    <w:qFormat/>
    <w:uiPriority w:val="0"/>
    <w:pPr>
      <w:spacing w:line="240" w:lineRule="auto"/>
      <w:ind w:firstLine="0" w:firstLineChars="0"/>
      <w:jc w:val="center"/>
    </w:pPr>
    <w:rPr>
      <w:sz w:val="21"/>
    </w:rPr>
  </w:style>
  <w:style w:type="character" w:customStyle="1" w:styleId="41">
    <w:name w:val="NormalCharacter"/>
    <w:link w:val="42"/>
    <w:autoRedefine/>
    <w:qFormat/>
    <w:uiPriority w:val="0"/>
    <w:rPr>
      <w:rFonts w:ascii="宋体" w:hAnsi="宋体" w:eastAsia="宋体"/>
      <w:kern w:val="2"/>
      <w:sz w:val="24"/>
      <w:szCs w:val="24"/>
      <w:lang w:val="en-US" w:eastAsia="zh-CN" w:bidi="ar-SA"/>
    </w:rPr>
  </w:style>
  <w:style w:type="paragraph" w:customStyle="1" w:styleId="42">
    <w:name w:val="UserStyle_12"/>
    <w:basedOn w:val="1"/>
    <w:link w:val="41"/>
    <w:autoRedefine/>
    <w:qFormat/>
    <w:uiPriority w:val="0"/>
    <w:pPr>
      <w:spacing w:after="50" w:line="360" w:lineRule="auto"/>
      <w:ind w:firstLine="200" w:firstLineChars="200"/>
      <w:jc w:val="both"/>
      <w:textAlignment w:val="baseline"/>
    </w:pPr>
    <w:rPr>
      <w:rFonts w:ascii="宋体" w:hAnsi="宋体" w:eastAsia="宋体"/>
      <w:kern w:val="2"/>
      <w:sz w:val="24"/>
      <w:szCs w:val="24"/>
      <w:lang w:val="en-US" w:eastAsia="zh-CN" w:bidi="ar-SA"/>
    </w:rPr>
  </w:style>
  <w:style w:type="character" w:customStyle="1" w:styleId="43">
    <w:name w:val="fontstyle01"/>
    <w:basedOn w:val="26"/>
    <w:autoRedefine/>
    <w:qFormat/>
    <w:uiPriority w:val="0"/>
    <w:rPr>
      <w:rFonts w:hint="eastAsia" w:ascii="宋体" w:hAnsi="宋体" w:eastAsia="宋体"/>
      <w:color w:val="000000"/>
      <w:sz w:val="24"/>
      <w:szCs w:val="24"/>
    </w:rPr>
  </w:style>
  <w:style w:type="paragraph" w:customStyle="1" w:styleId="44">
    <w:name w:val="Table Paragraph"/>
    <w:basedOn w:val="1"/>
    <w:autoRedefine/>
    <w:qFormat/>
    <w:uiPriority w:val="1"/>
    <w:rPr>
      <w:rFonts w:ascii="宋体" w:hAnsi="宋体" w:eastAsia="宋体" w:cs="宋体"/>
      <w:lang w:val="zh-CN" w:eastAsia="zh-CN" w:bidi="zh-CN"/>
    </w:rPr>
  </w:style>
  <w:style w:type="paragraph" w:customStyle="1" w:styleId="45">
    <w:name w:val="Other|1"/>
    <w:basedOn w:val="1"/>
    <w:autoRedefine/>
    <w:qFormat/>
    <w:uiPriority w:val="0"/>
    <w:pPr>
      <w:widowControl w:val="0"/>
      <w:shd w:val="clear" w:color="auto" w:fill="auto"/>
      <w:jc w:val="center"/>
    </w:pPr>
    <w:rPr>
      <w:rFonts w:ascii="PMingLiU" w:hAnsi="PMingLiU" w:eastAsia="PMingLiU" w:cs="PMingLiU"/>
      <w:sz w:val="22"/>
      <w:szCs w:val="22"/>
      <w:u w:val="none"/>
      <w:shd w:val="clear" w:color="auto" w:fill="auto"/>
    </w:rPr>
  </w:style>
  <w:style w:type="character" w:customStyle="1" w:styleId="46">
    <w:name w:val="fontstyle31"/>
    <w:basedOn w:val="26"/>
    <w:autoRedefine/>
    <w:qFormat/>
    <w:uiPriority w:val="0"/>
    <w:rPr>
      <w:rFonts w:ascii="Calibri" w:hAnsi="Calibri" w:cs="Calibri"/>
      <w:color w:val="000000"/>
      <w:sz w:val="24"/>
      <w:szCs w:val="24"/>
    </w:rPr>
  </w:style>
  <w:style w:type="paragraph" w:customStyle="1" w:styleId="47">
    <w:name w:val="表格内文字"/>
    <w:basedOn w:val="1"/>
    <w:autoRedefine/>
    <w:qFormat/>
    <w:uiPriority w:val="0"/>
    <w:pPr>
      <w:tabs>
        <w:tab w:val="left" w:pos="0"/>
      </w:tabs>
      <w:adjustRightInd w:val="0"/>
      <w:snapToGrid w:val="0"/>
      <w:jc w:val="center"/>
    </w:pPr>
    <w:rPr>
      <w:rFonts w:ascii="Times New Roman" w:hAnsi="Times New Roman"/>
      <w:kern w:val="0"/>
      <w:szCs w:val="24"/>
    </w:rPr>
  </w:style>
  <w:style w:type="paragraph" w:customStyle="1" w:styleId="48">
    <w:name w:val="Table Text"/>
    <w:basedOn w:val="1"/>
    <w:autoRedefine/>
    <w:semiHidden/>
    <w:qFormat/>
    <w:uiPriority w:val="0"/>
    <w:rPr>
      <w:rFonts w:ascii="宋体" w:hAnsi="宋体" w:eastAsia="宋体" w:cs="宋体"/>
      <w:sz w:val="24"/>
      <w:szCs w:val="24"/>
      <w:lang w:val="en-US" w:eastAsia="en-US" w:bidi="ar-SA"/>
    </w:rPr>
  </w:style>
  <w:style w:type="paragraph" w:customStyle="1" w:styleId="49">
    <w:name w:val="首行缩进"/>
    <w:basedOn w:val="1"/>
    <w:autoRedefine/>
    <w:qFormat/>
    <w:uiPriority w:val="0"/>
    <w:pPr>
      <w:widowControl/>
      <w:ind w:firstLine="480"/>
      <w:jc w:val="left"/>
    </w:pPr>
    <w:rPr>
      <w:rFonts w:ascii="Calibri" w:hAnsi="Calibri"/>
      <w:kern w:val="0"/>
      <w:lang w:eastAsia="en-US" w:bidi="en-US"/>
    </w:rPr>
  </w:style>
  <w:style w:type="character" w:customStyle="1" w:styleId="50">
    <w:name w:val="font41"/>
    <w:basedOn w:val="26"/>
    <w:qFormat/>
    <w:uiPriority w:val="0"/>
    <w:rPr>
      <w:rFonts w:hint="default" w:ascii="Arial" w:hAnsi="Arial" w:cs="Arial"/>
      <w:color w:val="000000"/>
      <w:sz w:val="20"/>
      <w:szCs w:val="20"/>
      <w:u w:val="none"/>
    </w:rPr>
  </w:style>
  <w:style w:type="character" w:customStyle="1" w:styleId="51">
    <w:name w:val="font61"/>
    <w:basedOn w:val="26"/>
    <w:qFormat/>
    <w:uiPriority w:val="0"/>
    <w:rPr>
      <w:rFonts w:hint="default" w:ascii="Arial" w:hAnsi="Arial" w:cs="Arial"/>
      <w:color w:val="000000"/>
      <w:sz w:val="20"/>
      <w:szCs w:val="20"/>
      <w:u w:val="none"/>
      <w:vertAlign w:val="superscript"/>
    </w:rPr>
  </w:style>
  <w:style w:type="character" w:customStyle="1" w:styleId="52">
    <w:name w:val="font01"/>
    <w:basedOn w:val="26"/>
    <w:qFormat/>
    <w:uiPriority w:val="0"/>
    <w:rPr>
      <w:rFonts w:hint="eastAsia" w:ascii="宋体" w:hAnsi="宋体" w:eastAsia="宋体" w:cs="宋体"/>
      <w:color w:val="000000"/>
      <w:sz w:val="22"/>
      <w:szCs w:val="22"/>
      <w:u w:val="none"/>
    </w:rPr>
  </w:style>
  <w:style w:type="paragraph" w:customStyle="1" w:styleId="53">
    <w:name w:val="reader-word-layer reader-word-s5-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无间隔1"/>
    <w:basedOn w:val="1"/>
    <w:qFormat/>
    <w:uiPriority w:val="0"/>
    <w:pPr>
      <w:spacing w:line="240" w:lineRule="auto"/>
    </w:pPr>
    <w:rPr>
      <w:sz w:val="21"/>
      <w:szCs w:val="21"/>
    </w:rPr>
  </w:style>
  <w:style w:type="paragraph" w:customStyle="1" w:styleId="55">
    <w:name w:val="样式 宋体 行距: 固定值 20 磅"/>
    <w:basedOn w:val="1"/>
    <w:qFormat/>
    <w:uiPriority w:val="0"/>
    <w:pPr>
      <w:spacing w:line="360" w:lineRule="exact"/>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11471</Words>
  <Characters>12066</Characters>
  <Lines>0</Lines>
  <Paragraphs>0</Paragraphs>
  <TotalTime>5</TotalTime>
  <ScaleCrop>false</ScaleCrop>
  <LinksUpToDate>false</LinksUpToDate>
  <CharactersWithSpaces>12108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2021-08-25T06:57:00Z</dcterms:created>
  <dc:creator>XJ.W</dc:creator>
  <cp:lastModifiedBy>麻花儿~</cp:lastModifiedBy>
  <cp:lastPrinted>2026-01-12T00:49:00Z</cp:lastPrinted>
  <dcterms:modified xsi:type="dcterms:W3CDTF">2026-01-13T08:24:51Z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620A3AD02574402F91FB1CB3F46E4BF0_13</vt:lpwstr>
  </property>
  <property fmtid="{D5CDD505-2E9C-101B-9397-08002B2CF9AE}" pid="4" name="KSOTemplateDocerSaveRecord">
    <vt:lpwstr>eyJoZGlkIjoiNTEwMjBkNzQ5ZTExNGEzNmQzZDc1MjJmMjc0MTMxYjkiLCJ1c2VySWQiOiI1NzYzNDA0NDYifQ==</vt:lpwstr>
  </property>
</Properties>
</file>