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96F07">
      <w:pPr>
        <w:rPr>
          <w:rFonts w:ascii="仿宋_GB2312" w:hAnsi="仿宋_GB2312" w:eastAsia="仿宋_GB2312" w:cs="仿宋_GB2312"/>
          <w:sz w:val="36"/>
          <w:szCs w:val="36"/>
        </w:rPr>
      </w:pPr>
    </w:p>
    <w:p w14:paraId="270C67BA">
      <w:pPr>
        <w:rPr>
          <w:rFonts w:ascii="仿宋_GB2312" w:hAnsi="仿宋_GB2312" w:eastAsia="仿宋_GB2312" w:cs="仿宋_GB2312"/>
          <w:sz w:val="36"/>
          <w:szCs w:val="36"/>
        </w:rPr>
      </w:pPr>
    </w:p>
    <w:p w14:paraId="0B412683">
      <w:pPr>
        <w:pStyle w:val="42"/>
        <w:numPr>
          <w:ilvl w:val="0"/>
          <w:numId w:val="0"/>
        </w:numPr>
        <w:rPr>
          <w:rFonts w:hint="eastAsia"/>
          <w:color w:val="auto"/>
        </w:rPr>
      </w:pPr>
    </w:p>
    <w:p w14:paraId="20688D41">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3F2E7FCD">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421D3461">
      <w:pPr>
        <w:adjustRightInd w:val="0"/>
        <w:snapToGrid w:val="0"/>
        <w:spacing w:line="288" w:lineRule="auto"/>
        <w:jc w:val="center"/>
        <w:rPr>
          <w:rFonts w:ascii="华文仿宋" w:hAnsi="华文仿宋" w:eastAsia="华文仿宋" w:cs="华文仿宋"/>
          <w:kern w:val="44"/>
          <w:sz w:val="44"/>
          <w:szCs w:val="44"/>
        </w:rPr>
      </w:pPr>
    </w:p>
    <w:p w14:paraId="71632B6D">
      <w:pPr>
        <w:jc w:val="center"/>
        <w:rPr>
          <w:rFonts w:eastAsia="仿宋"/>
          <w:sz w:val="52"/>
          <w:szCs w:val="52"/>
        </w:rPr>
      </w:pPr>
    </w:p>
    <w:p w14:paraId="5EE7EAE1">
      <w:pPr>
        <w:ind w:firstLine="1040"/>
        <w:rPr>
          <w:rFonts w:eastAsia="仿宋"/>
          <w:sz w:val="44"/>
          <w:szCs w:val="44"/>
        </w:rPr>
      </w:pPr>
    </w:p>
    <w:p w14:paraId="2A9D3D6E">
      <w:pPr>
        <w:ind w:firstLine="1040"/>
        <w:rPr>
          <w:rFonts w:eastAsia="仿宋"/>
          <w:sz w:val="44"/>
          <w:szCs w:val="44"/>
        </w:rPr>
      </w:pPr>
    </w:p>
    <w:p w14:paraId="636EC2F1">
      <w:pPr>
        <w:ind w:firstLine="1040"/>
        <w:rPr>
          <w:rFonts w:eastAsia="仿宋"/>
          <w:sz w:val="44"/>
          <w:szCs w:val="44"/>
        </w:rPr>
      </w:pPr>
    </w:p>
    <w:p w14:paraId="23380150">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仿宋_GB2312" w:cs="Times New Roman"/>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lang w:val="en-US" w:eastAsia="zh-CN"/>
        </w:rPr>
        <w:t xml:space="preserve"> </w:t>
      </w:r>
      <w:r>
        <w:rPr>
          <w:rFonts w:hint="eastAsia" w:ascii="仿宋_GB2312" w:eastAsia="仿宋_GB2312"/>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益生菌、运动营养及保健食品柔性生产</w:t>
      </w:r>
      <w:r>
        <w:rPr>
          <w:rFonts w:hint="eastAsia" w:ascii="Times New Roman" w:hAnsi="Times New Roman" w:eastAsia="仿宋_GB2312" w:cs="Times New Roman"/>
          <w:sz w:val="36"/>
          <w:szCs w:val="36"/>
          <w:u w:val="single"/>
          <w:lang w:val="en-US" w:eastAsia="zh-CN"/>
        </w:rPr>
        <w:t xml:space="preserve">   </w:t>
      </w:r>
      <w:r>
        <w:rPr>
          <w:rFonts w:hint="eastAsia" w:eastAsia="仿宋_GB2312" w:cs="Times New Roman"/>
          <w:sz w:val="36"/>
          <w:szCs w:val="36"/>
          <w:u w:val="single"/>
          <w:lang w:val="en-US" w:eastAsia="zh-CN"/>
        </w:rPr>
        <w:t xml:space="preserve"> </w:t>
      </w:r>
    </w:p>
    <w:p w14:paraId="2654F431">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center"/>
        <w:textAlignment w:val="auto"/>
        <w:rPr>
          <w:rFonts w:hint="default" w:ascii="Times New Roman" w:hAnsi="Times New Roman" w:eastAsia="仿宋_GB2312" w:cs="Times New Roman"/>
          <w:sz w:val="36"/>
          <w:szCs w:val="36"/>
          <w:u w:val="none"/>
          <w:lang w:val="en-US" w:eastAsia="zh-CN"/>
        </w:rPr>
      </w:pP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线升级技改项目</w:t>
      </w:r>
      <w:r>
        <w:rPr>
          <w:rFonts w:hint="eastAsia" w:eastAsia="仿宋_GB2312" w:cs="Times New Roman"/>
          <w:sz w:val="36"/>
          <w:szCs w:val="36"/>
          <w:u w:val="single"/>
          <w:lang w:val="en-US" w:eastAsia="zh-CN"/>
        </w:rPr>
        <w:t xml:space="preserve">            </w:t>
      </w:r>
    </w:p>
    <w:p w14:paraId="0692E261">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jc w:val="left"/>
        <w:textAlignment w:val="auto"/>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建设单位（盖章）：</w:t>
      </w:r>
      <w:r>
        <w:rPr>
          <w:rFonts w:hint="default" w:ascii="Times New Roman" w:hAnsi="Times New Roman" w:eastAsia="仿宋_GB2312" w:cs="Times New Roman"/>
          <w:sz w:val="36"/>
          <w:szCs w:val="36"/>
          <w:u w:val="single"/>
          <w:lang w:val="en-US" w:eastAsia="zh-CN"/>
        </w:rPr>
        <w:t>安徽数字星空生物科技有限公司</w:t>
      </w:r>
      <w:r>
        <w:rPr>
          <w:rFonts w:hint="eastAsia" w:eastAsia="仿宋_GB2312" w:cs="Times New Roman"/>
          <w:sz w:val="36"/>
          <w:szCs w:val="36"/>
          <w:u w:val="single"/>
          <w:lang w:val="en-US" w:eastAsia="zh-CN"/>
        </w:rPr>
        <w:t xml:space="preserve">  </w:t>
      </w:r>
      <w:r>
        <w:rPr>
          <w:rFonts w:hint="eastAsia" w:ascii="Times New Roman" w:hAnsi="Times New Roman" w:eastAsia="仿宋_GB2312" w:cs="Times New Roman"/>
          <w:sz w:val="36"/>
          <w:szCs w:val="36"/>
          <w:u w:val="single"/>
          <w:lang w:val="en-US" w:eastAsia="zh-CN"/>
        </w:rPr>
        <w:t xml:space="preserve"> </w:t>
      </w:r>
    </w:p>
    <w:p w14:paraId="7F9D4C74">
      <w:pPr>
        <w:keepNext w:val="0"/>
        <w:keepLines w:val="0"/>
        <w:pageBreakBefore w:val="0"/>
        <w:widowControl w:val="0"/>
        <w:kinsoku/>
        <w:wordWrap/>
        <w:overflowPunct/>
        <w:topLinePunct w:val="0"/>
        <w:autoSpaceDE/>
        <w:autoSpaceDN/>
        <w:bidi w:val="0"/>
        <w:adjustRightInd w:val="0"/>
        <w:snapToGrid w:val="0"/>
        <w:spacing w:line="288" w:lineRule="auto"/>
        <w:ind w:left="1439" w:leftChars="171" w:hanging="1080" w:hangingChars="300"/>
        <w:textAlignment w:val="auto"/>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编制日期：</w:t>
      </w:r>
      <w:r>
        <w:rPr>
          <w:rFonts w:hint="default" w:ascii="Times New Roman" w:hAnsi="Times New Roman" w:eastAsia="仿宋_GB2312" w:cs="Times New Roman"/>
          <w:sz w:val="36"/>
          <w:szCs w:val="36"/>
          <w:u w:val="single"/>
        </w:rPr>
        <w:t xml:space="preserve">            202</w:t>
      </w:r>
      <w:r>
        <w:rPr>
          <w:rFonts w:hint="eastAsia" w:eastAsia="仿宋_GB2312" w:cs="Times New Roman"/>
          <w:sz w:val="36"/>
          <w:szCs w:val="36"/>
          <w:u w:val="single"/>
          <w:lang w:val="en-US" w:eastAsia="zh-CN"/>
        </w:rPr>
        <w:t>6</w:t>
      </w:r>
      <w:r>
        <w:rPr>
          <w:rFonts w:hint="default" w:ascii="Times New Roman" w:hAnsi="Times New Roman" w:eastAsia="仿宋_GB2312" w:cs="Times New Roman"/>
          <w:sz w:val="36"/>
          <w:szCs w:val="36"/>
          <w:u w:val="single"/>
        </w:rPr>
        <w:t>年</w:t>
      </w:r>
      <w:r>
        <w:rPr>
          <w:rFonts w:hint="eastAsia" w:eastAsia="仿宋_GB2312" w:cs="Times New Roman"/>
          <w:sz w:val="36"/>
          <w:szCs w:val="36"/>
          <w:u w:val="single"/>
          <w:lang w:val="en-US" w:eastAsia="zh-CN"/>
        </w:rPr>
        <w:t>2</w:t>
      </w:r>
      <w:r>
        <w:rPr>
          <w:rFonts w:hint="default" w:ascii="Times New Roman" w:hAnsi="Times New Roman" w:eastAsia="仿宋_GB2312" w:cs="Times New Roman"/>
          <w:sz w:val="36"/>
          <w:szCs w:val="36"/>
          <w:u w:val="single"/>
        </w:rPr>
        <w:t xml:space="preserve">月    </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p>
    <w:p w14:paraId="6696D2DE">
      <w:pPr>
        <w:adjustRightInd w:val="0"/>
        <w:snapToGrid w:val="0"/>
        <w:spacing w:line="288" w:lineRule="auto"/>
        <w:ind w:firstLine="1040"/>
        <w:rPr>
          <w:rFonts w:hint="default" w:ascii="Times New Roman" w:hAnsi="Times New Roman" w:eastAsia="仿宋_GB2312" w:cs="Times New Roman"/>
          <w:sz w:val="36"/>
          <w:szCs w:val="36"/>
          <w:u w:val="single"/>
        </w:rPr>
      </w:pPr>
    </w:p>
    <w:p w14:paraId="39CEA4E7">
      <w:pPr>
        <w:adjustRightInd w:val="0"/>
        <w:snapToGrid w:val="0"/>
        <w:spacing w:line="288" w:lineRule="auto"/>
        <w:ind w:firstLine="1040"/>
        <w:rPr>
          <w:rFonts w:ascii="仿宋_GB2312" w:eastAsia="仿宋_GB2312"/>
          <w:sz w:val="36"/>
          <w:szCs w:val="36"/>
        </w:rPr>
      </w:pPr>
    </w:p>
    <w:p w14:paraId="6C323A6D">
      <w:pPr>
        <w:adjustRightInd w:val="0"/>
        <w:snapToGrid w:val="0"/>
        <w:spacing w:line="288" w:lineRule="auto"/>
        <w:ind w:firstLine="1040"/>
        <w:rPr>
          <w:rFonts w:ascii="仿宋_GB2312" w:eastAsia="仿宋_GB2312"/>
          <w:sz w:val="36"/>
          <w:szCs w:val="36"/>
        </w:rPr>
      </w:pPr>
    </w:p>
    <w:p w14:paraId="6A81DD9A">
      <w:pPr>
        <w:adjustRightInd w:val="0"/>
        <w:snapToGrid w:val="0"/>
        <w:spacing w:line="288" w:lineRule="auto"/>
        <w:ind w:firstLine="1040"/>
        <w:rPr>
          <w:rFonts w:hint="eastAsia" w:ascii="仿宋_GB2312" w:eastAsia="仿宋_GB2312"/>
          <w:sz w:val="36"/>
          <w:szCs w:val="36"/>
        </w:rPr>
      </w:pPr>
    </w:p>
    <w:p w14:paraId="56D98D16">
      <w:pPr>
        <w:adjustRightInd w:val="0"/>
        <w:snapToGrid w:val="0"/>
        <w:spacing w:line="288" w:lineRule="auto"/>
        <w:ind w:firstLine="1040"/>
        <w:rPr>
          <w:rFonts w:hint="eastAsia" w:ascii="仿宋_GB2312" w:eastAsia="仿宋_GB2312"/>
          <w:sz w:val="36"/>
          <w:szCs w:val="36"/>
        </w:rPr>
      </w:pPr>
    </w:p>
    <w:p w14:paraId="246143FF">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43FC09A1">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3606DA00">
      <w:pPr>
        <w:pStyle w:val="31"/>
        <w:adjustRightInd w:val="0"/>
        <w:snapToGrid w:val="0"/>
        <w:spacing w:before="0" w:beforeAutospacing="0" w:after="0" w:afterAutospacing="0" w:line="360" w:lineRule="auto"/>
        <w:jc w:val="center"/>
        <w:outlineLvl w:val="0"/>
        <w:rPr>
          <w:rFonts w:ascii="Times New Roman" w:hAnsi="Times New Roman"/>
          <w:b/>
          <w:snapToGrid w:val="0"/>
          <w:sz w:val="30"/>
          <w:szCs w:val="30"/>
        </w:rPr>
      </w:pPr>
      <w:bookmarkStart w:id="8" w:name="_GoBack"/>
      <w:bookmarkEnd w:id="8"/>
      <w:r>
        <w:rPr>
          <w:rFonts w:ascii="Times New Roman" w:hAnsi="Times New Roman"/>
          <w:b/>
          <w:snapToGrid w:val="0"/>
          <w:sz w:val="30"/>
          <w:szCs w:val="30"/>
        </w:rPr>
        <w:t>一、建设项目基本情况</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728"/>
        <w:gridCol w:w="2330"/>
        <w:gridCol w:w="2235"/>
        <w:gridCol w:w="3263"/>
      </w:tblGrid>
      <w:tr w14:paraId="52FF3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444295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建设项目名称</w:t>
            </w:r>
          </w:p>
        </w:tc>
        <w:tc>
          <w:tcPr>
            <w:tcW w:w="7828" w:type="dxa"/>
            <w:gridSpan w:val="3"/>
            <w:vAlign w:val="center"/>
          </w:tcPr>
          <w:p w14:paraId="2DC571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eastAsia="zh-CN"/>
              </w:rPr>
            </w:pPr>
            <w:r>
              <w:rPr>
                <w:rFonts w:hint="default" w:ascii="Times New Roman" w:hAnsi="Times New Roman" w:eastAsia="宋体" w:cs="Times New Roman"/>
                <w:kern w:val="0"/>
                <w:sz w:val="24"/>
                <w:lang w:val="en-US" w:eastAsia="zh-CN"/>
              </w:rPr>
              <w:t>益生菌、运动营养及保健食品柔性生产线升级技改项目</w:t>
            </w:r>
          </w:p>
        </w:tc>
      </w:tr>
      <w:tr w14:paraId="765AE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1A6B7A0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项目代码</w:t>
            </w:r>
          </w:p>
        </w:tc>
        <w:tc>
          <w:tcPr>
            <w:tcW w:w="7828" w:type="dxa"/>
            <w:gridSpan w:val="3"/>
            <w:vAlign w:val="center"/>
          </w:tcPr>
          <w:p w14:paraId="5F16D1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lang w:val="en-US" w:eastAsia="zh-CN"/>
              </w:rPr>
              <w:t>2511-341367-04-02-198414</w:t>
            </w:r>
          </w:p>
        </w:tc>
      </w:tr>
      <w:tr w14:paraId="305933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5027008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建设单位联系人</w:t>
            </w:r>
          </w:p>
        </w:tc>
        <w:tc>
          <w:tcPr>
            <w:tcW w:w="2330" w:type="dxa"/>
            <w:vAlign w:val="center"/>
          </w:tcPr>
          <w:p w14:paraId="08B9DB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李素梅</w:t>
            </w:r>
          </w:p>
        </w:tc>
        <w:tc>
          <w:tcPr>
            <w:tcW w:w="2235" w:type="dxa"/>
            <w:vAlign w:val="center"/>
          </w:tcPr>
          <w:p w14:paraId="1A18FA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联系方式</w:t>
            </w:r>
          </w:p>
        </w:tc>
        <w:tc>
          <w:tcPr>
            <w:tcW w:w="3263" w:type="dxa"/>
            <w:vAlign w:val="center"/>
          </w:tcPr>
          <w:p w14:paraId="189EE6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lang w:val="en-US" w:eastAsia="zh-CN"/>
              </w:rPr>
              <w:t>18133222387</w:t>
            </w:r>
          </w:p>
        </w:tc>
      </w:tr>
      <w:tr w14:paraId="179B7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4C2FB7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建设地点</w:t>
            </w:r>
          </w:p>
        </w:tc>
        <w:tc>
          <w:tcPr>
            <w:tcW w:w="7828" w:type="dxa"/>
            <w:gridSpan w:val="3"/>
            <w:vAlign w:val="center"/>
          </w:tcPr>
          <w:p w14:paraId="42E5A6F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宿州市高新技术开发区北三环泗山路数字星空8号厂房</w:t>
            </w:r>
          </w:p>
        </w:tc>
      </w:tr>
      <w:tr w14:paraId="3BFDB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75339B5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地理坐标</w:t>
            </w:r>
          </w:p>
        </w:tc>
        <w:tc>
          <w:tcPr>
            <w:tcW w:w="7828" w:type="dxa"/>
            <w:gridSpan w:val="3"/>
            <w:vAlign w:val="center"/>
          </w:tcPr>
          <w:p w14:paraId="71EC973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highlight w:val="none"/>
              </w:rPr>
              <w:t>经度：</w:t>
            </w:r>
            <w:r>
              <w:rPr>
                <w:rFonts w:hint="default" w:ascii="Times New Roman" w:hAnsi="Times New Roman" w:cs="Times New Roman"/>
                <w:color w:val="auto"/>
                <w:sz w:val="24"/>
                <w:highlight w:val="none"/>
                <w:u w:val="single"/>
              </w:rPr>
              <w:t xml:space="preserve"> 11</w:t>
            </w:r>
            <w:r>
              <w:rPr>
                <w:rFonts w:hint="eastAsia" w:cs="Times New Roman"/>
                <w:color w:val="auto"/>
                <w:sz w:val="24"/>
                <w:highlight w:val="none"/>
                <w:u w:val="single"/>
                <w:lang w:val="en-US" w:eastAsia="zh-CN"/>
              </w:rPr>
              <w:t>6</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58</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分</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58.339</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秒，纬度：</w:t>
            </w:r>
            <w:r>
              <w:rPr>
                <w:rFonts w:hint="default" w:ascii="Times New Roman" w:hAnsi="Times New Roman" w:cs="Times New Roman"/>
                <w:color w:val="auto"/>
                <w:sz w:val="24"/>
                <w:highlight w:val="none"/>
                <w:u w:val="single"/>
              </w:rPr>
              <w:t xml:space="preserve"> 3</w:t>
            </w:r>
            <w:r>
              <w:rPr>
                <w:rFonts w:hint="default" w:ascii="Times New Roman" w:hAnsi="Times New Roman" w:cs="Times New Roman"/>
                <w:color w:val="auto"/>
                <w:sz w:val="24"/>
                <w:highlight w:val="none"/>
                <w:u w:val="single"/>
                <w:lang w:val="en-US" w:eastAsia="zh-CN"/>
              </w:rPr>
              <w:t>3</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41</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分</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52.811</w:t>
            </w:r>
            <w:r>
              <w:rPr>
                <w:rFonts w:hint="default" w:ascii="Times New Roman" w:hAnsi="Times New Roman" w:cs="Times New Roman"/>
                <w:color w:val="auto"/>
                <w:sz w:val="24"/>
                <w:highlight w:val="none"/>
              </w:rPr>
              <w:t>秒</w:t>
            </w:r>
          </w:p>
        </w:tc>
      </w:tr>
      <w:tr w14:paraId="3E10B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6EB823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国民经济</w:t>
            </w:r>
          </w:p>
          <w:p w14:paraId="13388E6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行业类别</w:t>
            </w:r>
          </w:p>
        </w:tc>
        <w:tc>
          <w:tcPr>
            <w:tcW w:w="2330" w:type="dxa"/>
            <w:vAlign w:val="center"/>
          </w:tcPr>
          <w:p w14:paraId="392F1F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C1421糖果、巧克力制造；C1491营养食品制造；C1524含乳饮料和植物蛋白饮料制造；</w:t>
            </w:r>
            <w:r>
              <w:rPr>
                <w:rFonts w:hint="default" w:ascii="Times New Roman" w:hAnsi="Times New Roman" w:eastAsia="宋体" w:cs="Times New Roman"/>
                <w:color w:val="auto"/>
                <w:sz w:val="24"/>
                <w:lang w:val="en-US" w:eastAsia="zh-CN"/>
              </w:rPr>
              <w:t>C1525固体饮料制造</w:t>
            </w:r>
          </w:p>
        </w:tc>
        <w:tc>
          <w:tcPr>
            <w:tcW w:w="2235" w:type="dxa"/>
            <w:vAlign w:val="center"/>
          </w:tcPr>
          <w:p w14:paraId="7D06CF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4"/>
              </w:rPr>
            </w:pPr>
            <w:bookmarkStart w:id="0" w:name="_Hlk49843745"/>
            <w:r>
              <w:rPr>
                <w:rFonts w:hint="default" w:ascii="Times New Roman" w:hAnsi="Times New Roman" w:cs="Times New Roman"/>
                <w:b/>
                <w:color w:val="auto"/>
                <w:sz w:val="24"/>
              </w:rPr>
              <w:t>建设项目</w:t>
            </w:r>
          </w:p>
          <w:p w14:paraId="1FE591D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b/>
                <w:color w:val="auto"/>
                <w:sz w:val="24"/>
              </w:rPr>
              <w:t>行业类别</w:t>
            </w:r>
            <w:bookmarkEnd w:id="0"/>
          </w:p>
        </w:tc>
        <w:tc>
          <w:tcPr>
            <w:tcW w:w="3263" w:type="dxa"/>
            <w:vAlign w:val="center"/>
          </w:tcPr>
          <w:p w14:paraId="21B27B09">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十一、食品制造业14-21 糖果、巧克力及蜜饯制造 142；</w:t>
            </w:r>
            <w:r>
              <w:rPr>
                <w:rFonts w:hint="default" w:ascii="Times New Roman" w:hAnsi="Times New Roman" w:eastAsia="宋体" w:cs="Times New Roman"/>
                <w:color w:val="auto"/>
                <w:sz w:val="24"/>
                <w:lang w:val="en-US" w:eastAsia="zh-CN"/>
              </w:rPr>
              <w:t>十一、食品制造业14-24 其他食品制造 149、营养食品制造</w:t>
            </w:r>
            <w:r>
              <w:rPr>
                <w:rFonts w:hint="eastAsia" w:cs="Times New Roman"/>
                <w:color w:val="auto"/>
                <w:sz w:val="24"/>
                <w:lang w:val="en-US" w:eastAsia="zh-CN"/>
              </w:rPr>
              <w:t>、保健食品制造；十二、酒、饮料制造业15-26 饮料制造152</w:t>
            </w:r>
          </w:p>
        </w:tc>
      </w:tr>
      <w:tr w14:paraId="6462D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14" w:hRule="atLeast"/>
          <w:jc w:val="center"/>
        </w:trPr>
        <w:tc>
          <w:tcPr>
            <w:tcW w:w="1728" w:type="dxa"/>
            <w:shd w:val="clear" w:color="auto" w:fill="auto"/>
            <w:tcMar>
              <w:top w:w="16" w:type="dxa"/>
              <w:left w:w="16" w:type="dxa"/>
              <w:right w:w="16" w:type="dxa"/>
            </w:tcMar>
            <w:vAlign w:val="center"/>
          </w:tcPr>
          <w:p w14:paraId="4206946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kern w:val="2"/>
                <w:sz w:val="24"/>
                <w:szCs w:val="24"/>
                <w:lang w:val="en-US" w:eastAsia="zh-CN" w:bidi="ar-SA"/>
              </w:rPr>
            </w:pPr>
            <w:r>
              <w:rPr>
                <w:rFonts w:hint="default" w:ascii="Times New Roman" w:hAnsi="Times New Roman" w:cs="Times New Roman"/>
                <w:b/>
                <w:sz w:val="24"/>
              </w:rPr>
              <w:t>建设性质</w:t>
            </w:r>
          </w:p>
        </w:tc>
        <w:tc>
          <w:tcPr>
            <w:tcW w:w="2330" w:type="dxa"/>
            <w:vAlign w:val="center"/>
          </w:tcPr>
          <w:p w14:paraId="78949C88">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新建（迁建）</w:t>
            </w:r>
          </w:p>
          <w:p w14:paraId="00F6EA7B">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改建</w:t>
            </w:r>
          </w:p>
          <w:p w14:paraId="789ADD0A">
            <w:pPr>
              <w:keepNext w:val="0"/>
              <w:keepLines w:val="0"/>
              <w:suppressLineNumbers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扩建</w:t>
            </w:r>
          </w:p>
          <w:p w14:paraId="6E0BC5FC">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技术改造</w:t>
            </w:r>
          </w:p>
        </w:tc>
        <w:tc>
          <w:tcPr>
            <w:tcW w:w="2235" w:type="dxa"/>
            <w:vAlign w:val="center"/>
          </w:tcPr>
          <w:p w14:paraId="2BA127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建设项目</w:t>
            </w:r>
          </w:p>
          <w:p w14:paraId="399270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b/>
                <w:color w:val="auto"/>
                <w:sz w:val="24"/>
              </w:rPr>
              <w:t>申报情形</w:t>
            </w:r>
          </w:p>
        </w:tc>
        <w:tc>
          <w:tcPr>
            <w:tcW w:w="3263" w:type="dxa"/>
            <w:vAlign w:val="center"/>
          </w:tcPr>
          <w:p w14:paraId="4CF7FF1F">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首次申报项目</w:t>
            </w:r>
          </w:p>
          <w:p w14:paraId="60FFD74C">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不予批准后再次申报项目</w:t>
            </w:r>
          </w:p>
          <w:p w14:paraId="7FD273B8">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超五年重新审核项目</w:t>
            </w:r>
          </w:p>
          <w:p w14:paraId="6EDF05C1">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重大变动重新报批项目</w:t>
            </w:r>
          </w:p>
        </w:tc>
      </w:tr>
      <w:tr w14:paraId="49589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6D83CA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项目审批（核准/备案）部门（选填）</w:t>
            </w:r>
          </w:p>
        </w:tc>
        <w:tc>
          <w:tcPr>
            <w:tcW w:w="2330" w:type="dxa"/>
            <w:vAlign w:val="center"/>
          </w:tcPr>
          <w:p w14:paraId="2994CC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宿州市高新技术</w:t>
            </w:r>
            <w:r>
              <w:rPr>
                <w:rFonts w:hint="eastAsia" w:cs="Times New Roman"/>
                <w:color w:val="auto"/>
                <w:sz w:val="24"/>
                <w:lang w:val="en-US" w:eastAsia="zh-CN"/>
              </w:rPr>
              <w:t>产业</w:t>
            </w:r>
            <w:r>
              <w:rPr>
                <w:rFonts w:hint="default" w:ascii="Times New Roman" w:hAnsi="Times New Roman" w:eastAsia="宋体" w:cs="Times New Roman"/>
                <w:color w:val="auto"/>
                <w:sz w:val="24"/>
                <w:lang w:val="en-US" w:eastAsia="zh-CN"/>
              </w:rPr>
              <w:t>开发区</w:t>
            </w:r>
            <w:r>
              <w:rPr>
                <w:rFonts w:hint="eastAsia" w:ascii="Times New Roman" w:hAnsi="Times New Roman" w:eastAsia="宋体" w:cs="Times New Roman"/>
                <w:color w:val="auto"/>
                <w:sz w:val="24"/>
                <w:lang w:val="en-US" w:eastAsia="zh-CN"/>
              </w:rPr>
              <w:t>经济与科技局</w:t>
            </w:r>
          </w:p>
        </w:tc>
        <w:tc>
          <w:tcPr>
            <w:tcW w:w="2235" w:type="dxa"/>
            <w:vAlign w:val="center"/>
          </w:tcPr>
          <w:p w14:paraId="15B3FAA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项目审批（核准/</w:t>
            </w:r>
          </w:p>
          <w:p w14:paraId="383DF8B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b/>
                <w:color w:val="auto"/>
                <w:sz w:val="24"/>
              </w:rPr>
              <w:t>备案）文号（选填）</w:t>
            </w:r>
          </w:p>
        </w:tc>
        <w:tc>
          <w:tcPr>
            <w:tcW w:w="3263" w:type="dxa"/>
            <w:vAlign w:val="center"/>
          </w:tcPr>
          <w:p w14:paraId="4818E1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w:t>
            </w:r>
          </w:p>
        </w:tc>
      </w:tr>
      <w:tr w14:paraId="55735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1728" w:type="dxa"/>
            <w:tcMar>
              <w:top w:w="16" w:type="dxa"/>
              <w:left w:w="16" w:type="dxa"/>
              <w:right w:w="16" w:type="dxa"/>
            </w:tcMar>
            <w:vAlign w:val="center"/>
          </w:tcPr>
          <w:p w14:paraId="0224E4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总投资（万元）</w:t>
            </w:r>
          </w:p>
        </w:tc>
        <w:tc>
          <w:tcPr>
            <w:tcW w:w="2330" w:type="dxa"/>
            <w:vAlign w:val="center"/>
          </w:tcPr>
          <w:p w14:paraId="0D4373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highlight w:val="none"/>
                <w:lang w:val="en-US" w:eastAsia="zh-CN"/>
              </w:rPr>
            </w:pPr>
            <w:r>
              <w:rPr>
                <w:rFonts w:hint="eastAsia" w:cs="Times New Roman"/>
                <w:sz w:val="24"/>
                <w:highlight w:val="none"/>
                <w:lang w:val="en-US" w:eastAsia="zh-CN"/>
              </w:rPr>
              <w:t>4500</w:t>
            </w:r>
          </w:p>
        </w:tc>
        <w:tc>
          <w:tcPr>
            <w:tcW w:w="2235" w:type="dxa"/>
            <w:tcMar>
              <w:top w:w="16" w:type="dxa"/>
              <w:left w:w="16" w:type="dxa"/>
              <w:right w:w="16" w:type="dxa"/>
            </w:tcMar>
            <w:vAlign w:val="center"/>
          </w:tcPr>
          <w:p w14:paraId="1A7B20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环保投资（万元）</w:t>
            </w:r>
          </w:p>
        </w:tc>
        <w:tc>
          <w:tcPr>
            <w:tcW w:w="3263" w:type="dxa"/>
            <w:vAlign w:val="center"/>
          </w:tcPr>
          <w:p w14:paraId="485B45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70</w:t>
            </w:r>
          </w:p>
        </w:tc>
      </w:tr>
      <w:tr w14:paraId="5F6C0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1728" w:type="dxa"/>
            <w:tcMar>
              <w:top w:w="16" w:type="dxa"/>
              <w:left w:w="16" w:type="dxa"/>
              <w:right w:w="16" w:type="dxa"/>
            </w:tcMar>
            <w:vAlign w:val="center"/>
          </w:tcPr>
          <w:p w14:paraId="4D87BF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环保投资占比（%）</w:t>
            </w:r>
          </w:p>
        </w:tc>
        <w:tc>
          <w:tcPr>
            <w:tcW w:w="2330" w:type="dxa"/>
            <w:vAlign w:val="center"/>
          </w:tcPr>
          <w:p w14:paraId="20C63B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highlight w:val="none"/>
                <w:lang w:val="en-US" w:eastAsia="zh-CN"/>
              </w:rPr>
            </w:pPr>
            <w:r>
              <w:rPr>
                <w:rFonts w:hint="eastAsia" w:cs="Times New Roman"/>
                <w:sz w:val="24"/>
                <w:highlight w:val="none"/>
                <w:lang w:val="en-US" w:eastAsia="zh-CN"/>
              </w:rPr>
              <w:t>1.56</w:t>
            </w:r>
          </w:p>
        </w:tc>
        <w:tc>
          <w:tcPr>
            <w:tcW w:w="2235" w:type="dxa"/>
            <w:tcMar>
              <w:top w:w="16" w:type="dxa"/>
              <w:left w:w="16" w:type="dxa"/>
              <w:right w:w="16" w:type="dxa"/>
            </w:tcMar>
            <w:vAlign w:val="center"/>
          </w:tcPr>
          <w:p w14:paraId="10C1FB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施工工期</w:t>
            </w:r>
          </w:p>
        </w:tc>
        <w:tc>
          <w:tcPr>
            <w:tcW w:w="3263" w:type="dxa"/>
            <w:vAlign w:val="center"/>
          </w:tcPr>
          <w:p w14:paraId="189E9E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12个月</w:t>
            </w:r>
          </w:p>
        </w:tc>
      </w:tr>
      <w:tr w14:paraId="1F16F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1728" w:type="dxa"/>
            <w:tcMar>
              <w:top w:w="16" w:type="dxa"/>
              <w:left w:w="16" w:type="dxa"/>
              <w:right w:w="16" w:type="dxa"/>
            </w:tcMar>
            <w:vAlign w:val="center"/>
          </w:tcPr>
          <w:p w14:paraId="13C4688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是否开工建设</w:t>
            </w:r>
          </w:p>
        </w:tc>
        <w:tc>
          <w:tcPr>
            <w:tcW w:w="2330" w:type="dxa"/>
            <w:vAlign w:val="center"/>
          </w:tcPr>
          <w:p w14:paraId="3A76BD64">
            <w:pPr>
              <w:keepNext w:val="0"/>
              <w:keepLines w:val="0"/>
              <w:suppressLineNumbers w:val="0"/>
              <w:spacing w:before="0" w:beforeAutospacing="0" w:after="0" w:afterAutospacing="0"/>
              <w:ind w:left="0" w:right="0"/>
              <w:jc w:val="left"/>
              <w:rPr>
                <w:rFonts w:hint="default" w:ascii="Times New Roman" w:hAnsi="Times New Roman" w:cs="Times New Roman"/>
                <w:sz w:val="24"/>
              </w:rPr>
            </w:pPr>
            <w:r>
              <w:rPr>
                <w:rFonts w:hint="default" w:ascii="Times New Roman" w:hAnsi="Times New Roman" w:cs="Times New Roman"/>
                <w:sz w:val="24"/>
              </w:rPr>
              <w:sym w:font="Wingdings 2" w:char="0052"/>
            </w:r>
            <w:r>
              <w:rPr>
                <w:rFonts w:hint="default" w:ascii="Times New Roman" w:hAnsi="Times New Roman" w:cs="Times New Roman"/>
                <w:sz w:val="24"/>
              </w:rPr>
              <w:t>否</w:t>
            </w:r>
          </w:p>
          <w:p w14:paraId="1864965E">
            <w:pPr>
              <w:keepNext w:val="0"/>
              <w:keepLines w:val="0"/>
              <w:suppressLineNumbers w:val="0"/>
              <w:spacing w:before="0" w:beforeAutospacing="0" w:after="0" w:afterAutospacing="0"/>
              <w:ind w:left="0" w:right="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是：</w:t>
            </w:r>
            <w:r>
              <w:rPr>
                <w:rFonts w:hint="default" w:ascii="Times New Roman" w:hAnsi="Times New Roman" w:cs="Times New Roman"/>
                <w:sz w:val="24"/>
                <w:u w:val="single"/>
              </w:rPr>
              <w:t xml:space="preserve">          </w:t>
            </w:r>
          </w:p>
        </w:tc>
        <w:tc>
          <w:tcPr>
            <w:tcW w:w="2235" w:type="dxa"/>
            <w:tcMar>
              <w:top w:w="16" w:type="dxa"/>
              <w:left w:w="16" w:type="dxa"/>
              <w:right w:w="16" w:type="dxa"/>
            </w:tcMar>
            <w:vAlign w:val="center"/>
          </w:tcPr>
          <w:p w14:paraId="5B88348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用地面积</w:t>
            </w:r>
          </w:p>
          <w:p w14:paraId="7B40B8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b/>
                <w:sz w:val="24"/>
              </w:rPr>
              <w:t>（m</w:t>
            </w:r>
            <w:r>
              <w:rPr>
                <w:rFonts w:hint="default" w:ascii="Times New Roman" w:hAnsi="Times New Roman" w:cs="Times New Roman"/>
                <w:b/>
                <w:sz w:val="24"/>
                <w:vertAlign w:val="superscript"/>
              </w:rPr>
              <w:t>2</w:t>
            </w:r>
            <w:r>
              <w:rPr>
                <w:rFonts w:hint="default" w:ascii="Times New Roman" w:hAnsi="Times New Roman" w:cs="Times New Roman"/>
                <w:b/>
                <w:sz w:val="24"/>
              </w:rPr>
              <w:t>）</w:t>
            </w:r>
          </w:p>
        </w:tc>
        <w:tc>
          <w:tcPr>
            <w:tcW w:w="3263" w:type="dxa"/>
            <w:vAlign w:val="center"/>
          </w:tcPr>
          <w:p w14:paraId="47CD6E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lang w:val="en-US" w:eastAsia="zh-CN"/>
              </w:rPr>
              <w:t>17000</w:t>
            </w:r>
          </w:p>
        </w:tc>
      </w:tr>
      <w:tr w14:paraId="0282A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28" w:type="dxa"/>
            <w:vAlign w:val="center"/>
          </w:tcPr>
          <w:p w14:paraId="45B1C5C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kern w:val="0"/>
                <w:sz w:val="24"/>
              </w:rPr>
            </w:pPr>
            <w:r>
              <w:rPr>
                <w:rFonts w:hint="default" w:ascii="Times New Roman" w:hAnsi="Times New Roman" w:cs="Times New Roman"/>
                <w:b/>
                <w:kern w:val="0"/>
                <w:sz w:val="24"/>
              </w:rPr>
              <w:t>专项评价设置情况</w:t>
            </w:r>
          </w:p>
        </w:tc>
        <w:tc>
          <w:tcPr>
            <w:tcW w:w="7828" w:type="dxa"/>
            <w:gridSpan w:val="3"/>
            <w:vAlign w:val="center"/>
          </w:tcPr>
          <w:p w14:paraId="013E19C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kern w:val="0"/>
                <w:sz w:val="24"/>
                <w:szCs w:val="24"/>
              </w:rPr>
            </w:pPr>
            <w:r>
              <w:rPr>
                <w:rFonts w:hint="default" w:ascii="Times New Roman" w:hAnsi="Times New Roman" w:cs="Times New Roman"/>
                <w:b w:val="0"/>
                <w:bCs w:val="0"/>
                <w:kern w:val="0"/>
                <w:sz w:val="24"/>
                <w:szCs w:val="24"/>
              </w:rPr>
              <w:t>无</w:t>
            </w:r>
          </w:p>
        </w:tc>
      </w:tr>
      <w:tr w14:paraId="0591D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728" w:type="dxa"/>
            <w:vAlign w:val="center"/>
          </w:tcPr>
          <w:p w14:paraId="7F121AA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kern w:val="0"/>
                <w:sz w:val="24"/>
              </w:rPr>
            </w:pPr>
            <w:r>
              <w:rPr>
                <w:rFonts w:hint="default" w:ascii="Times New Roman" w:hAnsi="Times New Roman" w:cs="Times New Roman"/>
                <w:b/>
                <w:sz w:val="24"/>
              </w:rPr>
              <w:t>规划情况</w:t>
            </w:r>
          </w:p>
        </w:tc>
        <w:tc>
          <w:tcPr>
            <w:tcW w:w="7828" w:type="dxa"/>
            <w:gridSpan w:val="3"/>
            <w:vAlign w:val="center"/>
          </w:tcPr>
          <w:p w14:paraId="08A757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default" w:eastAsia="宋体" w:cs="宋体"/>
                <w:b w:val="0"/>
                <w:bCs w:val="0"/>
                <w:kern w:val="0"/>
                <w:sz w:val="24"/>
                <w:lang w:val="en-US" w:eastAsia="zh-CN"/>
              </w:rPr>
            </w:pPr>
            <w:r>
              <w:rPr>
                <w:rFonts w:hint="eastAsia" w:eastAsia="宋体" w:cs="宋体"/>
                <w:b w:val="0"/>
                <w:bCs w:val="0"/>
                <w:kern w:val="0"/>
                <w:sz w:val="24"/>
              </w:rPr>
              <w:t xml:space="preserve">规划名称：《安徽宿州高新技术产业开发区总体发展规划（2023-2035年）》 </w:t>
            </w:r>
          </w:p>
        </w:tc>
      </w:tr>
      <w:tr w14:paraId="7CDF9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28" w:type="dxa"/>
            <w:vAlign w:val="center"/>
          </w:tcPr>
          <w:p w14:paraId="1EA6942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sz w:val="24"/>
              </w:rPr>
            </w:pPr>
            <w:r>
              <w:rPr>
                <w:rFonts w:hint="default" w:ascii="Times New Roman" w:hAnsi="Times New Roman" w:cs="Times New Roman"/>
                <w:b/>
                <w:sz w:val="24"/>
              </w:rPr>
              <w:t>规划环境影响</w:t>
            </w:r>
          </w:p>
          <w:p w14:paraId="57CB5DA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kern w:val="0"/>
                <w:sz w:val="24"/>
              </w:rPr>
            </w:pPr>
            <w:r>
              <w:rPr>
                <w:rFonts w:hint="default" w:ascii="Times New Roman" w:hAnsi="Times New Roman" w:cs="Times New Roman"/>
                <w:b/>
                <w:sz w:val="24"/>
              </w:rPr>
              <w:t>评价情况</w:t>
            </w:r>
          </w:p>
        </w:tc>
        <w:tc>
          <w:tcPr>
            <w:tcW w:w="7828" w:type="dxa"/>
            <w:gridSpan w:val="3"/>
            <w:vAlign w:val="center"/>
          </w:tcPr>
          <w:p w14:paraId="19359A22">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规划环境影响评价文件：</w:t>
            </w:r>
            <w:r>
              <w:rPr>
                <w:rFonts w:hint="default" w:ascii="Times New Roman" w:hAnsi="Times New Roman" w:eastAsia="宋体" w:cs="Times New Roman"/>
                <w:b w:val="0"/>
                <w:bCs w:val="0"/>
                <w:sz w:val="24"/>
                <w:szCs w:val="24"/>
                <w:lang w:val="en-US" w:eastAsia="zh-CN"/>
              </w:rPr>
              <w:t>《安徽宿州高新技术产业开发区总体发展规划（2023-2035年）环境影响报告书》</w:t>
            </w:r>
          </w:p>
          <w:p w14:paraId="193B1BF0">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审查机关：</w:t>
            </w:r>
            <w:r>
              <w:rPr>
                <w:rFonts w:hint="default" w:ascii="Times New Roman" w:hAnsi="Times New Roman" w:eastAsia="宋体" w:cs="Times New Roman"/>
                <w:b w:val="0"/>
                <w:bCs w:val="0"/>
                <w:sz w:val="24"/>
                <w:szCs w:val="24"/>
                <w:lang w:val="en-US" w:eastAsia="zh-CN"/>
              </w:rPr>
              <w:t>宿州市生态环境局</w:t>
            </w:r>
          </w:p>
          <w:p w14:paraId="3EEDC8DC">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审查文件名称及文号：</w:t>
            </w:r>
            <w:r>
              <w:rPr>
                <w:rFonts w:hint="default" w:ascii="Times New Roman" w:hAnsi="Times New Roman" w:eastAsia="宋体" w:cs="Times New Roman"/>
                <w:b w:val="0"/>
                <w:bCs w:val="0"/>
                <w:sz w:val="24"/>
                <w:szCs w:val="24"/>
                <w:lang w:val="en-US" w:eastAsia="zh-CN"/>
              </w:rPr>
              <w:t>《关于&lt;安徽宿州高新技术产业开发区总体发展规划（2023-2035年）环境影响报告书&gt;审查意见的函》（宿环函【2024】57号，宿州市生态环境局，2024年07月04日）。</w:t>
            </w:r>
          </w:p>
        </w:tc>
      </w:tr>
      <w:tr w14:paraId="3AC11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8" w:hRule="atLeast"/>
          <w:jc w:val="center"/>
        </w:trPr>
        <w:tc>
          <w:tcPr>
            <w:tcW w:w="1728" w:type="dxa"/>
            <w:vAlign w:val="center"/>
          </w:tcPr>
          <w:p w14:paraId="27EF1D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kern w:val="0"/>
                <w:sz w:val="24"/>
              </w:rPr>
            </w:pPr>
            <w:r>
              <w:rPr>
                <w:rFonts w:hint="default" w:ascii="Times New Roman" w:hAnsi="Times New Roman" w:cs="Times New Roman"/>
                <w:b/>
                <w:kern w:val="0"/>
                <w:sz w:val="24"/>
              </w:rPr>
              <w:t>规划及规划环境影响评价符合性分析</w:t>
            </w:r>
          </w:p>
        </w:tc>
        <w:tc>
          <w:tcPr>
            <w:tcW w:w="7828" w:type="dxa"/>
            <w:gridSpan w:val="3"/>
            <w:vAlign w:val="center"/>
          </w:tcPr>
          <w:p w14:paraId="610DBF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eastAsia" w:eastAsia="宋体" w:cs="宋体"/>
                <w:kern w:val="0"/>
                <w:sz w:val="24"/>
                <w:lang w:val="en-US" w:eastAsia="zh-CN"/>
              </w:rPr>
            </w:pPr>
            <w:r>
              <w:rPr>
                <w:rFonts w:hint="eastAsia" w:eastAsia="宋体" w:cs="宋体"/>
                <w:b/>
                <w:bCs/>
                <w:kern w:val="0"/>
                <w:sz w:val="24"/>
                <w:lang w:val="en-US" w:eastAsia="zh-CN"/>
              </w:rPr>
              <w:t>1、规划符合性分析：</w:t>
            </w:r>
          </w:p>
          <w:p w14:paraId="53D39B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eastAsia" w:eastAsia="宋体" w:cs="宋体"/>
                <w:b/>
                <w:bCs/>
                <w:kern w:val="0"/>
                <w:sz w:val="24"/>
                <w:lang w:val="en-US" w:eastAsia="zh-CN"/>
              </w:rPr>
            </w:pPr>
            <w:r>
              <w:rPr>
                <w:rFonts w:hint="eastAsia" w:cs="宋体"/>
                <w:b/>
                <w:bCs/>
                <w:kern w:val="0"/>
                <w:sz w:val="24"/>
                <w:lang w:val="en-US" w:eastAsia="zh-CN"/>
              </w:rPr>
              <w:t>1.1</w:t>
            </w:r>
            <w:r>
              <w:rPr>
                <w:rFonts w:hint="eastAsia" w:eastAsia="宋体" w:cs="宋体"/>
                <w:b/>
                <w:bCs/>
                <w:kern w:val="0"/>
                <w:sz w:val="24"/>
                <w:lang w:val="en-US" w:eastAsia="zh-CN"/>
              </w:rPr>
              <w:t>、规划范围与面积</w:t>
            </w:r>
          </w:p>
          <w:p w14:paraId="29BC1F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eastAsia="宋体" w:cs="宋体"/>
                <w:kern w:val="0"/>
                <w:sz w:val="24"/>
                <w:lang w:val="en-US" w:eastAsia="zh-CN"/>
              </w:rPr>
            </w:pPr>
            <w:r>
              <w:rPr>
                <w:rFonts w:hint="eastAsia" w:eastAsia="宋体" w:cs="宋体"/>
                <w:kern w:val="0"/>
                <w:sz w:val="24"/>
                <w:lang w:val="en-US" w:eastAsia="zh-CN"/>
              </w:rPr>
              <w:t>安徽宿州高新技术产业开发区总面积1762.6982公顷，按照一区两园布置，包括高新园区片区和埇桥经开区片区。</w:t>
            </w:r>
          </w:p>
          <w:p w14:paraId="346103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eastAsia="宋体" w:cs="宋体"/>
                <w:kern w:val="0"/>
                <w:sz w:val="24"/>
                <w:lang w:val="en-US" w:eastAsia="zh-CN"/>
              </w:rPr>
            </w:pPr>
            <w:r>
              <w:rPr>
                <w:rFonts w:hint="eastAsia" w:eastAsia="宋体" w:cs="宋体"/>
                <w:kern w:val="0"/>
                <w:sz w:val="24"/>
                <w:lang w:val="en-US" w:eastAsia="zh-CN"/>
              </w:rPr>
              <w:t>高新园区片区位于宿州市西北方向的汴北新区，规划面积为668.2637公顷，四至范围为：东至汇源大道，南至唐河路，西至京台高速，北至泗许高速。</w:t>
            </w:r>
          </w:p>
          <w:p w14:paraId="2C6360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eastAsia="宋体" w:cs="宋体"/>
                <w:kern w:val="0"/>
                <w:sz w:val="24"/>
                <w:lang w:val="en-US" w:eastAsia="zh-CN"/>
              </w:rPr>
            </w:pPr>
            <w:r>
              <w:rPr>
                <w:rFonts w:hint="eastAsia" w:eastAsia="宋体" w:cs="宋体"/>
                <w:kern w:val="0"/>
                <w:sz w:val="24"/>
                <w:lang w:val="en-US" w:eastAsia="zh-CN"/>
              </w:rPr>
              <w:t>埇桥经开区片区位于埇桥区曹村镇，毗邻徐州市，以吸引徐州企业投资为主，规划面积1094.4345公顷，四至范围为：北至市界，南至望洲河，西至S407省道，东至迎宾大道。</w:t>
            </w:r>
          </w:p>
          <w:p w14:paraId="009A5B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eastAsia" w:eastAsia="宋体" w:cs="宋体"/>
                <w:b/>
                <w:bCs/>
                <w:kern w:val="0"/>
                <w:sz w:val="24"/>
                <w:lang w:val="en-US" w:eastAsia="zh-CN"/>
              </w:rPr>
            </w:pPr>
            <w:r>
              <w:rPr>
                <w:rFonts w:hint="eastAsia" w:cs="宋体"/>
                <w:b/>
                <w:bCs/>
                <w:kern w:val="0"/>
                <w:sz w:val="24"/>
                <w:lang w:val="en-US" w:eastAsia="zh-CN"/>
              </w:rPr>
              <w:t>1.2</w:t>
            </w:r>
            <w:r>
              <w:rPr>
                <w:rFonts w:hint="eastAsia" w:eastAsia="宋体" w:cs="宋体"/>
                <w:b/>
                <w:bCs/>
                <w:kern w:val="0"/>
                <w:sz w:val="24"/>
                <w:lang w:val="en-US" w:eastAsia="zh-CN"/>
              </w:rPr>
              <w:t>、规划期限</w:t>
            </w:r>
          </w:p>
          <w:p w14:paraId="63B34A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eastAsia="宋体" w:cs="宋体"/>
                <w:kern w:val="0"/>
                <w:sz w:val="24"/>
                <w:lang w:val="en-US" w:eastAsia="zh-CN"/>
              </w:rPr>
            </w:pPr>
            <w:r>
              <w:rPr>
                <w:rFonts w:hint="eastAsia" w:eastAsia="宋体" w:cs="宋体"/>
                <w:kern w:val="0"/>
                <w:sz w:val="24"/>
                <w:lang w:val="en-US" w:eastAsia="zh-CN"/>
              </w:rPr>
              <w:t>本轮规划的期限为：近期：2023~2025年，远期：2026-2035年。</w:t>
            </w:r>
          </w:p>
          <w:p w14:paraId="045257C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eastAsia" w:eastAsia="宋体" w:cs="宋体"/>
                <w:b/>
                <w:bCs/>
                <w:kern w:val="0"/>
                <w:sz w:val="24"/>
                <w:lang w:val="en-US" w:eastAsia="zh-CN"/>
              </w:rPr>
            </w:pPr>
            <w:r>
              <w:rPr>
                <w:rFonts w:hint="eastAsia" w:cs="宋体"/>
                <w:b/>
                <w:bCs/>
                <w:kern w:val="0"/>
                <w:sz w:val="24"/>
                <w:lang w:val="en-US" w:eastAsia="zh-CN"/>
              </w:rPr>
              <w:t>1.</w:t>
            </w:r>
            <w:r>
              <w:rPr>
                <w:rFonts w:hint="eastAsia" w:eastAsia="宋体" w:cs="宋体"/>
                <w:b/>
                <w:bCs/>
                <w:kern w:val="0"/>
                <w:sz w:val="24"/>
                <w:lang w:val="en-US" w:eastAsia="zh-CN"/>
              </w:rPr>
              <w:t>3、功能定位</w:t>
            </w:r>
          </w:p>
          <w:p w14:paraId="7CB448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eastAsia="宋体" w:cs="宋体"/>
                <w:kern w:val="0"/>
                <w:sz w:val="24"/>
                <w:lang w:val="en-US" w:eastAsia="zh-CN"/>
              </w:rPr>
            </w:pPr>
            <w:r>
              <w:rPr>
                <w:rFonts w:hint="eastAsia" w:eastAsia="宋体" w:cs="宋体"/>
                <w:kern w:val="0"/>
                <w:sz w:val="24"/>
                <w:lang w:val="en-US" w:eastAsia="zh-CN"/>
              </w:rPr>
              <w:t>切实促改革、转方式，以“专用设备制造业；互联网和相关服务业；计算机、通信和其他电子设备制造业”为主导产业，加快形成信息技术、互联网服务为重点的新一代信息技术产业为先导，电子设备、工程机械装备等先进制造业为主体，现代服务业、绿色家居产业等为支撑的现代产业新体系，使高新区经济转入效率提升、创新驱动的轨道。</w:t>
            </w:r>
          </w:p>
          <w:p w14:paraId="1A9E22C2">
            <w:pPr>
              <w:keepNext w:val="0"/>
              <w:keepLines w:val="0"/>
              <w:numPr>
                <w:ilvl w:val="0"/>
                <w:numId w:val="4"/>
              </w:numPr>
              <w:suppressLineNumbers w:val="0"/>
              <w:spacing w:before="0" w:beforeAutospacing="0" w:after="0" w:afterAutospacing="0"/>
              <w:ind w:left="0" w:right="0" w:firstLine="0"/>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宿州高新技术产业开发区产业准入条件一览表</w:t>
            </w:r>
          </w:p>
          <w:tbl>
            <w:tblPr>
              <w:tblStyle w:val="36"/>
              <w:tblW w:w="48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170"/>
              <w:gridCol w:w="1155"/>
              <w:gridCol w:w="1170"/>
              <w:gridCol w:w="2882"/>
            </w:tblGrid>
            <w:tr w14:paraId="6319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14:paraId="646856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清单类型</w:t>
                  </w:r>
                </w:p>
              </w:tc>
              <w:tc>
                <w:tcPr>
                  <w:tcW w:w="1170" w:type="dxa"/>
                  <w:vAlign w:val="center"/>
                </w:tcPr>
                <w:p w14:paraId="6870BF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管控类别</w:t>
                  </w:r>
                </w:p>
              </w:tc>
              <w:tc>
                <w:tcPr>
                  <w:tcW w:w="1155" w:type="dxa"/>
                  <w:vAlign w:val="center"/>
                </w:tcPr>
                <w:p w14:paraId="1D212C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主导产业</w:t>
                  </w:r>
                </w:p>
              </w:tc>
              <w:tc>
                <w:tcPr>
                  <w:tcW w:w="1170" w:type="dxa"/>
                  <w:vAlign w:val="center"/>
                </w:tcPr>
                <w:p w14:paraId="7A23F7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行业类别</w:t>
                  </w:r>
                </w:p>
              </w:tc>
              <w:tc>
                <w:tcPr>
                  <w:tcW w:w="2882" w:type="dxa"/>
                  <w:vAlign w:val="center"/>
                </w:tcPr>
                <w:p w14:paraId="4B3FDA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备注</w:t>
                  </w:r>
                </w:p>
              </w:tc>
            </w:tr>
            <w:tr w14:paraId="22D6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restart"/>
                  <w:vAlign w:val="center"/>
                </w:tcPr>
                <w:p w14:paraId="6C0304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产业准入要求</w:t>
                  </w:r>
                </w:p>
              </w:tc>
              <w:tc>
                <w:tcPr>
                  <w:tcW w:w="1170" w:type="dxa"/>
                  <w:vMerge w:val="restart"/>
                  <w:vAlign w:val="center"/>
                </w:tcPr>
                <w:p w14:paraId="58FED2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鼓励类</w:t>
                  </w:r>
                </w:p>
              </w:tc>
              <w:tc>
                <w:tcPr>
                  <w:tcW w:w="1155" w:type="dxa"/>
                  <w:vAlign w:val="center"/>
                </w:tcPr>
                <w:p w14:paraId="45CA55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专用设备制造</w:t>
                  </w:r>
                </w:p>
              </w:tc>
              <w:tc>
                <w:tcPr>
                  <w:tcW w:w="1170" w:type="dxa"/>
                  <w:vAlign w:val="center"/>
                </w:tcPr>
                <w:p w14:paraId="7AF703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kern w:val="0"/>
                      <w:sz w:val="21"/>
                      <w:szCs w:val="21"/>
                      <w:lang w:val="en-US" w:eastAsia="zh-CN"/>
                    </w:rPr>
                    <w:t>C35</w:t>
                  </w:r>
                  <w:r>
                    <w:rPr>
                      <w:rFonts w:hint="eastAsia" w:ascii="宋体" w:hAnsi="宋体" w:eastAsia="宋体" w:cs="宋体"/>
                      <w:color w:val="000000"/>
                      <w:kern w:val="0"/>
                      <w:sz w:val="21"/>
                      <w:szCs w:val="21"/>
                      <w:lang w:val="en-US" w:eastAsia="zh-CN"/>
                    </w:rPr>
                    <w:t>专用设备制造业</w:t>
                  </w:r>
                </w:p>
              </w:tc>
              <w:tc>
                <w:tcPr>
                  <w:tcW w:w="2882" w:type="dxa"/>
                  <w:vAlign w:val="center"/>
                </w:tcPr>
                <w:p w14:paraId="25831B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kern w:val="0"/>
                      <w:sz w:val="21"/>
                      <w:szCs w:val="21"/>
                      <w:lang w:val="en-US" w:eastAsia="zh-CN"/>
                    </w:rPr>
                    <w:t>C351</w:t>
                  </w:r>
                  <w:r>
                    <w:rPr>
                      <w:rFonts w:hint="eastAsia" w:ascii="宋体" w:hAnsi="宋体" w:eastAsia="宋体" w:cs="宋体"/>
                      <w:color w:val="000000"/>
                      <w:kern w:val="0"/>
                      <w:sz w:val="21"/>
                      <w:szCs w:val="21"/>
                      <w:lang w:val="en-US" w:eastAsia="zh-CN"/>
                    </w:rPr>
                    <w:t>采矿、冶金、建筑专用设备制造、</w:t>
                  </w:r>
                  <w:r>
                    <w:rPr>
                      <w:rFonts w:hint="default" w:ascii="Times New Roman" w:hAnsi="Times New Roman" w:eastAsia="宋体" w:cs="Times New Roman"/>
                      <w:color w:val="000000"/>
                      <w:kern w:val="0"/>
                      <w:sz w:val="21"/>
                      <w:szCs w:val="21"/>
                      <w:lang w:val="en-US" w:eastAsia="zh-CN"/>
                    </w:rPr>
                    <w:t>C356</w:t>
                  </w:r>
                  <w:r>
                    <w:rPr>
                      <w:rFonts w:hint="eastAsia" w:ascii="宋体" w:hAnsi="宋体" w:eastAsia="宋体" w:cs="宋体"/>
                      <w:color w:val="000000"/>
                      <w:kern w:val="0"/>
                      <w:sz w:val="21"/>
                      <w:szCs w:val="21"/>
                      <w:lang w:val="en-US" w:eastAsia="zh-CN"/>
                    </w:rPr>
                    <w:t>电子和电工机械专用设备制造、</w:t>
                  </w:r>
                  <w:r>
                    <w:rPr>
                      <w:rFonts w:hint="default" w:ascii="Times New Roman" w:hAnsi="Times New Roman" w:eastAsia="宋体" w:cs="Times New Roman"/>
                      <w:color w:val="000000"/>
                      <w:kern w:val="0"/>
                      <w:sz w:val="21"/>
                      <w:szCs w:val="21"/>
                      <w:lang w:val="en-US" w:eastAsia="zh-CN"/>
                    </w:rPr>
                    <w:t>C359</w:t>
                  </w:r>
                  <w:r>
                    <w:rPr>
                      <w:rFonts w:hint="eastAsia" w:ascii="宋体" w:hAnsi="宋体" w:eastAsia="宋体" w:cs="宋体"/>
                      <w:color w:val="000000"/>
                      <w:kern w:val="0"/>
                      <w:sz w:val="21"/>
                      <w:szCs w:val="21"/>
                      <w:lang w:val="en-US" w:eastAsia="zh-CN"/>
                    </w:rPr>
                    <w:t>环保、邮政、社会公共服务及其他专用设备制造</w:t>
                  </w:r>
                </w:p>
              </w:tc>
            </w:tr>
            <w:tr w14:paraId="6B06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0FAD53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332916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55" w:type="dxa"/>
                  <w:vAlign w:val="center"/>
                </w:tcPr>
                <w:p w14:paraId="426CE0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电子设备制造业</w:t>
                  </w:r>
                </w:p>
              </w:tc>
              <w:tc>
                <w:tcPr>
                  <w:tcW w:w="1170" w:type="dxa"/>
                  <w:vAlign w:val="center"/>
                </w:tcPr>
                <w:p w14:paraId="0D66E0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kern w:val="0"/>
                      <w:sz w:val="21"/>
                      <w:szCs w:val="21"/>
                      <w:lang w:val="en-US" w:eastAsia="zh-CN"/>
                    </w:rPr>
                    <w:t>C39</w:t>
                  </w:r>
                  <w:r>
                    <w:rPr>
                      <w:rFonts w:hint="eastAsia" w:ascii="宋体" w:hAnsi="宋体" w:eastAsia="宋体" w:cs="宋体"/>
                      <w:color w:val="000000"/>
                      <w:kern w:val="0"/>
                      <w:sz w:val="21"/>
                      <w:szCs w:val="21"/>
                      <w:lang w:val="en-US" w:eastAsia="zh-CN"/>
                    </w:rPr>
                    <w:t>计算机、通信和其他电子设备制造业</w:t>
                  </w:r>
                </w:p>
              </w:tc>
              <w:tc>
                <w:tcPr>
                  <w:tcW w:w="2882" w:type="dxa"/>
                  <w:vAlign w:val="center"/>
                </w:tcPr>
                <w:p w14:paraId="38C28F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kern w:val="0"/>
                      <w:sz w:val="21"/>
                      <w:szCs w:val="21"/>
                      <w:lang w:val="en-US" w:eastAsia="zh-CN"/>
                    </w:rPr>
                    <w:t>C392</w:t>
                  </w:r>
                  <w:r>
                    <w:rPr>
                      <w:rFonts w:hint="eastAsia" w:ascii="宋体" w:hAnsi="宋体" w:eastAsia="宋体" w:cs="宋体"/>
                      <w:color w:val="000000"/>
                      <w:kern w:val="0"/>
                      <w:sz w:val="21"/>
                      <w:szCs w:val="21"/>
                      <w:lang w:val="en-US" w:eastAsia="zh-CN"/>
                    </w:rPr>
                    <w:t>通信设备制造、</w:t>
                  </w:r>
                  <w:r>
                    <w:rPr>
                      <w:rFonts w:hint="default" w:ascii="Times New Roman" w:hAnsi="Times New Roman" w:eastAsia="宋体" w:cs="Times New Roman"/>
                      <w:color w:val="000000"/>
                      <w:kern w:val="0"/>
                      <w:sz w:val="21"/>
                      <w:szCs w:val="21"/>
                      <w:lang w:val="en-US" w:eastAsia="zh-CN"/>
                    </w:rPr>
                    <w:t>C396</w:t>
                  </w:r>
                  <w:r>
                    <w:rPr>
                      <w:rFonts w:hint="eastAsia" w:ascii="宋体" w:hAnsi="宋体" w:eastAsia="宋体" w:cs="宋体"/>
                      <w:color w:val="000000"/>
                      <w:kern w:val="0"/>
                      <w:sz w:val="21"/>
                      <w:szCs w:val="21"/>
                      <w:lang w:val="en-US" w:eastAsia="zh-CN"/>
                    </w:rPr>
                    <w:t>智能消费设备制造、</w:t>
                  </w:r>
                  <w:r>
                    <w:rPr>
                      <w:rFonts w:hint="default" w:ascii="Times New Roman" w:hAnsi="Times New Roman" w:eastAsia="宋体" w:cs="Times New Roman"/>
                      <w:color w:val="000000"/>
                      <w:kern w:val="0"/>
                      <w:sz w:val="21"/>
                      <w:szCs w:val="21"/>
                      <w:lang w:val="en-US" w:eastAsia="zh-CN"/>
                    </w:rPr>
                    <w:t>C397</w:t>
                  </w:r>
                  <w:r>
                    <w:rPr>
                      <w:rFonts w:hint="eastAsia" w:ascii="宋体" w:hAnsi="宋体" w:eastAsia="宋体" w:cs="宋体"/>
                      <w:color w:val="000000"/>
                      <w:kern w:val="0"/>
                      <w:sz w:val="21"/>
                      <w:szCs w:val="21"/>
                      <w:lang w:val="en-US" w:eastAsia="zh-CN"/>
                    </w:rPr>
                    <w:t>电子器件制造</w:t>
                  </w:r>
                </w:p>
              </w:tc>
            </w:tr>
            <w:tr w14:paraId="2894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4C86A6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6D1600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55" w:type="dxa"/>
                  <w:vAlign w:val="center"/>
                </w:tcPr>
                <w:p w14:paraId="5DDD07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互联网和相关服务业、计算机</w:t>
                  </w:r>
                </w:p>
              </w:tc>
              <w:tc>
                <w:tcPr>
                  <w:tcW w:w="1170" w:type="dxa"/>
                  <w:vAlign w:val="center"/>
                </w:tcPr>
                <w:p w14:paraId="6148E1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kern w:val="0"/>
                      <w:sz w:val="21"/>
                      <w:szCs w:val="21"/>
                      <w:lang w:val="en-US" w:eastAsia="zh-CN"/>
                    </w:rPr>
                    <w:t>I64</w:t>
                  </w:r>
                  <w:r>
                    <w:rPr>
                      <w:rFonts w:hint="eastAsia" w:ascii="宋体" w:hAnsi="宋体" w:eastAsia="宋体" w:cs="宋体"/>
                      <w:color w:val="000000"/>
                      <w:kern w:val="0"/>
                      <w:sz w:val="21"/>
                      <w:szCs w:val="21"/>
                      <w:lang w:val="en-US" w:eastAsia="zh-CN"/>
                    </w:rPr>
                    <w:t>互联网和相关服务</w:t>
                  </w:r>
                </w:p>
              </w:tc>
              <w:tc>
                <w:tcPr>
                  <w:tcW w:w="2882" w:type="dxa"/>
                  <w:vAlign w:val="center"/>
                </w:tcPr>
                <w:p w14:paraId="281068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kern w:val="0"/>
                      <w:sz w:val="21"/>
                      <w:szCs w:val="21"/>
                      <w:lang w:val="en-US" w:eastAsia="zh-CN"/>
                    </w:rPr>
                    <w:t>I641</w:t>
                  </w:r>
                  <w:r>
                    <w:rPr>
                      <w:rFonts w:hint="eastAsia" w:ascii="宋体" w:hAnsi="宋体" w:eastAsia="宋体" w:cs="宋体"/>
                      <w:color w:val="000000"/>
                      <w:kern w:val="0"/>
                      <w:sz w:val="21"/>
                      <w:szCs w:val="21"/>
                      <w:lang w:val="en-US" w:eastAsia="zh-CN"/>
                    </w:rPr>
                    <w:t>互联网接入及相关服务、</w:t>
                  </w:r>
                  <w:r>
                    <w:rPr>
                      <w:rFonts w:hint="default" w:ascii="Times New Roman" w:hAnsi="Times New Roman" w:eastAsia="宋体" w:cs="Times New Roman"/>
                      <w:color w:val="000000"/>
                      <w:kern w:val="0"/>
                      <w:sz w:val="21"/>
                      <w:szCs w:val="21"/>
                      <w:lang w:val="en-US" w:eastAsia="zh-CN"/>
                    </w:rPr>
                    <w:t>I643</w:t>
                  </w:r>
                  <w:r>
                    <w:rPr>
                      <w:rFonts w:hint="eastAsia" w:ascii="宋体" w:hAnsi="宋体" w:eastAsia="宋体" w:cs="宋体"/>
                      <w:color w:val="000000"/>
                      <w:kern w:val="0"/>
                      <w:sz w:val="21"/>
                      <w:szCs w:val="21"/>
                      <w:lang w:val="en-US" w:eastAsia="zh-CN"/>
                    </w:rPr>
                    <w:t>互联网平台、</w:t>
                  </w:r>
                  <w:r>
                    <w:rPr>
                      <w:rFonts w:hint="default" w:ascii="Times New Roman" w:hAnsi="Times New Roman" w:eastAsia="宋体" w:cs="Times New Roman"/>
                      <w:color w:val="000000"/>
                      <w:kern w:val="0"/>
                      <w:sz w:val="21"/>
                      <w:szCs w:val="21"/>
                      <w:lang w:val="en-US" w:eastAsia="zh-CN"/>
                    </w:rPr>
                    <w:t>I645</w:t>
                  </w:r>
                  <w:r>
                    <w:rPr>
                      <w:rFonts w:hint="eastAsia" w:ascii="宋体" w:hAnsi="宋体" w:eastAsia="宋体" w:cs="宋体"/>
                      <w:color w:val="000000"/>
                      <w:kern w:val="0"/>
                      <w:sz w:val="21"/>
                      <w:szCs w:val="21"/>
                      <w:lang w:val="en-US" w:eastAsia="zh-CN"/>
                    </w:rPr>
                    <w:t>互联网数据服务</w:t>
                  </w:r>
                </w:p>
              </w:tc>
            </w:tr>
            <w:tr w14:paraId="625C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0927CC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restart"/>
                  <w:vAlign w:val="center"/>
                </w:tcPr>
                <w:p w14:paraId="2F95F3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有条件准入类</w:t>
                  </w:r>
                </w:p>
              </w:tc>
              <w:tc>
                <w:tcPr>
                  <w:tcW w:w="5207" w:type="dxa"/>
                  <w:gridSpan w:val="3"/>
                  <w:vAlign w:val="center"/>
                </w:tcPr>
                <w:p w14:paraId="4607B1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涉及重金属总量指标项目需要落实重金属指标来源，危废处置项目需按照国家及安徽省相关管理要求严格控制引入，并经过环境影响充分论证。</w:t>
                  </w:r>
                </w:p>
              </w:tc>
            </w:tr>
            <w:tr w14:paraId="597A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095342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65180A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136DA0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与主导产业相关的“两高”类项目需按照国家及安徽省相关政策要求严格控制引入，并经过环境影响充分论证。</w:t>
                  </w:r>
                </w:p>
              </w:tc>
            </w:tr>
            <w:tr w14:paraId="279E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03D4CD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Align w:val="center"/>
                </w:tcPr>
                <w:p w14:paraId="2CD675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限制类</w:t>
                  </w:r>
                </w:p>
              </w:tc>
              <w:tc>
                <w:tcPr>
                  <w:tcW w:w="5207" w:type="dxa"/>
                  <w:gridSpan w:val="3"/>
                  <w:vAlign w:val="center"/>
                </w:tcPr>
                <w:p w14:paraId="37F59D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限制发展能源、资源消耗量或排污量较大但效益相对较好的企业，主要为开发区规划主导产业外、非负面清单中的项目，具体项目引入需经充分环境影响论证。</w:t>
                  </w:r>
                </w:p>
              </w:tc>
            </w:tr>
            <w:tr w14:paraId="3770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31AC2A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restart"/>
                  <w:vAlign w:val="center"/>
                </w:tcPr>
                <w:p w14:paraId="6EA3B6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禁止类</w:t>
                  </w:r>
                </w:p>
              </w:tc>
              <w:tc>
                <w:tcPr>
                  <w:tcW w:w="5207" w:type="dxa"/>
                  <w:gridSpan w:val="3"/>
                  <w:vAlign w:val="center"/>
                </w:tcPr>
                <w:p w14:paraId="4A0C2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eastAsia" w:ascii="宋体" w:hAnsi="宋体" w:eastAsia="宋体" w:cs="宋体"/>
                      <w:color w:val="000000"/>
                      <w:kern w:val="0"/>
                      <w:sz w:val="21"/>
                      <w:szCs w:val="21"/>
                      <w:lang w:val="en-US" w:eastAsia="zh-CN"/>
                    </w:rPr>
                    <w:t>禁止引入列入《产业结构调整指导目录（</w:t>
                  </w:r>
                  <w:r>
                    <w:rPr>
                      <w:rFonts w:hint="default" w:ascii="Times New Roman" w:hAnsi="Times New Roman" w:eastAsia="宋体" w:cs="Times New Roman"/>
                      <w:color w:val="000000"/>
                      <w:kern w:val="0"/>
                      <w:sz w:val="21"/>
                      <w:szCs w:val="21"/>
                      <w:lang w:val="en-US" w:eastAsia="zh-CN"/>
                    </w:rPr>
                    <w:t>2024</w:t>
                  </w:r>
                  <w:r>
                    <w:rPr>
                      <w:rFonts w:hint="eastAsia" w:ascii="宋体" w:hAnsi="宋体" w:eastAsia="宋体" w:cs="宋体"/>
                      <w:color w:val="000000"/>
                      <w:kern w:val="0"/>
                      <w:sz w:val="21"/>
                      <w:szCs w:val="21"/>
                      <w:lang w:val="en-US" w:eastAsia="zh-CN"/>
                    </w:rPr>
                    <w:t>年本）》、</w:t>
                  </w:r>
                </w:p>
                <w:p w14:paraId="023293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《市场准入负面清单（</w:t>
                  </w:r>
                  <w:r>
                    <w:rPr>
                      <w:rFonts w:hint="default" w:ascii="Times New Roman" w:hAnsi="Times New Roman" w:eastAsia="宋体" w:cs="Times New Roman"/>
                      <w:color w:val="000000"/>
                      <w:kern w:val="0"/>
                      <w:sz w:val="21"/>
                      <w:szCs w:val="21"/>
                      <w:lang w:val="en-US" w:eastAsia="zh-CN"/>
                    </w:rPr>
                    <w:t>2022</w:t>
                  </w:r>
                  <w:r>
                    <w:rPr>
                      <w:rFonts w:hint="eastAsia" w:ascii="宋体" w:hAnsi="宋体" w:eastAsia="宋体" w:cs="宋体"/>
                      <w:color w:val="000000"/>
                      <w:kern w:val="0"/>
                      <w:sz w:val="21"/>
                      <w:szCs w:val="21"/>
                      <w:lang w:val="en-US" w:eastAsia="zh-CN"/>
                    </w:rPr>
                    <w:t>年版）》、《外商投资准入特别管理措施（负面清单）（</w:t>
                  </w:r>
                  <w:r>
                    <w:rPr>
                      <w:rFonts w:hint="default" w:ascii="Times New Roman" w:hAnsi="Times New Roman" w:eastAsia="宋体" w:cs="Times New Roman"/>
                      <w:color w:val="000000"/>
                      <w:kern w:val="0"/>
                      <w:sz w:val="21"/>
                      <w:szCs w:val="21"/>
                      <w:lang w:val="en-US" w:eastAsia="zh-CN"/>
                    </w:rPr>
                    <w:t>2021</w:t>
                  </w:r>
                  <w:r>
                    <w:rPr>
                      <w:rFonts w:hint="eastAsia" w:ascii="宋体" w:hAnsi="宋体" w:eastAsia="宋体" w:cs="宋体"/>
                      <w:color w:val="000000"/>
                      <w:kern w:val="0"/>
                      <w:sz w:val="21"/>
                      <w:szCs w:val="21"/>
                      <w:lang w:val="en-US" w:eastAsia="zh-CN"/>
                    </w:rPr>
                    <w:t>年版）》等相关产业政策中禁止或淘汰类项目、产品、工艺和设备。</w:t>
                  </w:r>
                </w:p>
              </w:tc>
            </w:tr>
            <w:tr w14:paraId="4AF1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1BCF6A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10142E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323169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禁止新建、扩建不符合国家产能置换要求的严重过剩产能行业的项目。</w:t>
                  </w:r>
                </w:p>
              </w:tc>
            </w:tr>
            <w:tr w14:paraId="1C41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3ED390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14C67D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10B43C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禁止引进国家、安徽省明确规定不得审批的建设项目。</w:t>
                  </w:r>
                </w:p>
              </w:tc>
            </w:tr>
            <w:tr w14:paraId="07BD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3D5DDE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69301A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0316C3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禁止引入非金属矿物制品业中水泥、石灰和石膏制造中水泥制造和玻璃制造中平板玻璃制造。</w:t>
                  </w:r>
                </w:p>
              </w:tc>
            </w:tr>
            <w:tr w14:paraId="4F04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56286F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2B8198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53162C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禁止引入橡胶和塑料制品业中轮胎制造。</w:t>
                  </w:r>
                </w:p>
              </w:tc>
            </w:tr>
            <w:tr w14:paraId="3AF4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28F78E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159C76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4EBD0B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禁止引入按规定需进入化工园区的项目。</w:t>
                  </w:r>
                </w:p>
              </w:tc>
            </w:tr>
            <w:tr w14:paraId="5BC6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2E8CEF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73A784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667616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禁止单一电镀企业入园。</w:t>
                  </w:r>
                </w:p>
              </w:tc>
            </w:tr>
            <w:tr w14:paraId="59DE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restart"/>
                  <w:shd w:val="clear" w:color="auto" w:fill="auto"/>
                  <w:vAlign w:val="center"/>
                </w:tcPr>
                <w:p w14:paraId="0CCFC3F7">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vertAlign w:val="baseline"/>
                    </w:rPr>
                  </w:pPr>
                  <w:r>
                    <w:rPr>
                      <w:rFonts w:hint="default"/>
                      <w:color w:val="auto"/>
                      <w:spacing w:val="-2"/>
                      <w:sz w:val="21"/>
                      <w:szCs w:val="21"/>
                    </w:rPr>
                    <w:t>污染物排放管</w:t>
                  </w:r>
                  <w:r>
                    <w:rPr>
                      <w:rFonts w:hint="default"/>
                      <w:color w:val="auto"/>
                      <w:sz w:val="21"/>
                      <w:szCs w:val="21"/>
                    </w:rPr>
                    <w:t>控</w:t>
                  </w:r>
                </w:p>
              </w:tc>
              <w:tc>
                <w:tcPr>
                  <w:tcW w:w="1170" w:type="dxa"/>
                  <w:vAlign w:val="center"/>
                </w:tcPr>
                <w:p w14:paraId="06C01D3C">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vertAlign w:val="baseline"/>
                    </w:rPr>
                  </w:pPr>
                  <w:r>
                    <w:rPr>
                      <w:rFonts w:hint="default"/>
                      <w:color w:val="auto"/>
                      <w:spacing w:val="-2"/>
                      <w:sz w:val="21"/>
                      <w:szCs w:val="21"/>
                    </w:rPr>
                    <w:t>允许排放量要求</w:t>
                  </w:r>
                </w:p>
              </w:tc>
              <w:tc>
                <w:tcPr>
                  <w:tcW w:w="5207" w:type="dxa"/>
                  <w:gridSpan w:val="3"/>
                  <w:shd w:val="clear" w:color="auto" w:fill="auto"/>
                  <w:vAlign w:val="center"/>
                </w:tcPr>
                <w:p w14:paraId="6BAF6BF8">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color w:val="auto"/>
                      <w:kern w:val="2"/>
                      <w:sz w:val="21"/>
                      <w:szCs w:val="21"/>
                      <w:lang w:val="en-US" w:eastAsia="zh-CN" w:bidi="ar-SA"/>
                    </w:rPr>
                  </w:pPr>
                  <w:r>
                    <w:rPr>
                      <w:rFonts w:hint="default"/>
                      <w:color w:val="auto"/>
                      <w:spacing w:val="-4"/>
                      <w:sz w:val="21"/>
                      <w:szCs w:val="21"/>
                    </w:rPr>
                    <w:t>高新园区片区：水污染物总量管控限值：</w:t>
                  </w:r>
                  <w:r>
                    <w:rPr>
                      <w:rFonts w:hint="default" w:ascii="Times New Roman" w:hAnsi="Times New Roman" w:eastAsia="Times New Roman" w:cs="Times New Roman"/>
                      <w:color w:val="auto"/>
                      <w:spacing w:val="-4"/>
                      <w:sz w:val="21"/>
                      <w:szCs w:val="21"/>
                    </w:rPr>
                    <w:t>COD</w:t>
                  </w:r>
                  <w:r>
                    <w:rPr>
                      <w:rFonts w:hint="default"/>
                      <w:color w:val="auto"/>
                      <w:spacing w:val="-4"/>
                      <w:sz w:val="21"/>
                      <w:szCs w:val="21"/>
                    </w:rPr>
                    <w:t>：</w:t>
                  </w:r>
                  <w:r>
                    <w:rPr>
                      <w:rFonts w:hint="default" w:ascii="Times New Roman" w:hAnsi="Times New Roman" w:eastAsia="Times New Roman" w:cs="Times New Roman"/>
                      <w:color w:val="auto"/>
                      <w:spacing w:val="-4"/>
                      <w:sz w:val="21"/>
                      <w:szCs w:val="21"/>
                    </w:rPr>
                    <w:t>230.698t/a</w:t>
                  </w:r>
                  <w:r>
                    <w:rPr>
                      <w:rFonts w:hint="default"/>
                      <w:color w:val="auto"/>
                      <w:spacing w:val="-5"/>
                      <w:sz w:val="21"/>
                      <w:szCs w:val="21"/>
                    </w:rPr>
                    <w:t>、</w:t>
                  </w:r>
                  <w:r>
                    <w:rPr>
                      <w:rFonts w:hint="default" w:ascii="Times New Roman" w:hAnsi="Times New Roman" w:eastAsia="Times New Roman" w:cs="Times New Roman"/>
                      <w:color w:val="auto"/>
                      <w:spacing w:val="-5"/>
                      <w:sz w:val="21"/>
                      <w:szCs w:val="21"/>
                    </w:rPr>
                    <w:t>NH</w:t>
                  </w:r>
                  <w:r>
                    <w:rPr>
                      <w:rFonts w:hint="default" w:ascii="Times New Roman" w:hAnsi="Times New Roman" w:eastAsia="Times New Roman" w:cs="Times New Roman"/>
                      <w:color w:val="auto"/>
                      <w:spacing w:val="-5"/>
                      <w:position w:val="-1"/>
                      <w:sz w:val="21"/>
                      <w:szCs w:val="21"/>
                      <w:vertAlign w:val="subscript"/>
                    </w:rPr>
                    <w:t>3</w:t>
                  </w:r>
                  <w:r>
                    <w:rPr>
                      <w:rFonts w:hint="default" w:ascii="Times New Roman" w:hAnsi="Times New Roman" w:eastAsia="Times New Roman" w:cs="Times New Roman"/>
                      <w:color w:val="auto"/>
                      <w:spacing w:val="-5"/>
                      <w:sz w:val="21"/>
                      <w:szCs w:val="21"/>
                    </w:rPr>
                    <w:t>-N</w:t>
                  </w:r>
                  <w:r>
                    <w:rPr>
                      <w:rFonts w:hint="default"/>
                      <w:color w:val="auto"/>
                      <w:spacing w:val="-5"/>
                      <w:sz w:val="21"/>
                      <w:szCs w:val="21"/>
                    </w:rPr>
                    <w:t>：</w:t>
                  </w:r>
                  <w:r>
                    <w:rPr>
                      <w:rFonts w:hint="default" w:ascii="Times New Roman" w:hAnsi="Times New Roman" w:eastAsia="Times New Roman" w:cs="Times New Roman"/>
                      <w:color w:val="auto"/>
                      <w:spacing w:val="-5"/>
                      <w:sz w:val="21"/>
                      <w:szCs w:val="21"/>
                    </w:rPr>
                    <w:t>11.522t/a</w:t>
                  </w:r>
                  <w:r>
                    <w:rPr>
                      <w:rFonts w:hint="default"/>
                      <w:color w:val="auto"/>
                      <w:spacing w:val="-5"/>
                      <w:sz w:val="21"/>
                      <w:szCs w:val="21"/>
                    </w:rPr>
                    <w:t>；</w:t>
                  </w:r>
                  <w:r>
                    <w:rPr>
                      <w:rFonts w:hint="default"/>
                      <w:color w:val="auto"/>
                      <w:spacing w:val="-1"/>
                      <w:sz w:val="21"/>
                      <w:szCs w:val="21"/>
                    </w:rPr>
                    <w:t>大气污染物总量管控限值：</w:t>
                  </w:r>
                  <w:r>
                    <w:rPr>
                      <w:rFonts w:hint="default" w:ascii="Times New Roman" w:hAnsi="Times New Roman" w:eastAsia="Times New Roman" w:cs="Times New Roman"/>
                      <w:color w:val="auto"/>
                      <w:spacing w:val="-1"/>
                      <w:sz w:val="21"/>
                      <w:szCs w:val="21"/>
                    </w:rPr>
                    <w:t>SO</w:t>
                  </w:r>
                  <w:r>
                    <w:rPr>
                      <w:rFonts w:hint="default" w:ascii="Times New Roman" w:hAnsi="Times New Roman" w:eastAsia="Times New Roman" w:cs="Times New Roman"/>
                      <w:color w:val="auto"/>
                      <w:spacing w:val="-1"/>
                      <w:position w:val="-1"/>
                      <w:sz w:val="21"/>
                      <w:szCs w:val="21"/>
                      <w:vertAlign w:val="subscript"/>
                    </w:rPr>
                    <w:t>2</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0.370t/a</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NOx</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6.354t/a</w:t>
                  </w:r>
                  <w:r>
                    <w:rPr>
                      <w:rFonts w:hint="default"/>
                      <w:color w:val="auto"/>
                      <w:spacing w:val="-1"/>
                      <w:sz w:val="21"/>
                      <w:szCs w:val="21"/>
                    </w:rPr>
                    <w:t>、颗粒物：</w:t>
                  </w:r>
                  <w:r>
                    <w:rPr>
                      <w:rFonts w:hint="default" w:ascii="Times New Roman" w:hAnsi="Times New Roman" w:eastAsia="Times New Roman" w:cs="Times New Roman"/>
                      <w:color w:val="auto"/>
                      <w:spacing w:val="-1"/>
                      <w:sz w:val="21"/>
                      <w:szCs w:val="21"/>
                    </w:rPr>
                    <w:t>10.692t/a</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VOCs</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42.447t/a</w:t>
                  </w:r>
                  <w:r>
                    <w:rPr>
                      <w:rFonts w:hint="default"/>
                      <w:color w:val="auto"/>
                      <w:spacing w:val="-1"/>
                      <w:sz w:val="21"/>
                      <w:szCs w:val="21"/>
                    </w:rPr>
                    <w:t>；</w:t>
                  </w:r>
                  <w:r>
                    <w:rPr>
                      <w:rFonts w:hint="default"/>
                      <w:color w:val="auto"/>
                      <w:spacing w:val="-3"/>
                      <w:sz w:val="21"/>
                      <w:szCs w:val="21"/>
                    </w:rPr>
                    <w:t>固体废物管控总量限值：一般工业固废量</w:t>
                  </w:r>
                  <w:r>
                    <w:rPr>
                      <w:rFonts w:hint="default" w:ascii="Times New Roman" w:hAnsi="Times New Roman" w:eastAsia="Times New Roman" w:cs="Times New Roman"/>
                      <w:color w:val="auto"/>
                      <w:spacing w:val="-3"/>
                      <w:sz w:val="21"/>
                      <w:szCs w:val="21"/>
                    </w:rPr>
                    <w:t>3993.</w:t>
                  </w:r>
                  <w:r>
                    <w:rPr>
                      <w:rFonts w:hint="default" w:ascii="Times New Roman" w:hAnsi="Times New Roman" w:eastAsia="Times New Roman" w:cs="Times New Roman"/>
                      <w:color w:val="auto"/>
                      <w:spacing w:val="-4"/>
                      <w:sz w:val="21"/>
                      <w:szCs w:val="21"/>
                    </w:rPr>
                    <w:t>64t/a</w:t>
                  </w:r>
                  <w:r>
                    <w:rPr>
                      <w:rFonts w:hint="default"/>
                      <w:color w:val="auto"/>
                      <w:spacing w:val="-4"/>
                      <w:sz w:val="21"/>
                      <w:szCs w:val="21"/>
                    </w:rPr>
                    <w:t>、危险固废量</w:t>
                  </w:r>
                  <w:r>
                    <w:rPr>
                      <w:rFonts w:hint="default" w:ascii="Times New Roman" w:hAnsi="Times New Roman" w:eastAsia="Times New Roman" w:cs="Times New Roman"/>
                      <w:color w:val="auto"/>
                      <w:spacing w:val="-4"/>
                      <w:sz w:val="21"/>
                      <w:szCs w:val="21"/>
                    </w:rPr>
                    <w:t>1686.104t/a</w:t>
                  </w:r>
                  <w:r>
                    <w:rPr>
                      <w:rFonts w:hint="default"/>
                      <w:color w:val="auto"/>
                      <w:spacing w:val="-4"/>
                      <w:sz w:val="21"/>
                      <w:szCs w:val="21"/>
                    </w:rPr>
                    <w:t>。</w:t>
                  </w:r>
                  <w:r>
                    <w:rPr>
                      <w:rFonts w:hint="default"/>
                      <w:color w:val="auto"/>
                      <w:sz w:val="21"/>
                      <w:szCs w:val="21"/>
                    </w:rPr>
                    <w:t>埇桥经开区片区：水污染物总量管控限值：</w:t>
                  </w:r>
                  <w:r>
                    <w:rPr>
                      <w:rFonts w:hint="default" w:ascii="Times New Roman" w:hAnsi="Times New Roman" w:eastAsia="Times New Roman" w:cs="Times New Roman"/>
                      <w:color w:val="auto"/>
                      <w:sz w:val="21"/>
                      <w:szCs w:val="21"/>
                    </w:rPr>
                    <w:t>COD</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350.400t/a</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NH</w:t>
                  </w:r>
                  <w:r>
                    <w:rPr>
                      <w:rFonts w:hint="default" w:ascii="Times New Roman" w:hAnsi="Times New Roman" w:eastAsia="Times New Roman" w:cs="Times New Roman"/>
                      <w:color w:val="auto"/>
                      <w:spacing w:val="-1"/>
                      <w:position w:val="-1"/>
                      <w:sz w:val="21"/>
                      <w:szCs w:val="21"/>
                    </w:rPr>
                    <w:t>3</w:t>
                  </w:r>
                  <w:r>
                    <w:rPr>
                      <w:rFonts w:hint="default" w:ascii="Times New Roman" w:hAnsi="Times New Roman" w:eastAsia="Times New Roman" w:cs="Times New Roman"/>
                      <w:color w:val="auto"/>
                      <w:spacing w:val="-1"/>
                      <w:sz w:val="21"/>
                      <w:szCs w:val="21"/>
                    </w:rPr>
                    <w:t>-N</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17.500t/a</w:t>
                  </w:r>
                  <w:r>
                    <w:rPr>
                      <w:rFonts w:hint="default"/>
                      <w:color w:val="auto"/>
                      <w:spacing w:val="-12"/>
                      <w:sz w:val="21"/>
                      <w:szCs w:val="21"/>
                    </w:rPr>
                    <w:t>；；</w:t>
                  </w:r>
                  <w:r>
                    <w:rPr>
                      <w:rFonts w:hint="default"/>
                      <w:color w:val="auto"/>
                      <w:spacing w:val="-2"/>
                      <w:sz w:val="21"/>
                      <w:szCs w:val="21"/>
                    </w:rPr>
                    <w:t>大气污染物总量管控限值：</w:t>
                  </w:r>
                  <w:r>
                    <w:rPr>
                      <w:rFonts w:hint="default" w:ascii="Times New Roman" w:hAnsi="Times New Roman" w:eastAsia="Times New Roman" w:cs="Times New Roman"/>
                      <w:color w:val="auto"/>
                      <w:spacing w:val="-2"/>
                      <w:sz w:val="21"/>
                      <w:szCs w:val="21"/>
                    </w:rPr>
                    <w:t>SO</w:t>
                  </w:r>
                  <w:r>
                    <w:rPr>
                      <w:rFonts w:hint="default" w:ascii="Times New Roman" w:hAnsi="Times New Roman" w:eastAsia="Times New Roman" w:cs="Times New Roman"/>
                      <w:color w:val="auto"/>
                      <w:spacing w:val="-2"/>
                      <w:position w:val="-1"/>
                      <w:sz w:val="21"/>
                      <w:szCs w:val="21"/>
                      <w:vertAlign w:val="subscript"/>
                    </w:rPr>
                    <w:t>2</w:t>
                  </w:r>
                  <w:r>
                    <w:rPr>
                      <w:rFonts w:hint="default"/>
                      <w:color w:val="auto"/>
                      <w:spacing w:val="-2"/>
                      <w:sz w:val="21"/>
                      <w:szCs w:val="21"/>
                    </w:rPr>
                    <w:t>：</w:t>
                  </w:r>
                  <w:r>
                    <w:rPr>
                      <w:rFonts w:hint="default" w:ascii="Times New Roman" w:hAnsi="Times New Roman" w:eastAsia="Times New Roman" w:cs="Times New Roman"/>
                      <w:color w:val="auto"/>
                      <w:spacing w:val="-2"/>
                      <w:sz w:val="21"/>
                      <w:szCs w:val="21"/>
                    </w:rPr>
                    <w:t>54.889t/a</w:t>
                  </w:r>
                  <w:r>
                    <w:rPr>
                      <w:rFonts w:hint="default"/>
                      <w:color w:val="auto"/>
                      <w:spacing w:val="-2"/>
                      <w:sz w:val="21"/>
                      <w:szCs w:val="21"/>
                    </w:rPr>
                    <w:t>、</w:t>
                  </w:r>
                  <w:r>
                    <w:rPr>
                      <w:rFonts w:hint="default" w:ascii="Times New Roman" w:hAnsi="Times New Roman" w:eastAsia="Times New Roman" w:cs="Times New Roman"/>
                      <w:color w:val="auto"/>
                      <w:spacing w:val="-2"/>
                      <w:sz w:val="21"/>
                      <w:szCs w:val="21"/>
                    </w:rPr>
                    <w:t>NOx</w:t>
                  </w:r>
                  <w:r>
                    <w:rPr>
                      <w:rFonts w:hint="default"/>
                      <w:color w:val="auto"/>
                      <w:spacing w:val="-2"/>
                      <w:sz w:val="21"/>
                      <w:szCs w:val="21"/>
                    </w:rPr>
                    <w:t>：</w:t>
                  </w:r>
                  <w:r>
                    <w:rPr>
                      <w:rFonts w:hint="default" w:ascii="Times New Roman" w:hAnsi="Times New Roman" w:eastAsia="Times New Roman" w:cs="Times New Roman"/>
                      <w:color w:val="auto"/>
                      <w:spacing w:val="-2"/>
                      <w:sz w:val="21"/>
                      <w:szCs w:val="21"/>
                    </w:rPr>
                    <w:t>79.0</w:t>
                  </w:r>
                  <w:r>
                    <w:rPr>
                      <w:rFonts w:hint="default" w:ascii="Times New Roman" w:hAnsi="Times New Roman" w:eastAsia="Times New Roman" w:cs="Times New Roman"/>
                      <w:color w:val="auto"/>
                      <w:spacing w:val="-3"/>
                      <w:sz w:val="21"/>
                      <w:szCs w:val="21"/>
                    </w:rPr>
                    <w:t>38t/a</w:t>
                  </w:r>
                  <w:r>
                    <w:rPr>
                      <w:rFonts w:hint="default"/>
                      <w:color w:val="auto"/>
                      <w:spacing w:val="-3"/>
                      <w:sz w:val="21"/>
                      <w:szCs w:val="21"/>
                    </w:rPr>
                    <w:t>、颗粒物：</w:t>
                  </w:r>
                  <w:r>
                    <w:rPr>
                      <w:rFonts w:hint="default" w:ascii="Times New Roman" w:hAnsi="Times New Roman" w:eastAsia="Times New Roman" w:cs="Times New Roman"/>
                      <w:color w:val="auto"/>
                      <w:spacing w:val="-3"/>
                      <w:sz w:val="21"/>
                      <w:szCs w:val="21"/>
                    </w:rPr>
                    <w:t>118.258t/a</w:t>
                  </w:r>
                  <w:r>
                    <w:rPr>
                      <w:rFonts w:hint="default"/>
                      <w:color w:val="auto"/>
                      <w:spacing w:val="-3"/>
                      <w:sz w:val="21"/>
                      <w:szCs w:val="21"/>
                    </w:rPr>
                    <w:t>、</w:t>
                  </w:r>
                  <w:r>
                    <w:rPr>
                      <w:rFonts w:hint="default" w:ascii="Times New Roman" w:hAnsi="Times New Roman" w:eastAsia="Times New Roman" w:cs="Times New Roman"/>
                      <w:color w:val="auto"/>
                      <w:spacing w:val="-3"/>
                      <w:sz w:val="21"/>
                      <w:szCs w:val="21"/>
                    </w:rPr>
                    <w:t>VOCs</w:t>
                  </w:r>
                  <w:r>
                    <w:rPr>
                      <w:rFonts w:hint="default"/>
                      <w:color w:val="auto"/>
                      <w:spacing w:val="-3"/>
                      <w:sz w:val="21"/>
                      <w:szCs w:val="21"/>
                    </w:rPr>
                    <w:t>：</w:t>
                  </w:r>
                  <w:r>
                    <w:rPr>
                      <w:rFonts w:hint="default" w:ascii="Times New Roman" w:hAnsi="Times New Roman" w:eastAsia="Times New Roman" w:cs="Times New Roman"/>
                      <w:color w:val="auto"/>
                      <w:spacing w:val="-3"/>
                      <w:sz w:val="21"/>
                      <w:szCs w:val="21"/>
                    </w:rPr>
                    <w:t>100.534t/a</w:t>
                  </w:r>
                  <w:r>
                    <w:rPr>
                      <w:rFonts w:hint="default"/>
                      <w:color w:val="auto"/>
                      <w:spacing w:val="-3"/>
                      <w:sz w:val="21"/>
                      <w:szCs w:val="21"/>
                    </w:rPr>
                    <w:t>；固体废物管控总量限值：一般工业固废量</w:t>
                  </w:r>
                  <w:r>
                    <w:rPr>
                      <w:rFonts w:hint="default" w:ascii="Times New Roman" w:hAnsi="Times New Roman" w:eastAsia="Times New Roman" w:cs="Times New Roman"/>
                      <w:color w:val="auto"/>
                      <w:spacing w:val="-3"/>
                      <w:sz w:val="21"/>
                      <w:szCs w:val="21"/>
                    </w:rPr>
                    <w:t>31682.437t/a</w:t>
                  </w:r>
                  <w:r>
                    <w:rPr>
                      <w:rFonts w:hint="default"/>
                      <w:color w:val="auto"/>
                      <w:spacing w:val="-3"/>
                      <w:sz w:val="21"/>
                      <w:szCs w:val="21"/>
                    </w:rPr>
                    <w:t>、危险固废量</w:t>
                  </w:r>
                  <w:r>
                    <w:rPr>
                      <w:rFonts w:hint="default" w:ascii="Times New Roman" w:hAnsi="Times New Roman" w:eastAsia="Times New Roman" w:cs="Times New Roman"/>
                      <w:color w:val="auto"/>
                      <w:spacing w:val="-3"/>
                      <w:sz w:val="21"/>
                      <w:szCs w:val="21"/>
                    </w:rPr>
                    <w:t>4208.920t/a</w:t>
                  </w:r>
                  <w:r>
                    <w:rPr>
                      <w:rFonts w:hint="default"/>
                      <w:color w:val="auto"/>
                      <w:spacing w:val="-3"/>
                      <w:sz w:val="21"/>
                      <w:szCs w:val="21"/>
                    </w:rPr>
                    <w:t>。</w:t>
                  </w:r>
                </w:p>
              </w:tc>
            </w:tr>
            <w:tr w14:paraId="6E17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3366FB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vertAlign w:val="baseline"/>
                    </w:rPr>
                  </w:pPr>
                </w:p>
              </w:tc>
              <w:tc>
                <w:tcPr>
                  <w:tcW w:w="1170" w:type="dxa"/>
                  <w:vAlign w:val="center"/>
                </w:tcPr>
                <w:p w14:paraId="5C57F05A">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vertAlign w:val="baseline"/>
                    </w:rPr>
                  </w:pPr>
                  <w:r>
                    <w:rPr>
                      <w:rFonts w:hint="default"/>
                      <w:color w:val="auto"/>
                      <w:spacing w:val="-1"/>
                      <w:sz w:val="21"/>
                      <w:szCs w:val="21"/>
                    </w:rPr>
                    <w:t>现有源提标升级改造</w:t>
                  </w:r>
                </w:p>
              </w:tc>
              <w:tc>
                <w:tcPr>
                  <w:tcW w:w="5207" w:type="dxa"/>
                  <w:gridSpan w:val="3"/>
                  <w:shd w:val="clear" w:color="auto" w:fill="auto"/>
                  <w:vAlign w:val="center"/>
                </w:tcPr>
                <w:p w14:paraId="724855C7">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color w:val="auto"/>
                      <w:kern w:val="2"/>
                      <w:sz w:val="21"/>
                      <w:szCs w:val="21"/>
                      <w:lang w:val="en-US" w:eastAsia="zh-CN" w:bidi="ar-SA"/>
                    </w:rPr>
                  </w:pPr>
                  <w:r>
                    <w:rPr>
                      <w:rFonts w:hint="default"/>
                      <w:color w:val="auto"/>
                      <w:spacing w:val="-4"/>
                      <w:sz w:val="21"/>
                      <w:szCs w:val="21"/>
                    </w:rPr>
                    <w:t>燃气锅炉需完成低氮燃烧改造工作，原则上改造后氮氧化物排放浓度不高于</w:t>
                  </w:r>
                  <w:r>
                    <w:rPr>
                      <w:rFonts w:hint="default" w:ascii="Times New Roman" w:hAnsi="Times New Roman" w:eastAsia="Times New Roman" w:cs="Times New Roman"/>
                      <w:color w:val="auto"/>
                      <w:spacing w:val="-4"/>
                      <w:sz w:val="21"/>
                      <w:szCs w:val="21"/>
                    </w:rPr>
                    <w:t>50</w:t>
                  </w:r>
                  <w:r>
                    <w:rPr>
                      <w:rFonts w:hint="default"/>
                      <w:color w:val="auto"/>
                      <w:spacing w:val="-4"/>
                      <w:sz w:val="21"/>
                      <w:szCs w:val="21"/>
                    </w:rPr>
                    <w:t>毫克</w:t>
                  </w:r>
                  <w:r>
                    <w:rPr>
                      <w:rFonts w:hint="default" w:ascii="Times New Roman" w:hAnsi="Times New Roman" w:eastAsia="Times New Roman" w:cs="Times New Roman"/>
                      <w:color w:val="auto"/>
                      <w:spacing w:val="-4"/>
                      <w:sz w:val="21"/>
                      <w:szCs w:val="21"/>
                    </w:rPr>
                    <w:t>/</w:t>
                  </w:r>
                  <w:r>
                    <w:rPr>
                      <w:rFonts w:hint="default"/>
                      <w:color w:val="auto"/>
                      <w:spacing w:val="-4"/>
                      <w:sz w:val="21"/>
                      <w:szCs w:val="21"/>
                    </w:rPr>
                    <w:t>立方米，工业炉窑</w:t>
                  </w:r>
                  <w:r>
                    <w:rPr>
                      <w:rFonts w:hint="default"/>
                      <w:color w:val="auto"/>
                      <w:spacing w:val="-5"/>
                      <w:sz w:val="21"/>
                      <w:szCs w:val="21"/>
                    </w:rPr>
                    <w:t>颗粒</w:t>
                  </w:r>
                  <w:r>
                    <w:rPr>
                      <w:rFonts w:hint="default"/>
                      <w:color w:val="auto"/>
                      <w:spacing w:val="-22"/>
                      <w:sz w:val="21"/>
                      <w:szCs w:val="21"/>
                    </w:rPr>
                    <w:t>物、</w:t>
                  </w:r>
                  <w:r>
                    <w:rPr>
                      <w:rFonts w:hint="default" w:ascii="Times New Roman" w:hAnsi="Times New Roman" w:eastAsia="Times New Roman" w:cs="Times New Roman"/>
                      <w:color w:val="auto"/>
                      <w:spacing w:val="-22"/>
                      <w:sz w:val="21"/>
                      <w:szCs w:val="21"/>
                    </w:rPr>
                    <w:t>SO</w:t>
                  </w:r>
                  <w:r>
                    <w:rPr>
                      <w:rFonts w:hint="default" w:ascii="Times New Roman" w:hAnsi="Times New Roman" w:eastAsia="Times New Roman" w:cs="Times New Roman"/>
                      <w:color w:val="auto"/>
                      <w:spacing w:val="7"/>
                      <w:position w:val="-1"/>
                      <w:sz w:val="21"/>
                      <w:szCs w:val="21"/>
                      <w:vertAlign w:val="subscript"/>
                    </w:rPr>
                    <w:t>2</w:t>
                  </w:r>
                  <w:r>
                    <w:rPr>
                      <w:rFonts w:hint="default"/>
                      <w:color w:val="auto"/>
                      <w:spacing w:val="-3"/>
                      <w:sz w:val="21"/>
                      <w:szCs w:val="21"/>
                    </w:rPr>
                    <w:t>、</w:t>
                  </w:r>
                  <w:r>
                    <w:rPr>
                      <w:rFonts w:hint="default" w:ascii="Times New Roman" w:hAnsi="Times New Roman" w:eastAsia="Times New Roman" w:cs="Times New Roman"/>
                      <w:color w:val="auto"/>
                      <w:spacing w:val="-3"/>
                      <w:sz w:val="21"/>
                      <w:szCs w:val="21"/>
                    </w:rPr>
                    <w:t>NO</w:t>
                  </w:r>
                  <w:r>
                    <w:rPr>
                      <w:rFonts w:hint="default" w:ascii="Times New Roman" w:hAnsi="Times New Roman" w:eastAsia="Times New Roman" w:cs="Times New Roman"/>
                      <w:color w:val="auto"/>
                      <w:spacing w:val="-3"/>
                      <w:position w:val="-1"/>
                      <w:sz w:val="21"/>
                      <w:szCs w:val="21"/>
                    </w:rPr>
                    <w:t>x</w:t>
                  </w:r>
                  <w:r>
                    <w:rPr>
                      <w:rFonts w:hint="default"/>
                      <w:color w:val="auto"/>
                      <w:spacing w:val="-3"/>
                      <w:sz w:val="21"/>
                      <w:szCs w:val="21"/>
                    </w:rPr>
                    <w:t>排放浓度分别不高于</w:t>
                  </w:r>
                  <w:r>
                    <w:rPr>
                      <w:rFonts w:hint="default" w:ascii="Times New Roman" w:hAnsi="Times New Roman" w:eastAsia="Times New Roman" w:cs="Times New Roman"/>
                      <w:color w:val="auto"/>
                      <w:spacing w:val="-3"/>
                      <w:sz w:val="21"/>
                      <w:szCs w:val="21"/>
                    </w:rPr>
                    <w:t>30</w:t>
                  </w:r>
                  <w:r>
                    <w:rPr>
                      <w:rFonts w:hint="default"/>
                      <w:color w:val="auto"/>
                      <w:spacing w:val="-3"/>
                      <w:sz w:val="21"/>
                      <w:szCs w:val="21"/>
                    </w:rPr>
                    <w:t>、</w:t>
                  </w:r>
                  <w:r>
                    <w:rPr>
                      <w:rFonts w:hint="default" w:ascii="Times New Roman" w:hAnsi="Times New Roman" w:eastAsia="Times New Roman" w:cs="Times New Roman"/>
                      <w:color w:val="auto"/>
                      <w:spacing w:val="-3"/>
                      <w:sz w:val="21"/>
                      <w:szCs w:val="21"/>
                    </w:rPr>
                    <w:t>200</w:t>
                  </w:r>
                  <w:r>
                    <w:rPr>
                      <w:rFonts w:hint="default"/>
                      <w:color w:val="auto"/>
                      <w:spacing w:val="-3"/>
                      <w:sz w:val="21"/>
                      <w:szCs w:val="21"/>
                    </w:rPr>
                    <w:t>、</w:t>
                  </w:r>
                  <w:r>
                    <w:rPr>
                      <w:rFonts w:hint="default" w:ascii="Times New Roman" w:hAnsi="Times New Roman" w:eastAsia="Times New Roman" w:cs="Times New Roman"/>
                      <w:color w:val="auto"/>
                      <w:spacing w:val="-3"/>
                      <w:sz w:val="21"/>
                      <w:szCs w:val="21"/>
                    </w:rPr>
                    <w:t>300</w:t>
                  </w:r>
                  <w:r>
                    <w:rPr>
                      <w:rFonts w:hint="default"/>
                      <w:color w:val="auto"/>
                      <w:spacing w:val="-3"/>
                      <w:sz w:val="21"/>
                      <w:szCs w:val="21"/>
                    </w:rPr>
                    <w:t>毫克</w:t>
                  </w:r>
                  <w:r>
                    <w:rPr>
                      <w:rFonts w:hint="default" w:ascii="Times New Roman" w:hAnsi="Times New Roman" w:eastAsia="Times New Roman" w:cs="Times New Roman"/>
                      <w:color w:val="auto"/>
                      <w:spacing w:val="-3"/>
                      <w:sz w:val="21"/>
                      <w:szCs w:val="21"/>
                    </w:rPr>
                    <w:t>/</w:t>
                  </w:r>
                  <w:r>
                    <w:rPr>
                      <w:rFonts w:hint="default"/>
                      <w:color w:val="auto"/>
                      <w:spacing w:val="-3"/>
                      <w:sz w:val="21"/>
                      <w:szCs w:val="21"/>
                    </w:rPr>
                    <w:t>立</w:t>
                  </w:r>
                  <w:r>
                    <w:rPr>
                      <w:rFonts w:hint="default"/>
                      <w:color w:val="auto"/>
                      <w:spacing w:val="-4"/>
                      <w:sz w:val="21"/>
                      <w:szCs w:val="21"/>
                    </w:rPr>
                    <w:t>方米。</w:t>
                  </w:r>
                </w:p>
              </w:tc>
            </w:tr>
            <w:tr w14:paraId="66C8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4A1A56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vertAlign w:val="baseline"/>
                    </w:rPr>
                  </w:pPr>
                </w:p>
              </w:tc>
              <w:tc>
                <w:tcPr>
                  <w:tcW w:w="1170" w:type="dxa"/>
                  <w:vMerge w:val="restart"/>
                  <w:vAlign w:val="center"/>
                </w:tcPr>
                <w:p w14:paraId="52A20124">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vertAlign w:val="baseline"/>
                    </w:rPr>
                  </w:pPr>
                  <w:r>
                    <w:rPr>
                      <w:rFonts w:hint="default"/>
                      <w:color w:val="auto"/>
                      <w:spacing w:val="-1"/>
                      <w:sz w:val="21"/>
                      <w:szCs w:val="21"/>
                    </w:rPr>
                    <w:t>其他污染物排放管控要求</w:t>
                  </w:r>
                </w:p>
              </w:tc>
              <w:tc>
                <w:tcPr>
                  <w:tcW w:w="5207" w:type="dxa"/>
                  <w:gridSpan w:val="3"/>
                  <w:shd w:val="clear" w:color="auto" w:fill="auto"/>
                  <w:vAlign w:val="center"/>
                </w:tcPr>
                <w:p w14:paraId="7E167F29">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color w:val="auto"/>
                      <w:kern w:val="2"/>
                      <w:sz w:val="21"/>
                      <w:szCs w:val="21"/>
                      <w:lang w:val="en-US" w:eastAsia="zh-CN" w:bidi="ar-SA"/>
                    </w:rPr>
                  </w:pPr>
                  <w:r>
                    <w:rPr>
                      <w:rFonts w:hint="default"/>
                      <w:color w:val="auto"/>
                      <w:sz w:val="21"/>
                      <w:szCs w:val="21"/>
                    </w:rPr>
                    <w:t>按照《安徽省环保厅关于进一步加强建设项目新增大气主要污染物总量指标管理工作的通知》（</w:t>
                  </w:r>
                  <w:r>
                    <w:rPr>
                      <w:rFonts w:hint="default"/>
                      <w:color w:val="auto"/>
                      <w:spacing w:val="-1"/>
                      <w:sz w:val="21"/>
                      <w:szCs w:val="21"/>
                    </w:rPr>
                    <w:t>皖环发</w:t>
                  </w:r>
                  <w:r>
                    <w:rPr>
                      <w:rFonts w:hint="default"/>
                      <w:color w:val="auto"/>
                      <w:spacing w:val="-2"/>
                      <w:sz w:val="21"/>
                      <w:szCs w:val="21"/>
                    </w:rPr>
                    <w:t>〔</w:t>
                  </w:r>
                  <w:r>
                    <w:rPr>
                      <w:rFonts w:hint="default" w:ascii="Times New Roman" w:hAnsi="Times New Roman" w:eastAsia="Times New Roman" w:cs="Times New Roman"/>
                      <w:color w:val="auto"/>
                      <w:spacing w:val="-2"/>
                      <w:sz w:val="21"/>
                      <w:szCs w:val="21"/>
                    </w:rPr>
                    <w:t>2017</w:t>
                  </w:r>
                  <w:r>
                    <w:rPr>
                      <w:rFonts w:hint="default"/>
                      <w:color w:val="auto"/>
                      <w:spacing w:val="-2"/>
                      <w:sz w:val="21"/>
                      <w:szCs w:val="21"/>
                    </w:rPr>
                    <w:t>〕</w:t>
                  </w:r>
                  <w:r>
                    <w:rPr>
                      <w:rFonts w:hint="default" w:ascii="Times New Roman" w:hAnsi="Times New Roman" w:eastAsia="Times New Roman" w:cs="Times New Roman"/>
                      <w:color w:val="auto"/>
                      <w:spacing w:val="-2"/>
                      <w:sz w:val="21"/>
                      <w:szCs w:val="21"/>
                    </w:rPr>
                    <w:t>19</w:t>
                  </w:r>
                  <w:r>
                    <w:rPr>
                      <w:rFonts w:hint="default"/>
                      <w:color w:val="auto"/>
                      <w:spacing w:val="-2"/>
                      <w:sz w:val="21"/>
                      <w:szCs w:val="21"/>
                    </w:rPr>
                    <w:t>号）中相关要求，区内新增大气污染物排放执行相应替代要求。</w:t>
                  </w:r>
                </w:p>
              </w:tc>
            </w:tr>
            <w:tr w14:paraId="580D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60CF76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vertAlign w:val="baseline"/>
                    </w:rPr>
                  </w:pPr>
                </w:p>
              </w:tc>
              <w:tc>
                <w:tcPr>
                  <w:tcW w:w="1170" w:type="dxa"/>
                  <w:vMerge w:val="continue"/>
                  <w:vAlign w:val="center"/>
                </w:tcPr>
                <w:p w14:paraId="725C8E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vertAlign w:val="baseline"/>
                    </w:rPr>
                  </w:pPr>
                </w:p>
              </w:tc>
              <w:tc>
                <w:tcPr>
                  <w:tcW w:w="5207" w:type="dxa"/>
                  <w:gridSpan w:val="3"/>
                  <w:shd w:val="clear" w:color="auto" w:fill="auto"/>
                  <w:vAlign w:val="center"/>
                </w:tcPr>
                <w:p w14:paraId="59BF1228">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color w:val="auto"/>
                      <w:kern w:val="2"/>
                      <w:sz w:val="21"/>
                      <w:szCs w:val="21"/>
                      <w:lang w:val="en-US" w:eastAsia="zh-CN" w:bidi="ar-SA"/>
                    </w:rPr>
                  </w:pPr>
                  <w:r>
                    <w:rPr>
                      <w:rFonts w:hint="default"/>
                      <w:color w:val="auto"/>
                      <w:spacing w:val="-2"/>
                      <w:sz w:val="21"/>
                      <w:szCs w:val="21"/>
                    </w:rPr>
                    <w:t>建成区污水集中收集、处理率达到</w:t>
                  </w:r>
                  <w:r>
                    <w:rPr>
                      <w:rFonts w:hint="default" w:ascii="Times New Roman" w:hAnsi="Times New Roman" w:eastAsia="Times New Roman" w:cs="Times New Roman"/>
                      <w:color w:val="auto"/>
                      <w:spacing w:val="-2"/>
                      <w:sz w:val="21"/>
                      <w:szCs w:val="21"/>
                    </w:rPr>
                    <w:t>100%</w:t>
                  </w:r>
                  <w:r>
                    <w:rPr>
                      <w:rFonts w:hint="default"/>
                      <w:color w:val="auto"/>
                      <w:spacing w:val="-2"/>
                      <w:sz w:val="21"/>
                      <w:szCs w:val="21"/>
                    </w:rPr>
                    <w:t>。</w:t>
                  </w:r>
                </w:p>
              </w:tc>
            </w:tr>
            <w:tr w14:paraId="4101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shd w:val="clear" w:color="auto" w:fill="auto"/>
                  <w:vAlign w:val="center"/>
                </w:tcPr>
                <w:p w14:paraId="797DA601">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color w:val="auto"/>
                      <w:kern w:val="2"/>
                      <w:sz w:val="21"/>
                      <w:szCs w:val="21"/>
                      <w:lang w:val="en-US" w:eastAsia="en-US" w:bidi="ar-SA"/>
                    </w:rPr>
                  </w:pPr>
                  <w:r>
                    <w:rPr>
                      <w:rFonts w:hint="default"/>
                      <w:color w:val="auto"/>
                      <w:spacing w:val="-2"/>
                      <w:sz w:val="21"/>
                      <w:szCs w:val="21"/>
                    </w:rPr>
                    <w:t>环境风</w:t>
                  </w:r>
                  <w:r>
                    <w:rPr>
                      <w:rFonts w:hint="default"/>
                      <w:color w:val="auto"/>
                      <w:spacing w:val="-6"/>
                      <w:sz w:val="21"/>
                      <w:szCs w:val="21"/>
                    </w:rPr>
                    <w:t>险防控</w:t>
                  </w:r>
                </w:p>
              </w:tc>
              <w:tc>
                <w:tcPr>
                  <w:tcW w:w="1170" w:type="dxa"/>
                  <w:shd w:val="clear" w:color="auto" w:fill="auto"/>
                  <w:vAlign w:val="center"/>
                </w:tcPr>
                <w:p w14:paraId="2B3B7B92">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color w:val="auto"/>
                      <w:kern w:val="2"/>
                      <w:sz w:val="21"/>
                      <w:szCs w:val="21"/>
                      <w:lang w:val="en-US" w:eastAsia="en-US" w:bidi="ar-SA"/>
                    </w:rPr>
                  </w:pPr>
                  <w:r>
                    <w:rPr>
                      <w:rFonts w:hint="default"/>
                      <w:color w:val="auto"/>
                      <w:spacing w:val="-1"/>
                      <w:sz w:val="21"/>
                      <w:szCs w:val="21"/>
                    </w:rPr>
                    <w:t>环境风险防控要求</w:t>
                  </w:r>
                </w:p>
              </w:tc>
              <w:tc>
                <w:tcPr>
                  <w:tcW w:w="5207" w:type="dxa"/>
                  <w:gridSpan w:val="3"/>
                  <w:shd w:val="clear" w:color="auto" w:fill="auto"/>
                  <w:vAlign w:val="center"/>
                </w:tcPr>
                <w:p w14:paraId="66B49938">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color w:val="auto"/>
                      <w:kern w:val="2"/>
                      <w:sz w:val="21"/>
                      <w:szCs w:val="21"/>
                      <w:lang w:val="en-US" w:eastAsia="zh-CN" w:bidi="ar-SA"/>
                    </w:rPr>
                  </w:pPr>
                  <w:r>
                    <w:rPr>
                      <w:rFonts w:hint="default"/>
                      <w:color w:val="auto"/>
                      <w:spacing w:val="-2"/>
                      <w:sz w:val="21"/>
                      <w:szCs w:val="21"/>
                    </w:rPr>
                    <w:t>加强环境应急预案编制与备案管理，推进跨部门、跨区域、跨流域监管与应急协调联动机制建设，建立流域突</w:t>
                  </w:r>
                  <w:r>
                    <w:rPr>
                      <w:rFonts w:hint="default"/>
                      <w:color w:val="auto"/>
                      <w:spacing w:val="-3"/>
                      <w:sz w:val="21"/>
                      <w:szCs w:val="21"/>
                    </w:rPr>
                    <w:t>发环境事件监控预警与应急平台，强化环境应急队</w:t>
                  </w:r>
                  <w:r>
                    <w:rPr>
                      <w:rFonts w:hint="default"/>
                      <w:color w:val="auto"/>
                      <w:spacing w:val="-4"/>
                      <w:sz w:val="21"/>
                      <w:szCs w:val="21"/>
                    </w:rPr>
                    <w:t>伍建设和物资储备，提升环境应急协调联动能力，加强危化</w:t>
                  </w:r>
                  <w:r>
                    <w:rPr>
                      <w:rFonts w:hint="default"/>
                      <w:color w:val="auto"/>
                      <w:spacing w:val="-1"/>
                      <w:sz w:val="21"/>
                      <w:szCs w:val="21"/>
                    </w:rPr>
                    <w:t>品道路运输风险管控及运输过程安全监管，严防交通运输次生突发环境事</w:t>
                  </w:r>
                  <w:r>
                    <w:rPr>
                      <w:rFonts w:hint="default"/>
                      <w:color w:val="auto"/>
                      <w:spacing w:val="-2"/>
                      <w:sz w:val="21"/>
                      <w:szCs w:val="21"/>
                    </w:rPr>
                    <w:t>件风险。</w:t>
                  </w:r>
                </w:p>
              </w:tc>
            </w:tr>
          </w:tbl>
          <w:p w14:paraId="104C8624">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000000"/>
                <w:kern w:val="0"/>
                <w:sz w:val="24"/>
                <w:szCs w:val="24"/>
                <w:lang w:val="en-US" w:eastAsia="zh-CN"/>
              </w:rPr>
              <w:t>本项目位于宿州市高新技术开发区北三环泗山路数字星空8号厂房，地理位置见附图1。</w:t>
            </w:r>
            <w:r>
              <w:rPr>
                <w:rFonts w:hint="default" w:ascii="Times New Roman" w:hAnsi="Times New Roman" w:eastAsia="宋体" w:cs="Times New Roman"/>
                <w:color w:val="auto"/>
                <w:kern w:val="0"/>
                <w:sz w:val="24"/>
                <w:szCs w:val="24"/>
                <w:lang w:val="en-US" w:eastAsia="zh-CN"/>
              </w:rPr>
              <w:t>项目为食品制造业，不属于园区</w:t>
            </w:r>
            <w:r>
              <w:rPr>
                <w:rFonts w:hint="eastAsia" w:ascii="Times New Roman" w:hAnsi="Times New Roman" w:eastAsia="宋体" w:cs="Times New Roman"/>
                <w:color w:val="auto"/>
                <w:kern w:val="0"/>
                <w:sz w:val="24"/>
                <w:szCs w:val="24"/>
                <w:lang w:val="en-US" w:eastAsia="zh-CN"/>
              </w:rPr>
              <w:t>限制</w:t>
            </w:r>
            <w:r>
              <w:rPr>
                <w:rFonts w:hint="default" w:ascii="Times New Roman" w:hAnsi="Times New Roman" w:eastAsia="宋体" w:cs="Times New Roman"/>
                <w:color w:val="auto"/>
                <w:kern w:val="0"/>
                <w:sz w:val="24"/>
                <w:szCs w:val="24"/>
                <w:lang w:val="en-US" w:eastAsia="zh-CN"/>
              </w:rPr>
              <w:t>类、禁止类行业，</w:t>
            </w:r>
            <w:r>
              <w:rPr>
                <w:rFonts w:hint="eastAsia" w:ascii="Times New Roman" w:hAnsi="Times New Roman" w:cs="Times New Roman"/>
                <w:color w:val="auto"/>
                <w:kern w:val="0"/>
                <w:sz w:val="24"/>
                <w:szCs w:val="24"/>
                <w:lang w:val="en-US" w:eastAsia="zh-CN"/>
              </w:rPr>
              <w:t>可视为允许类</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本项目已申请废气和废水污染物总量指标，其污染物允许排放量满足地方生态环境主管部门核定的总量控制要求</w:t>
            </w:r>
            <w:r>
              <w:rPr>
                <w:rFonts w:hint="eastAsia" w:cs="Times New Roman"/>
                <w:color w:val="auto"/>
                <w:kern w:val="0"/>
                <w:sz w:val="24"/>
                <w:szCs w:val="24"/>
                <w:lang w:val="en-US" w:eastAsia="zh-CN"/>
              </w:rPr>
              <w:t>，不会突破高新片区污染物总量管控限值；</w:t>
            </w:r>
            <w:r>
              <w:rPr>
                <w:rFonts w:hint="eastAsia" w:ascii="Times New Roman" w:hAnsi="Times New Roman" w:eastAsia="宋体" w:cs="Times New Roman"/>
                <w:color w:val="auto"/>
                <w:kern w:val="0"/>
                <w:sz w:val="24"/>
                <w:szCs w:val="24"/>
                <w:lang w:val="en-US" w:eastAsia="zh-CN"/>
              </w:rPr>
              <w:t>项目废水由厂区总排口进入宿州市汴北污水处理厂集中处理</w:t>
            </w:r>
            <w:r>
              <w:rPr>
                <w:rFonts w:hint="eastAsia"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项目使用的燃气锅炉配备低氮燃烧器，其污染物排放浓度</w:t>
            </w:r>
            <w:r>
              <w:rPr>
                <w:rFonts w:hint="eastAsia" w:cs="Times New Roman"/>
                <w:color w:val="auto"/>
                <w:kern w:val="0"/>
                <w:sz w:val="24"/>
                <w:szCs w:val="24"/>
                <w:lang w:val="en-US" w:eastAsia="zh-CN"/>
              </w:rPr>
              <w:t>执行</w:t>
            </w:r>
            <w:r>
              <w:rPr>
                <w:rFonts w:hint="eastAsia" w:ascii="Times New Roman" w:hAnsi="Times New Roman" w:eastAsia="宋体" w:cs="Times New Roman"/>
                <w:color w:val="auto"/>
                <w:kern w:val="0"/>
                <w:sz w:val="24"/>
                <w:szCs w:val="24"/>
                <w:lang w:val="en-US" w:eastAsia="zh-CN"/>
              </w:rPr>
              <w:t>《锅炉大气污染物排放标准》（GB13271-2014）表3中排放限值要求和《安徽省大气办关于印发&lt;安徽省2020年大气污染防治重点工作任务&gt;的通知》中相关规定</w:t>
            </w:r>
            <w:r>
              <w:rPr>
                <w:rFonts w:hint="eastAsia"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本项目涉及的环境风险物质较少，采取风险防范措施，环境风险可控。</w:t>
            </w:r>
          </w:p>
          <w:p w14:paraId="418D79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因此，本项目符合宿州市高新技术产业开发区总体发展规划。</w:t>
            </w:r>
          </w:p>
          <w:p w14:paraId="05D7626D">
            <w:pPr>
              <w:keepNext w:val="0"/>
              <w:keepLines w:val="0"/>
              <w:numPr>
                <w:ilvl w:val="0"/>
                <w:numId w:val="5"/>
              </w:numPr>
              <w:suppressLineNumbers w:val="0"/>
              <w:spacing w:before="0" w:beforeAutospacing="0" w:after="0" w:afterAutospacing="0" w:line="360" w:lineRule="auto"/>
              <w:ind w:left="0" w:right="0"/>
              <w:jc w:val="left"/>
              <w:rPr>
                <w:rFonts w:hint="eastAsia" w:cs="宋体"/>
                <w:b/>
                <w:bCs/>
                <w:kern w:val="0"/>
                <w:sz w:val="24"/>
                <w:lang w:val="en-US" w:eastAsia="zh-CN"/>
              </w:rPr>
            </w:pPr>
            <w:r>
              <w:rPr>
                <w:rFonts w:hint="eastAsia" w:cs="宋体"/>
                <w:b/>
                <w:bCs/>
                <w:kern w:val="0"/>
                <w:sz w:val="24"/>
                <w:lang w:val="en-US" w:eastAsia="zh-CN"/>
              </w:rPr>
              <w:t>规划环境影响评价符合性分析</w:t>
            </w:r>
          </w:p>
          <w:p w14:paraId="0D0D94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w:t>
            </w:r>
            <w:r>
              <w:rPr>
                <w:rFonts w:hint="eastAsia" w:cs="Times New Roman"/>
                <w:b/>
                <w:bCs/>
                <w:color w:val="000000"/>
                <w:kern w:val="0"/>
                <w:sz w:val="24"/>
                <w:szCs w:val="24"/>
                <w:lang w:val="en-US" w:eastAsia="zh-CN"/>
              </w:rPr>
              <w:t>1</w:t>
            </w:r>
            <w:r>
              <w:rPr>
                <w:rFonts w:hint="default" w:ascii="Times New Roman" w:hAnsi="Times New Roman" w:eastAsia="宋体" w:cs="Times New Roman"/>
                <w:b/>
                <w:bCs/>
                <w:color w:val="000000"/>
                <w:kern w:val="0"/>
                <w:sz w:val="24"/>
                <w:szCs w:val="24"/>
                <w:lang w:val="en-US" w:eastAsia="zh-CN"/>
              </w:rPr>
              <w:t>）与《关于安徽宿州高新技术产业开发区总体发展规划（2023-2035年）环境影响报告书审查意见的函》（宿环函【2024】57号）相符性分析：</w:t>
            </w:r>
          </w:p>
          <w:p w14:paraId="5B0C408C">
            <w:pPr>
              <w:keepNext w:val="0"/>
              <w:keepLines w:val="0"/>
              <w:numPr>
                <w:ilvl w:val="0"/>
                <w:numId w:val="4"/>
              </w:numPr>
              <w:suppressLineNumbers w:val="0"/>
              <w:spacing w:before="0" w:beforeAutospacing="0" w:after="0" w:afterAutospacing="0"/>
              <w:ind w:left="0" w:right="0" w:firstLine="0"/>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与《关于安徽宿州高新技术产业开发区总体发展规划</w:t>
            </w:r>
          </w:p>
          <w:p w14:paraId="1B14E8CC">
            <w:pPr>
              <w:keepNext w:val="0"/>
              <w:keepLines w:val="0"/>
              <w:numPr>
                <w:ilvl w:val="0"/>
                <w:numId w:val="0"/>
              </w:numPr>
              <w:suppressLineNumbers w:val="0"/>
              <w:tabs>
                <w:tab w:val="left" w:pos="0"/>
              </w:tabs>
              <w:spacing w:before="0" w:beforeAutospacing="0" w:after="0" w:afterAutospacing="0"/>
              <w:ind w:left="0" w:leftChars="0" w:right="0" w:rightChars="0"/>
              <w:jc w:val="both"/>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（2023-2035年）环境影响报告书审查意见的函》</w:t>
            </w:r>
            <w:r>
              <w:rPr>
                <w:rFonts w:hint="eastAsia" w:ascii="Times New Roman" w:hAnsi="Times New Roman" w:eastAsia="宋体" w:cs="Times New Roman"/>
                <w:b/>
                <w:color w:val="auto"/>
                <w:sz w:val="24"/>
                <w:lang w:val="en-US" w:eastAsia="zh-CN"/>
              </w:rPr>
              <w:t>相符性分析</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4888"/>
              <w:gridCol w:w="2121"/>
              <w:gridCol w:w="504"/>
            </w:tblGrid>
            <w:tr w14:paraId="3EFA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dxa"/>
                  <w:vAlign w:val="center"/>
                </w:tcPr>
                <w:p w14:paraId="25416E17">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序号</w:t>
                  </w:r>
                </w:p>
              </w:tc>
              <w:tc>
                <w:tcPr>
                  <w:tcW w:w="4888" w:type="dxa"/>
                  <w:vAlign w:val="center"/>
                </w:tcPr>
                <w:p w14:paraId="20E1BAF6">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审查意见</w:t>
                  </w:r>
                </w:p>
              </w:tc>
              <w:tc>
                <w:tcPr>
                  <w:tcW w:w="2121" w:type="dxa"/>
                  <w:vAlign w:val="center"/>
                </w:tcPr>
                <w:p w14:paraId="44FF0661">
                  <w:pPr>
                    <w:keepNext w:val="0"/>
                    <w:keepLines w:val="0"/>
                    <w:suppressLineNumbers w:val="0"/>
                    <w:spacing w:before="0" w:beforeAutospacing="0" w:after="0" w:afterAutospacing="0"/>
                    <w:ind w:left="0" w:right="0"/>
                    <w:jc w:val="center"/>
                    <w:rPr>
                      <w:rFonts w:hint="default" w:eastAsia="宋体"/>
                      <w:color w:val="000000"/>
                      <w:sz w:val="21"/>
                      <w:szCs w:val="21"/>
                      <w:vertAlign w:val="baseline"/>
                      <w:lang w:val="en-US" w:eastAsia="zh-CN"/>
                    </w:rPr>
                  </w:pPr>
                  <w:r>
                    <w:rPr>
                      <w:rFonts w:hint="eastAsia"/>
                      <w:color w:val="000000"/>
                      <w:sz w:val="21"/>
                      <w:szCs w:val="21"/>
                      <w:vertAlign w:val="baseline"/>
                      <w:lang w:val="en-US" w:eastAsia="zh-CN"/>
                    </w:rPr>
                    <w:t>本项目情况</w:t>
                  </w:r>
                </w:p>
              </w:tc>
              <w:tc>
                <w:tcPr>
                  <w:tcW w:w="504" w:type="dxa"/>
                  <w:vAlign w:val="center"/>
                </w:tcPr>
                <w:p w14:paraId="383EDD51">
                  <w:pPr>
                    <w:keepNext w:val="0"/>
                    <w:keepLines w:val="0"/>
                    <w:suppressLineNumbers w:val="0"/>
                    <w:spacing w:before="0" w:beforeAutospacing="0" w:after="0" w:afterAutospacing="0"/>
                    <w:ind w:left="113" w:right="113"/>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符合性</w:t>
                  </w:r>
                </w:p>
              </w:tc>
            </w:tr>
            <w:tr w14:paraId="0DA3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dxa"/>
                  <w:vAlign w:val="center"/>
                </w:tcPr>
                <w:p w14:paraId="18BE9E3F">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1</w:t>
                  </w:r>
                </w:p>
              </w:tc>
              <w:tc>
                <w:tcPr>
                  <w:tcW w:w="4888" w:type="dxa"/>
                  <w:vAlign w:val="center"/>
                </w:tcPr>
                <w:p w14:paraId="654EE753">
                  <w:pPr>
                    <w:keepNext w:val="0"/>
                    <w:keepLines w:val="0"/>
                    <w:widowControl/>
                    <w:suppressLineNumbers w:val="0"/>
                    <w:spacing w:before="0" w:beforeAutospacing="0" w:after="0" w:afterAutospacing="0"/>
                    <w:ind w:left="0" w:right="0"/>
                    <w:jc w:val="center"/>
                    <w:rPr>
                      <w:rFonts w:hint="default"/>
                      <w:color w:val="000000"/>
                      <w:sz w:val="21"/>
                      <w:szCs w:val="21"/>
                      <w:vertAlign w:val="baseline"/>
                    </w:rPr>
                  </w:pPr>
                  <w:r>
                    <w:rPr>
                      <w:rFonts w:hint="eastAsia" w:ascii="宋体" w:hAnsi="宋体" w:eastAsia="宋体" w:cs="宋体"/>
                      <w:color w:val="000000"/>
                      <w:kern w:val="0"/>
                      <w:sz w:val="21"/>
                      <w:szCs w:val="21"/>
                      <w:lang w:val="en-US" w:eastAsia="zh-CN"/>
                    </w:rPr>
                    <w:t>（一）加强《规划》引领，坚持绿色协调发展：开发区应加强《规划》与国土空间规划、污染防治攻坚战规划等相关环境保护政策要求、省市生态环境分区管控成果的协调衔接，统筹推进开发区整体发展和生态保护。开发区发展应基于区域生态环境承载力，合理控制产业发展和开发利用强度，针对现有化工企业提出具体管控要求，进一步提高土地利用效率，协调好产业发展与区域环境保护的关系。统筹开发区减污降碳协同共治、资源集约节约及循环化利用、能源智慧高效利用、环境风险防控等重大事项，引导开发区高质量发展。</w:t>
                  </w:r>
                </w:p>
              </w:tc>
              <w:tc>
                <w:tcPr>
                  <w:tcW w:w="2121" w:type="dxa"/>
                  <w:vAlign w:val="center"/>
                </w:tcPr>
                <w:p w14:paraId="4D47E8C8">
                  <w:pPr>
                    <w:keepNext w:val="0"/>
                    <w:keepLines w:val="0"/>
                    <w:widowControl/>
                    <w:suppressLineNumbers w:val="0"/>
                    <w:spacing w:before="0" w:beforeAutospacing="0" w:after="0" w:afterAutospacing="0"/>
                    <w:ind w:left="0" w:right="0"/>
                    <w:jc w:val="center"/>
                    <w:rPr>
                      <w:rFonts w:hint="default"/>
                      <w:color w:val="000000"/>
                      <w:sz w:val="21"/>
                      <w:szCs w:val="21"/>
                      <w:vertAlign w:val="baseline"/>
                    </w:rPr>
                  </w:pPr>
                  <w:r>
                    <w:rPr>
                      <w:rFonts w:hint="eastAsia" w:ascii="宋体" w:hAnsi="宋体" w:eastAsia="宋体" w:cs="宋体"/>
                      <w:color w:val="000000"/>
                      <w:kern w:val="0"/>
                      <w:sz w:val="21"/>
                      <w:szCs w:val="21"/>
                      <w:lang w:val="en-US" w:eastAsia="zh-CN"/>
                    </w:rPr>
                    <w:t>本项目为食品制造业</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符合片区总体发展规划、主导产业定位要求，项目用地为工业用地</w:t>
                  </w:r>
                  <w:r>
                    <w:rPr>
                      <w:rFonts w:hint="eastAsia" w:ascii="宋体" w:hAnsi="宋体" w:cs="宋体"/>
                      <w:color w:val="000000"/>
                      <w:kern w:val="0"/>
                      <w:sz w:val="21"/>
                      <w:szCs w:val="21"/>
                      <w:lang w:val="en-US" w:eastAsia="zh-CN"/>
                    </w:rPr>
                    <w:t>。</w:t>
                  </w:r>
                </w:p>
              </w:tc>
              <w:tc>
                <w:tcPr>
                  <w:tcW w:w="504" w:type="dxa"/>
                  <w:vAlign w:val="center"/>
                </w:tcPr>
                <w:p w14:paraId="0888D649">
                  <w:pPr>
                    <w:keepNext w:val="0"/>
                    <w:keepLines w:val="0"/>
                    <w:suppressLineNumbers w:val="0"/>
                    <w:spacing w:before="0" w:beforeAutospacing="0" w:after="0" w:afterAutospacing="0"/>
                    <w:ind w:left="113" w:right="113"/>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符合</w:t>
                  </w:r>
                </w:p>
              </w:tc>
            </w:tr>
            <w:tr w14:paraId="6E9D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dxa"/>
                  <w:vAlign w:val="center"/>
                </w:tcPr>
                <w:p w14:paraId="5D3335CF">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2</w:t>
                  </w:r>
                </w:p>
              </w:tc>
              <w:tc>
                <w:tcPr>
                  <w:tcW w:w="4888" w:type="dxa"/>
                  <w:vAlign w:val="center"/>
                </w:tcPr>
                <w:p w14:paraId="57CC06E2">
                  <w:pPr>
                    <w:keepNext w:val="0"/>
                    <w:keepLines w:val="0"/>
                    <w:widowControl/>
                    <w:suppressLineNumbers w:val="0"/>
                    <w:spacing w:before="0" w:beforeAutospacing="0" w:after="0" w:afterAutospacing="0"/>
                    <w:ind w:left="0" w:right="0"/>
                    <w:jc w:val="center"/>
                    <w:rPr>
                      <w:rFonts w:hint="default"/>
                      <w:color w:val="000000"/>
                      <w:sz w:val="21"/>
                      <w:szCs w:val="21"/>
                      <w:vertAlign w:val="baseline"/>
                    </w:rPr>
                  </w:pPr>
                  <w:r>
                    <w:rPr>
                      <w:rFonts w:hint="eastAsia" w:ascii="宋体" w:hAnsi="宋体" w:eastAsia="宋体" w:cs="宋体"/>
                      <w:color w:val="000000"/>
                      <w:kern w:val="0"/>
                      <w:sz w:val="21"/>
                      <w:szCs w:val="21"/>
                      <w:lang w:val="en-US" w:eastAsia="zh-CN"/>
                    </w:rPr>
                    <w:t>（二）严守环境质量底线，落实区域环境质量管控措施：开发区位于大气和水污染防治重点区域，区域生态环境保护要求较高，开发区应加快制定区域大气达标计划。根据国家和省大气、水、土壤、固废污染防治相关要求，制定污染防控方案和污染物总量管控</w:t>
                  </w:r>
                  <w:r>
                    <w:rPr>
                      <w:rFonts w:hint="eastAsia" w:ascii="宋体" w:hAnsi="宋体" w:eastAsia="宋体" w:cs="宋体"/>
                      <w:color w:val="auto"/>
                      <w:kern w:val="0"/>
                      <w:sz w:val="21"/>
                      <w:szCs w:val="21"/>
                      <w:lang w:val="en-US" w:eastAsia="zh-CN"/>
                    </w:rPr>
                    <w:t>要求，重点关注大气环境和地表水环境，切实保</w:t>
                  </w:r>
                  <w:r>
                    <w:rPr>
                      <w:rFonts w:hint="eastAsia" w:ascii="宋体" w:hAnsi="宋体" w:eastAsia="宋体" w:cs="宋体"/>
                      <w:color w:val="000000"/>
                      <w:kern w:val="0"/>
                      <w:sz w:val="21"/>
                      <w:szCs w:val="21"/>
                      <w:lang w:val="en-US" w:eastAsia="zh-CN"/>
                    </w:rPr>
                    <w:t>障区域内入驻项目达标排放，受纳水体的水环境功能及相关考核断面水质稳定达标、区域大气环境质量持续改善，区域生态环境问题得到妥善解决。</w:t>
                  </w:r>
                </w:p>
              </w:tc>
              <w:tc>
                <w:tcPr>
                  <w:tcW w:w="2121" w:type="dxa"/>
                  <w:vAlign w:val="center"/>
                </w:tcPr>
                <w:p w14:paraId="749CF217">
                  <w:pPr>
                    <w:keepNext w:val="0"/>
                    <w:keepLines w:val="0"/>
                    <w:widowControl/>
                    <w:suppressLineNumbers w:val="0"/>
                    <w:spacing w:before="0" w:beforeAutospacing="0" w:after="0" w:afterAutospacing="0"/>
                    <w:ind w:left="0" w:right="0"/>
                    <w:jc w:val="center"/>
                    <w:rPr>
                      <w:rFonts w:hint="default"/>
                      <w:color w:val="000000"/>
                      <w:sz w:val="21"/>
                      <w:szCs w:val="21"/>
                      <w:vertAlign w:val="baseline"/>
                    </w:rPr>
                  </w:pPr>
                  <w:r>
                    <w:rPr>
                      <w:rFonts w:hint="eastAsia" w:ascii="宋体" w:hAnsi="宋体" w:eastAsia="宋体" w:cs="宋体"/>
                      <w:color w:val="000000"/>
                      <w:kern w:val="0"/>
                      <w:sz w:val="21"/>
                      <w:szCs w:val="21"/>
                      <w:lang w:val="en-US" w:eastAsia="zh-CN"/>
                    </w:rPr>
                    <w:t>本项目严守环境质量底线，符合生态环境准入要求，污染物排放总量可以在区域内平衡</w:t>
                  </w:r>
                  <w:r>
                    <w:rPr>
                      <w:rFonts w:hint="eastAsia" w:ascii="宋体" w:hAnsi="宋体" w:cs="宋体"/>
                      <w:color w:val="000000"/>
                      <w:kern w:val="0"/>
                      <w:sz w:val="21"/>
                      <w:szCs w:val="21"/>
                      <w:lang w:val="en-US" w:eastAsia="zh-CN"/>
                    </w:rPr>
                    <w:t>。</w:t>
                  </w:r>
                </w:p>
              </w:tc>
              <w:tc>
                <w:tcPr>
                  <w:tcW w:w="504" w:type="dxa"/>
                  <w:vAlign w:val="center"/>
                </w:tcPr>
                <w:p w14:paraId="26C0C365">
                  <w:pPr>
                    <w:keepNext w:val="0"/>
                    <w:keepLines w:val="0"/>
                    <w:suppressLineNumbers w:val="0"/>
                    <w:spacing w:before="0" w:beforeAutospacing="0" w:after="0" w:afterAutospacing="0"/>
                    <w:ind w:left="113" w:right="113"/>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符合</w:t>
                  </w:r>
                </w:p>
              </w:tc>
            </w:tr>
            <w:tr w14:paraId="1D7E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dxa"/>
                  <w:vAlign w:val="center"/>
                </w:tcPr>
                <w:p w14:paraId="37E65A6E">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3</w:t>
                  </w:r>
                </w:p>
              </w:tc>
              <w:tc>
                <w:tcPr>
                  <w:tcW w:w="4888" w:type="dxa"/>
                  <w:vAlign w:val="center"/>
                </w:tcPr>
                <w:p w14:paraId="17AA343E">
                  <w:pPr>
                    <w:keepNext w:val="0"/>
                    <w:keepLines w:val="0"/>
                    <w:widowControl/>
                    <w:suppressLineNumbers w:val="0"/>
                    <w:spacing w:before="0" w:beforeAutospacing="0" w:after="0" w:afterAutospacing="0"/>
                    <w:ind w:left="0" w:right="0"/>
                    <w:jc w:val="center"/>
                    <w:rPr>
                      <w:rFonts w:hint="default"/>
                      <w:color w:val="000000"/>
                      <w:sz w:val="21"/>
                      <w:szCs w:val="21"/>
                      <w:vertAlign w:val="baseline"/>
                    </w:rPr>
                  </w:pPr>
                  <w:r>
                    <w:rPr>
                      <w:rFonts w:hint="eastAsia" w:ascii="宋体" w:hAnsi="宋体" w:eastAsia="宋体" w:cs="宋体"/>
                      <w:color w:val="000000"/>
                      <w:kern w:val="0"/>
                      <w:sz w:val="21"/>
                      <w:szCs w:val="21"/>
                      <w:lang w:val="en-US" w:eastAsia="zh-CN"/>
                    </w:rPr>
                    <w:t>（三）优化产业布局，加强生态空间保护：开发区应结合环境制约因素、产业定位要求等，进一步完善产业发展规划，产业布局应结合现状企业分布提出明确的规划布局优化调整建议。合理规划不同功能区的环境保护空间，严禁不符合管控要求的各类开发建设活动，加强开发区周边生态空间保护，确保规划实施不降低区域地表水体环境质量。统筹开发区生产、生活和商业服务空间之间及周边环境敏感目标的隔离和管控，实现产业发展与区域生态环境保护相协调。</w:t>
                  </w:r>
                </w:p>
              </w:tc>
              <w:tc>
                <w:tcPr>
                  <w:tcW w:w="2121" w:type="dxa"/>
                  <w:vAlign w:val="center"/>
                </w:tcPr>
                <w:p w14:paraId="1EEF80DD">
                  <w:pPr>
                    <w:keepNext w:val="0"/>
                    <w:keepLines w:val="0"/>
                    <w:widowControl/>
                    <w:suppressLineNumbers w:val="0"/>
                    <w:spacing w:before="0" w:beforeAutospacing="0" w:after="0" w:afterAutospacing="0"/>
                    <w:ind w:left="0" w:right="0"/>
                    <w:jc w:val="center"/>
                    <w:rPr>
                      <w:rFonts w:hint="default"/>
                      <w:color w:val="auto"/>
                      <w:sz w:val="21"/>
                      <w:szCs w:val="21"/>
                      <w:vertAlign w:val="baseline"/>
                    </w:rPr>
                  </w:pPr>
                  <w:r>
                    <w:rPr>
                      <w:rFonts w:hint="eastAsia" w:ascii="宋体" w:hAnsi="宋体" w:eastAsia="宋体" w:cs="宋体"/>
                      <w:color w:val="auto"/>
                      <w:kern w:val="0"/>
                      <w:sz w:val="21"/>
                      <w:szCs w:val="21"/>
                      <w:lang w:val="en-US" w:eastAsia="zh-CN"/>
                    </w:rPr>
                    <w:t>项目为食品制造业，符合园区规划相关内容，项目污染物均进行有效收集与处理，对周围环境质量影响较小。</w:t>
                  </w:r>
                </w:p>
              </w:tc>
              <w:tc>
                <w:tcPr>
                  <w:tcW w:w="504" w:type="dxa"/>
                  <w:vAlign w:val="center"/>
                </w:tcPr>
                <w:p w14:paraId="51CCA5C2">
                  <w:pPr>
                    <w:keepNext w:val="0"/>
                    <w:keepLines w:val="0"/>
                    <w:suppressLineNumbers w:val="0"/>
                    <w:spacing w:before="0" w:beforeAutospacing="0" w:after="0" w:afterAutospacing="0"/>
                    <w:ind w:left="113" w:right="113"/>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符合</w:t>
                  </w:r>
                </w:p>
              </w:tc>
            </w:tr>
            <w:tr w14:paraId="42D0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dxa"/>
                  <w:vAlign w:val="center"/>
                </w:tcPr>
                <w:p w14:paraId="47940B47">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4</w:t>
                  </w:r>
                </w:p>
              </w:tc>
              <w:tc>
                <w:tcPr>
                  <w:tcW w:w="4888" w:type="dxa"/>
                  <w:vAlign w:val="center"/>
                </w:tcPr>
                <w:p w14:paraId="471A958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五）细化生态环境准入清单，推动高质量发展：根据国家和区域发展战略，结合区域生态环境质量现状、生态环境分区管控、“三区三线”成果等，严格落实《报告书》生态环境准入要求。规划应严格执行国家产业政策，限制与规划主导产业不符且污染物排放量大的项目入区，禁止不符合淮河流域相关准入要求的项目入区。开发区引进项目的生产工艺、设备、自动化水平，以及单位产品能耗、污染物排放、碳排放等不得低于同行业清洁生产国内先进水平。</w:t>
                  </w:r>
                </w:p>
              </w:tc>
              <w:tc>
                <w:tcPr>
                  <w:tcW w:w="2121" w:type="dxa"/>
                  <w:vAlign w:val="center"/>
                </w:tcPr>
                <w:p w14:paraId="08110D7B">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rPr>
                  </w:pPr>
                  <w:r>
                    <w:rPr>
                      <w:rFonts w:hint="eastAsia" w:ascii="宋体" w:hAnsi="宋体" w:eastAsia="宋体" w:cs="宋体"/>
                      <w:color w:val="auto"/>
                      <w:kern w:val="0"/>
                      <w:sz w:val="21"/>
                      <w:szCs w:val="21"/>
                      <w:lang w:val="en-US" w:eastAsia="zh-CN"/>
                    </w:rPr>
                    <w:t>本项目符合生态环境分区管控</w:t>
                  </w:r>
                  <w:r>
                    <w:rPr>
                      <w:rFonts w:hint="eastAsia" w:ascii="宋体" w:hAnsi="宋体" w:cs="宋体"/>
                      <w:color w:val="auto"/>
                      <w:kern w:val="0"/>
                      <w:sz w:val="21"/>
                      <w:szCs w:val="21"/>
                      <w:lang w:val="en-US" w:eastAsia="zh-CN"/>
                    </w:rPr>
                    <w:t>、</w:t>
                  </w:r>
                  <w:r>
                    <w:rPr>
                      <w:rFonts w:hint="eastAsia"/>
                      <w:color w:val="auto"/>
                      <w:lang w:val="en-US" w:eastAsia="zh-CN"/>
                    </w:rPr>
                    <w:t>三线一单及《报告书》生态环境准入要求</w:t>
                  </w:r>
                  <w:r>
                    <w:rPr>
                      <w:rFonts w:hint="eastAsia" w:ascii="宋体" w:hAnsi="宋体" w:cs="宋体"/>
                      <w:color w:val="auto"/>
                      <w:kern w:val="0"/>
                      <w:sz w:val="21"/>
                      <w:szCs w:val="21"/>
                      <w:lang w:val="en-US" w:eastAsia="zh-CN"/>
                    </w:rPr>
                    <w:t>；</w:t>
                  </w:r>
                  <w:r>
                    <w:rPr>
                      <w:rFonts w:hint="eastAsia" w:ascii="宋体" w:hAnsi="宋体" w:eastAsia="宋体" w:cs="宋体"/>
                      <w:color w:val="auto"/>
                      <w:kern w:val="0"/>
                      <w:sz w:val="21"/>
                      <w:szCs w:val="21"/>
                      <w:lang w:val="en-US" w:eastAsia="zh-CN"/>
                    </w:rPr>
                    <w:t>项目不属于淮河流域禁止引进的项目，也不属于园区禁止引进的项目</w:t>
                  </w:r>
                  <w:r>
                    <w:rPr>
                      <w:rFonts w:hint="eastAsia" w:ascii="宋体" w:hAnsi="宋体" w:cs="宋体"/>
                      <w:color w:val="auto"/>
                      <w:kern w:val="0"/>
                      <w:sz w:val="21"/>
                      <w:szCs w:val="21"/>
                      <w:lang w:val="en-US" w:eastAsia="zh-CN"/>
                    </w:rPr>
                    <w:t>；本项目不涉及淘汰、限制类的工艺与设备。</w:t>
                  </w:r>
                </w:p>
              </w:tc>
              <w:tc>
                <w:tcPr>
                  <w:tcW w:w="504" w:type="dxa"/>
                  <w:vAlign w:val="center"/>
                </w:tcPr>
                <w:p w14:paraId="02C615AE">
                  <w:pPr>
                    <w:keepNext w:val="0"/>
                    <w:keepLines w:val="0"/>
                    <w:suppressLineNumbers w:val="0"/>
                    <w:spacing w:before="0" w:beforeAutospacing="0" w:after="0" w:afterAutospacing="0"/>
                    <w:ind w:left="113" w:right="113"/>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符合</w:t>
                  </w:r>
                </w:p>
              </w:tc>
            </w:tr>
            <w:tr w14:paraId="47AF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dxa"/>
                  <w:vAlign w:val="center"/>
                </w:tcPr>
                <w:p w14:paraId="5D88C244">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5</w:t>
                  </w:r>
                </w:p>
              </w:tc>
              <w:tc>
                <w:tcPr>
                  <w:tcW w:w="4888" w:type="dxa"/>
                  <w:vAlign w:val="center"/>
                </w:tcPr>
                <w:p w14:paraId="1AA7C2B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六）完善环境监测体系，加强生态环境风险防控：统筹考虑区域内污染物排放、水环境保护、环境风险防范、环境管理、规划管控防护带、区内现有居民区居住环境质量等要求，健全区域环境风险防范体系和生态安全保障体系，加强开发区内重要环境风险源的管控，完善环境风险防范应急措施。做好开发区重大环境风险源的识别与管控，确保事故废水与外环境有效隔离、及时处置。健全水、气、土、声等各环境要素的环境监控体系。在规划实施过程中，适时开展规划环境影响的跟踪评价。</w:t>
                  </w:r>
                </w:p>
              </w:tc>
              <w:tc>
                <w:tcPr>
                  <w:tcW w:w="2121" w:type="dxa"/>
                  <w:vAlign w:val="center"/>
                </w:tcPr>
                <w:p w14:paraId="184DD33A">
                  <w:pPr>
                    <w:keepNext w:val="0"/>
                    <w:keepLines w:val="0"/>
                    <w:widowControl/>
                    <w:suppressLineNumbers w:val="0"/>
                    <w:spacing w:before="0" w:beforeAutospacing="0" w:after="0" w:afterAutospacing="0"/>
                    <w:ind w:left="0" w:right="0"/>
                    <w:jc w:val="center"/>
                    <w:rPr>
                      <w:rFonts w:hint="eastAsia" w:eastAsia="宋体"/>
                      <w:color w:val="auto"/>
                      <w:sz w:val="21"/>
                      <w:szCs w:val="21"/>
                      <w:vertAlign w:val="baseline"/>
                      <w:lang w:val="en-US" w:eastAsia="zh-CN"/>
                    </w:rPr>
                  </w:pPr>
                  <w:r>
                    <w:rPr>
                      <w:rFonts w:hint="eastAsia" w:ascii="宋体" w:hAnsi="宋体" w:eastAsia="宋体" w:cs="宋体"/>
                      <w:color w:val="auto"/>
                      <w:kern w:val="0"/>
                      <w:sz w:val="21"/>
                      <w:szCs w:val="21"/>
                      <w:lang w:val="en-US" w:eastAsia="zh-CN"/>
                    </w:rPr>
                    <w:t>本项目生产过程中排放少量颗粒物、</w:t>
                  </w:r>
                  <w:r>
                    <w:rPr>
                      <w:rFonts w:hint="default" w:ascii="Times New Roman" w:hAnsi="Times New Roman" w:eastAsia="宋体" w:cs="Times New Roman"/>
                      <w:color w:val="auto"/>
                      <w:kern w:val="0"/>
                      <w:sz w:val="21"/>
                      <w:szCs w:val="21"/>
                      <w:lang w:val="en-US" w:eastAsia="zh-CN"/>
                    </w:rPr>
                    <w:t>SO</w:t>
                  </w:r>
                  <w:r>
                    <w:rPr>
                      <w:rFonts w:hint="default" w:ascii="Times New Roman" w:hAnsi="Times New Roman" w:eastAsia="宋体" w:cs="Times New Roman"/>
                      <w:color w:val="auto"/>
                      <w:kern w:val="0"/>
                      <w:sz w:val="21"/>
                      <w:szCs w:val="21"/>
                      <w:vertAlign w:val="subscript"/>
                      <w:lang w:val="en-US" w:eastAsia="zh-CN"/>
                    </w:rPr>
                    <w:t>2</w:t>
                  </w:r>
                  <w:r>
                    <w:rPr>
                      <w:rFonts w:hint="eastAsia" w:ascii="Times New Roman" w:hAnsi="Times New Roman" w:eastAsia="宋体" w:cs="Times New Roman"/>
                      <w:color w:val="auto"/>
                      <w:kern w:val="0"/>
                      <w:sz w:val="21"/>
                      <w:szCs w:val="21"/>
                      <w:vertAlign w:val="baseline"/>
                      <w:lang w:val="en-US" w:eastAsia="zh-CN"/>
                    </w:rPr>
                    <w:t>、NO</w:t>
                  </w:r>
                  <w:r>
                    <w:rPr>
                      <w:rFonts w:hint="eastAsia" w:ascii="Times New Roman" w:hAnsi="Times New Roman" w:eastAsia="宋体" w:cs="Times New Roman"/>
                      <w:color w:val="auto"/>
                      <w:kern w:val="0"/>
                      <w:sz w:val="21"/>
                      <w:szCs w:val="21"/>
                      <w:vertAlign w:val="subscript"/>
                      <w:lang w:val="en-US" w:eastAsia="zh-CN"/>
                    </w:rPr>
                    <w:t>x</w:t>
                  </w:r>
                  <w:r>
                    <w:rPr>
                      <w:rFonts w:hint="eastAsia" w:ascii="宋体" w:hAnsi="宋体" w:eastAsia="宋体" w:cs="宋体"/>
                      <w:color w:val="auto"/>
                      <w:kern w:val="0"/>
                      <w:sz w:val="21"/>
                      <w:szCs w:val="21"/>
                      <w:lang w:val="en-US" w:eastAsia="zh-CN"/>
                    </w:rPr>
                    <w:t>，项目使用电能</w:t>
                  </w:r>
                  <w:r>
                    <w:rPr>
                      <w:rFonts w:hint="eastAsia" w:ascii="宋体" w:hAnsi="宋体" w:cs="宋体"/>
                      <w:color w:val="auto"/>
                      <w:kern w:val="0"/>
                      <w:sz w:val="21"/>
                      <w:szCs w:val="21"/>
                      <w:lang w:val="en-US" w:eastAsia="zh-CN"/>
                    </w:rPr>
                    <w:t>和天然气</w:t>
                  </w:r>
                  <w:r>
                    <w:rPr>
                      <w:rFonts w:hint="eastAsia" w:ascii="宋体" w:hAnsi="宋体" w:eastAsia="宋体" w:cs="宋体"/>
                      <w:color w:val="auto"/>
                      <w:kern w:val="0"/>
                      <w:sz w:val="21"/>
                      <w:szCs w:val="21"/>
                      <w:lang w:val="en-US" w:eastAsia="zh-CN"/>
                    </w:rPr>
                    <w:t>，不使用高污染燃料。固废产生量较少，各类固废均能做到妥善处置。本项目制定自行监测计划，不涉及重大环境风险源，采取风险防范措施</w:t>
                  </w:r>
                  <w:r>
                    <w:rPr>
                      <w:rFonts w:hint="eastAsia"/>
                      <w:color w:val="auto"/>
                      <w:lang w:eastAsia="zh-CN"/>
                    </w:rPr>
                    <w:t>。</w:t>
                  </w:r>
                </w:p>
              </w:tc>
              <w:tc>
                <w:tcPr>
                  <w:tcW w:w="504" w:type="dxa"/>
                  <w:vAlign w:val="center"/>
                </w:tcPr>
                <w:p w14:paraId="4C9F2C56">
                  <w:pPr>
                    <w:keepNext w:val="0"/>
                    <w:keepLines w:val="0"/>
                    <w:suppressLineNumbers w:val="0"/>
                    <w:spacing w:before="0" w:beforeAutospacing="0" w:after="0" w:afterAutospacing="0"/>
                    <w:ind w:left="113" w:right="113"/>
                    <w:jc w:val="center"/>
                    <w:rPr>
                      <w:rFonts w:hint="default" w:eastAsia="宋体"/>
                      <w:color w:val="000000"/>
                      <w:sz w:val="21"/>
                      <w:szCs w:val="21"/>
                      <w:vertAlign w:val="baseline"/>
                      <w:lang w:val="en-US" w:eastAsia="zh-CN"/>
                    </w:rPr>
                  </w:pPr>
                  <w:r>
                    <w:rPr>
                      <w:rFonts w:hint="eastAsia"/>
                      <w:color w:val="000000"/>
                      <w:sz w:val="21"/>
                      <w:szCs w:val="21"/>
                      <w:vertAlign w:val="baseline"/>
                      <w:lang w:val="en-US" w:eastAsia="zh-CN"/>
                    </w:rPr>
                    <w:t>符合</w:t>
                  </w:r>
                </w:p>
              </w:tc>
            </w:tr>
          </w:tbl>
          <w:p w14:paraId="3CDE45EA">
            <w:pPr>
              <w:keepNext w:val="0"/>
              <w:keepLines w:val="0"/>
              <w:numPr>
                <w:ilvl w:val="0"/>
                <w:numId w:val="0"/>
              </w:numPr>
              <w:suppressLineNumbers w:val="0"/>
              <w:spacing w:before="0" w:beforeAutospacing="0" w:after="0" w:afterAutospacing="0" w:line="360" w:lineRule="auto"/>
              <w:ind w:left="0" w:right="0" w:firstLine="480" w:firstLineChars="200"/>
              <w:jc w:val="both"/>
              <w:rPr>
                <w:rFonts w:hint="default"/>
                <w:color w:val="000000"/>
                <w:sz w:val="24"/>
                <w:lang w:val="en-US" w:eastAsia="zh-CN"/>
              </w:rPr>
            </w:pPr>
            <w:r>
              <w:rPr>
                <w:rFonts w:hint="default"/>
                <w:color w:val="000000"/>
                <w:sz w:val="24"/>
              </w:rPr>
              <w:t>因此本项目建设符合</w:t>
            </w:r>
            <w:r>
              <w:rPr>
                <w:rFonts w:hint="default" w:ascii="Times New Roman" w:hAnsi="Times New Roman" w:eastAsia="宋体" w:cs="Times New Roman"/>
                <w:color w:val="000000"/>
                <w:kern w:val="0"/>
                <w:sz w:val="24"/>
                <w:szCs w:val="24"/>
                <w:lang w:val="en-US" w:eastAsia="zh-CN"/>
              </w:rPr>
              <w:t>安徽宿州高新技术产业开发区总体发展规划（2023-2035年）环境影响报告书</w:t>
            </w:r>
            <w:r>
              <w:rPr>
                <w:rFonts w:hint="default"/>
                <w:color w:val="000000"/>
                <w:sz w:val="24"/>
              </w:rPr>
              <w:t>要求，选址合理。</w:t>
            </w:r>
          </w:p>
        </w:tc>
      </w:tr>
      <w:tr w14:paraId="35AFE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8" w:type="dxa"/>
            <w:vAlign w:val="center"/>
          </w:tcPr>
          <w:p w14:paraId="2FE1BF39">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其他符合性分析</w:t>
            </w:r>
          </w:p>
        </w:tc>
        <w:tc>
          <w:tcPr>
            <w:tcW w:w="7828" w:type="dxa"/>
            <w:gridSpan w:val="3"/>
            <w:vAlign w:val="center"/>
          </w:tcPr>
          <w:p w14:paraId="071F5C88">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1、产业政策符合性分析</w:t>
            </w:r>
          </w:p>
          <w:p w14:paraId="3AB6CAE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根据《国民经济行业分</w:t>
            </w:r>
            <w:r>
              <w:rPr>
                <w:rFonts w:hint="default" w:ascii="Times New Roman" w:hAnsi="Times New Roman" w:eastAsia="宋体" w:cs="Times New Roman"/>
                <w:color w:val="auto"/>
                <w:sz w:val="24"/>
                <w:szCs w:val="24"/>
                <w:lang w:val="en-US" w:eastAsia="zh-CN"/>
              </w:rPr>
              <w:t>类》（GB</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T 4754-2017）2019修改版，本项目属于C1421糖果、巧克力制造；C1491营养食品制造；C1524含乳饮料和植物蛋白饮料制造；C1525固体饮料制造。根据《产业结构调整指导目录（2024年本）》，</w:t>
            </w: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不属于鼓励类和限</w:t>
            </w:r>
            <w:r>
              <w:rPr>
                <w:rFonts w:hint="default" w:ascii="Times New Roman" w:hAnsi="Times New Roman" w:eastAsia="宋体" w:cs="Times New Roman"/>
                <w:sz w:val="24"/>
                <w:szCs w:val="24"/>
                <w:lang w:val="en-US" w:eastAsia="zh-CN"/>
              </w:rPr>
              <w:t>制类，属于允许类，因此，项目建设符合国家产业政策要求。</w:t>
            </w:r>
          </w:p>
          <w:p w14:paraId="0D02E89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此外，该项目已于2025年</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月2</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日经宿州市高新技术</w:t>
            </w:r>
            <w:r>
              <w:rPr>
                <w:rFonts w:hint="eastAsia" w:cs="Times New Roman"/>
                <w:sz w:val="24"/>
                <w:szCs w:val="24"/>
                <w:lang w:val="en-US" w:eastAsia="zh-CN"/>
              </w:rPr>
              <w:t>产业</w:t>
            </w:r>
            <w:r>
              <w:rPr>
                <w:rFonts w:hint="default" w:ascii="Times New Roman" w:hAnsi="Times New Roman" w:eastAsia="宋体" w:cs="Times New Roman"/>
                <w:sz w:val="24"/>
                <w:szCs w:val="24"/>
                <w:lang w:val="en-US" w:eastAsia="zh-CN"/>
              </w:rPr>
              <w:t>开发区经济与科技局备案，项目代码为2511-341367-04-02-198414。因此，本项目的建设</w:t>
            </w:r>
            <w:r>
              <w:rPr>
                <w:rFonts w:hint="eastAsia" w:ascii="Times New Roman" w:hAnsi="Times New Roman" w:eastAsia="宋体" w:cs="Times New Roman"/>
                <w:sz w:val="24"/>
                <w:szCs w:val="24"/>
                <w:lang w:val="en-US" w:eastAsia="zh-CN"/>
              </w:rPr>
              <w:t>符合国家和地方</w:t>
            </w:r>
            <w:r>
              <w:rPr>
                <w:rFonts w:hint="default" w:ascii="Times New Roman" w:hAnsi="Times New Roman" w:eastAsia="宋体" w:cs="Times New Roman"/>
                <w:sz w:val="24"/>
                <w:szCs w:val="24"/>
                <w:lang w:val="en-US" w:eastAsia="zh-CN"/>
              </w:rPr>
              <w:t>的相关产业政策要求。</w:t>
            </w:r>
          </w:p>
          <w:p w14:paraId="3A4D8D6B">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2、选址环境相容性分析</w:t>
            </w:r>
          </w:p>
          <w:p w14:paraId="3BF43A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①规划合理性分析</w:t>
            </w:r>
          </w:p>
          <w:p w14:paraId="59AE116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本项目建设地点位于宿州市高新技术开发区北</w:t>
            </w: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lang w:val="en-US" w:eastAsia="zh-CN"/>
              </w:rPr>
              <w:t>环以南，屏山西路以东，引河路以北，泗山路以西</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本项目选址用地性质属于工业用地</w:t>
            </w:r>
            <w:r>
              <w:rPr>
                <w:rFonts w:hint="eastAsia" w:cs="Times New Roman"/>
                <w:sz w:val="24"/>
                <w:szCs w:val="24"/>
                <w:lang w:val="en-US" w:eastAsia="zh-CN"/>
              </w:rPr>
              <w:t>，符合规划，具体见附图2</w:t>
            </w:r>
            <w:r>
              <w:rPr>
                <w:rFonts w:hint="default" w:ascii="Times New Roman" w:hAnsi="Times New Roman" w:eastAsia="宋体" w:cs="Times New Roman"/>
                <w:sz w:val="24"/>
                <w:szCs w:val="24"/>
                <w:lang w:val="en-US" w:eastAsia="zh-CN"/>
              </w:rPr>
              <w:t>。项目的建设未改变其用地性质，不涉及新增用地。</w:t>
            </w:r>
          </w:p>
          <w:p w14:paraId="0DE8064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②选址合理性分析</w:t>
            </w:r>
          </w:p>
          <w:p w14:paraId="538370D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本项目位于安徽省宿州市高新技术开发区北三环以南，屏山西路以东，引河路以北，泗山路以西；根据《安徽宿州高新技术产业开发区总体发展规划（2023-2035年）》，宿州市高新技术产业开发区主导产业为电子信息技术、新能</w:t>
            </w:r>
            <w:r>
              <w:rPr>
                <w:rFonts w:hint="default" w:ascii="Times New Roman" w:hAnsi="Times New Roman" w:eastAsia="宋体" w:cs="Times New Roman"/>
                <w:color w:val="auto"/>
                <w:sz w:val="24"/>
                <w:szCs w:val="24"/>
                <w:lang w:val="en-US" w:eastAsia="zh-CN"/>
              </w:rPr>
              <w:t>源系材料、生物医药、创意文化和高新技术服务业。本项目</w:t>
            </w:r>
            <w:r>
              <w:rPr>
                <w:rFonts w:hint="eastAsia" w:ascii="Times New Roman" w:hAnsi="Times New Roman" w:eastAsia="宋体" w:cs="Times New Roman"/>
                <w:color w:val="auto"/>
                <w:sz w:val="24"/>
                <w:szCs w:val="24"/>
                <w:lang w:val="en-US" w:eastAsia="zh-CN"/>
              </w:rPr>
              <w:t>为食品制造业</w:t>
            </w:r>
            <w:r>
              <w:rPr>
                <w:rFonts w:hint="default" w:ascii="Times New Roman" w:hAnsi="Times New Roman" w:eastAsia="宋体" w:cs="Times New Roman"/>
                <w:color w:val="auto"/>
                <w:sz w:val="24"/>
                <w:szCs w:val="24"/>
                <w:lang w:val="en-US" w:eastAsia="zh-CN"/>
              </w:rPr>
              <w:t>，不属于园</w:t>
            </w:r>
            <w:r>
              <w:rPr>
                <w:rFonts w:hint="default" w:cs="Times New Roman"/>
                <w:color w:val="auto"/>
                <w:sz w:val="24"/>
                <w:szCs w:val="24"/>
                <w:lang w:val="en-US" w:eastAsia="zh-CN"/>
              </w:rPr>
              <w:t>区</w:t>
            </w:r>
            <w:r>
              <w:rPr>
                <w:rFonts w:hint="eastAsia" w:cs="Times New Roman"/>
                <w:color w:val="auto"/>
                <w:sz w:val="24"/>
                <w:szCs w:val="24"/>
                <w:lang w:val="en-US" w:eastAsia="zh-CN"/>
              </w:rPr>
              <w:t>限制</w:t>
            </w:r>
            <w:r>
              <w:rPr>
                <w:rFonts w:hint="default" w:cs="Times New Roman"/>
                <w:color w:val="auto"/>
                <w:sz w:val="24"/>
                <w:szCs w:val="24"/>
                <w:lang w:val="en-US" w:eastAsia="zh-CN"/>
              </w:rPr>
              <w:t>类、禁止类</w:t>
            </w:r>
            <w:r>
              <w:rPr>
                <w:rFonts w:hint="default" w:ascii="Times New Roman" w:hAnsi="Times New Roman" w:eastAsia="宋体" w:cs="Times New Roman"/>
                <w:color w:val="auto"/>
                <w:sz w:val="24"/>
                <w:szCs w:val="24"/>
                <w:lang w:val="en-US" w:eastAsia="zh-CN"/>
              </w:rPr>
              <w:t>行业，可视为允许入驻项目。因此，本项目选址符合宿州市高新技术产业开发区总体发展规划。</w:t>
            </w:r>
          </w:p>
          <w:p w14:paraId="36088EB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根据《食品安全国家标准 食品生产通用卫生规范》（GB 14881-2025），项目厂区不属于对食品有显著污染的区域；项目区各类污染物处理后达标排放，不属于有毒、有害物质及粉尘、有害气体、放射性物质或其他扩散性污染源不能有效清除的地址；根据《安徽宿州高新技术产业开发区总体发展规划（2023-2035年）环境影响报告书》，区域大气环境特征因子现状监测结果均能够达到相应标准要求，周边企业对本项目的影响较小。此外，项目区不易发生洪涝灾害；厂区周围无存在虫害大量孳生潜在风险的场所。因此项目选址满足《食品安全国家标准 食品生产通用卫生规范》（GB 14881-2025）的要求。</w:t>
            </w:r>
          </w:p>
          <w:p w14:paraId="0494099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③环境相容性分析</w:t>
            </w:r>
          </w:p>
          <w:p w14:paraId="1504D89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本项目位于安徽省宿州市高新技术开发区北三环以南，屏山路以东，引河路以北，泗山路以西。根据现场踏勘，项目东侧隔泗山路为</w:t>
            </w:r>
            <w:r>
              <w:rPr>
                <w:rFonts w:hint="eastAsia" w:ascii="Times New Roman" w:hAnsi="Times New Roman" w:eastAsia="宋体" w:cs="Times New Roman"/>
                <w:sz w:val="24"/>
                <w:szCs w:val="24"/>
                <w:lang w:val="en-US" w:eastAsia="zh-CN"/>
              </w:rPr>
              <w:t>宿州</w:t>
            </w:r>
            <w:r>
              <w:rPr>
                <w:rFonts w:hint="default" w:ascii="Times New Roman" w:hAnsi="Times New Roman" w:eastAsia="宋体" w:cs="Times New Roman"/>
                <w:sz w:val="24"/>
                <w:szCs w:val="24"/>
                <w:lang w:val="en-US" w:eastAsia="zh-CN"/>
              </w:rPr>
              <w:t>左右家私家具有限公司，西侧</w:t>
            </w:r>
            <w:r>
              <w:rPr>
                <w:rFonts w:hint="eastAsia" w:ascii="Times New Roman" w:hAnsi="Times New Roman" w:eastAsia="宋体" w:cs="Times New Roman"/>
                <w:sz w:val="24"/>
                <w:szCs w:val="24"/>
                <w:lang w:val="en-US" w:eastAsia="zh-CN"/>
              </w:rPr>
              <w:t>隔</w:t>
            </w:r>
            <w:r>
              <w:rPr>
                <w:rFonts w:hint="default" w:ascii="Times New Roman" w:hAnsi="Times New Roman" w:eastAsia="宋体" w:cs="Times New Roman"/>
                <w:sz w:val="24"/>
                <w:szCs w:val="24"/>
                <w:lang w:val="en-US" w:eastAsia="zh-CN"/>
              </w:rPr>
              <w:t>屏山路</w:t>
            </w:r>
            <w:r>
              <w:rPr>
                <w:rFonts w:hint="eastAsia" w:ascii="Times New Roman" w:hAnsi="Times New Roman" w:eastAsia="宋体" w:cs="Times New Roman"/>
                <w:sz w:val="24"/>
                <w:szCs w:val="24"/>
                <w:lang w:val="en-US" w:eastAsia="zh-CN"/>
              </w:rPr>
              <w:t>为北十里村</w:t>
            </w:r>
            <w:r>
              <w:rPr>
                <w:rFonts w:hint="default" w:ascii="Times New Roman" w:hAnsi="Times New Roman" w:eastAsia="宋体" w:cs="Times New Roman"/>
                <w:sz w:val="24"/>
                <w:szCs w:val="24"/>
                <w:lang w:val="en-US" w:eastAsia="zh-CN"/>
              </w:rPr>
              <w:t>，南侧为</w:t>
            </w:r>
            <w:r>
              <w:rPr>
                <w:rFonts w:hint="eastAsia" w:ascii="Times New Roman" w:hAnsi="Times New Roman" w:eastAsia="宋体" w:cs="Times New Roman"/>
                <w:sz w:val="24"/>
                <w:szCs w:val="24"/>
                <w:lang w:val="en-US" w:eastAsia="zh-CN"/>
              </w:rPr>
              <w:t>杭宿智能制造基地</w:t>
            </w:r>
            <w:r>
              <w:rPr>
                <w:rFonts w:hint="default" w:ascii="Times New Roman" w:hAnsi="Times New Roman" w:eastAsia="宋体" w:cs="Times New Roman"/>
                <w:sz w:val="24"/>
                <w:szCs w:val="24"/>
                <w:lang w:val="en-US" w:eastAsia="zh-CN"/>
              </w:rPr>
              <w:t>，北侧</w:t>
            </w:r>
            <w:r>
              <w:rPr>
                <w:rFonts w:hint="eastAsia" w:ascii="Times New Roman" w:hAnsi="Times New Roman" w:eastAsia="宋体" w:cs="Times New Roman"/>
                <w:sz w:val="24"/>
                <w:szCs w:val="24"/>
                <w:lang w:val="en-US" w:eastAsia="zh-CN"/>
              </w:rPr>
              <w:t>隔</w:t>
            </w:r>
            <w:r>
              <w:rPr>
                <w:rFonts w:hint="default" w:ascii="Times New Roman" w:hAnsi="Times New Roman" w:eastAsia="宋体" w:cs="Times New Roman"/>
                <w:sz w:val="24"/>
                <w:szCs w:val="24"/>
                <w:lang w:val="en-US" w:eastAsia="zh-CN"/>
              </w:rPr>
              <w:t>北三环路</w:t>
            </w:r>
            <w:r>
              <w:rPr>
                <w:rFonts w:hint="eastAsia" w:ascii="Times New Roman" w:hAnsi="Times New Roman" w:eastAsia="宋体" w:cs="Times New Roman"/>
                <w:sz w:val="24"/>
                <w:szCs w:val="24"/>
                <w:lang w:val="en-US" w:eastAsia="zh-CN"/>
              </w:rPr>
              <w:t>为</w:t>
            </w:r>
            <w:r>
              <w:rPr>
                <w:rFonts w:hint="default" w:ascii="Times New Roman" w:hAnsi="Times New Roman" w:eastAsia="宋体" w:cs="Times New Roman"/>
                <w:sz w:val="24"/>
                <w:szCs w:val="24"/>
                <w:lang w:val="en-US" w:eastAsia="zh-CN"/>
              </w:rPr>
              <w:t>空地</w:t>
            </w:r>
            <w:r>
              <w:rPr>
                <w:rFonts w:hint="eastAsia" w:ascii="Times New Roman" w:hAnsi="Times New Roman" w:eastAsia="宋体" w:cs="Times New Roman"/>
                <w:sz w:val="24"/>
                <w:szCs w:val="24"/>
                <w:lang w:val="en-US" w:eastAsia="zh-CN"/>
              </w:rPr>
              <w:t>，项目周边概况图见附图3。</w:t>
            </w:r>
            <w:r>
              <w:rPr>
                <w:rFonts w:hint="default" w:ascii="Times New Roman" w:hAnsi="Times New Roman" w:eastAsia="宋体" w:cs="Times New Roman"/>
                <w:sz w:val="24"/>
                <w:szCs w:val="24"/>
                <w:lang w:val="en-US" w:eastAsia="zh-CN"/>
              </w:rPr>
              <w:t>因此，本项目与周围环境相容，项目选址合理。</w:t>
            </w:r>
          </w:p>
          <w:p w14:paraId="031A2B30">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3、项目“三线一单”符合性分析</w:t>
            </w:r>
          </w:p>
          <w:p w14:paraId="2A21847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“三线一单”是指生态保护红线、环境质量底线、资源利用上线和生态环境准入清单。</w:t>
            </w:r>
          </w:p>
          <w:p w14:paraId="421F24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lang w:val="en-US" w:eastAsia="zh-CN"/>
              </w:rPr>
            </w:pPr>
            <w:r>
              <w:rPr>
                <w:rFonts w:hint="default" w:ascii="Times New Roman" w:hAnsi="Times New Roman" w:eastAsia="宋体" w:cs="Times New Roman"/>
                <w:kern w:val="0"/>
                <w:sz w:val="24"/>
                <w:lang w:val="en-US" w:eastAsia="zh-CN"/>
              </w:rPr>
              <w:t>1、生态保护红线</w:t>
            </w:r>
            <w:r>
              <w:rPr>
                <w:rFonts w:hint="default" w:ascii="Times New Roman" w:hAnsi="Times New Roman" w:eastAsia="宋体" w:cs="Times New Roman"/>
                <w:color w:val="auto"/>
                <w:sz w:val="24"/>
              </w:rPr>
              <w:t>及分区管控</w:t>
            </w:r>
          </w:p>
          <w:p w14:paraId="05ABA86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根据《宿州市</w:t>
            </w:r>
            <w:r>
              <w:rPr>
                <w:rFonts w:hint="default" w:ascii="Times New Roman" w:hAnsi="Times New Roman" w:eastAsia="宋体" w:cs="Times New Roman"/>
                <w:color w:val="auto"/>
                <w:sz w:val="24"/>
                <w:lang w:val="en-US" w:eastAsia="zh-CN"/>
              </w:rPr>
              <w:t>生态环境分区管控</w:t>
            </w:r>
            <w:r>
              <w:rPr>
                <w:rFonts w:hint="default" w:ascii="Times New Roman" w:hAnsi="Times New Roman" w:eastAsia="宋体" w:cs="Times New Roman"/>
                <w:color w:val="auto"/>
                <w:sz w:val="24"/>
              </w:rPr>
              <w:t>编制文本》，宿州市的生态保护红线主要分布在以下片区，具体见下表。</w:t>
            </w:r>
          </w:p>
          <w:p w14:paraId="510D2FB1">
            <w:pPr>
              <w:keepNext w:val="0"/>
              <w:keepLines w:val="0"/>
              <w:numPr>
                <w:ilvl w:val="0"/>
                <w:numId w:val="4"/>
              </w:numPr>
              <w:suppressLineNumbers w:val="0"/>
              <w:spacing w:before="0" w:beforeAutospacing="0" w:after="0" w:afterAutospacing="0"/>
              <w:ind w:left="0" w:right="0" w:firstLine="0"/>
              <w:jc w:val="center"/>
              <w:rPr>
                <w:rFonts w:hint="default" w:ascii="Times New Roman" w:hAnsi="Times New Roman" w:eastAsia="宋体" w:cs="Times New Roman"/>
                <w:color w:val="auto"/>
                <w:szCs w:val="22"/>
              </w:rPr>
            </w:pPr>
            <w:r>
              <w:rPr>
                <w:rFonts w:hint="default" w:ascii="Times New Roman" w:hAnsi="Times New Roman" w:eastAsia="宋体" w:cs="Times New Roman"/>
                <w:b/>
                <w:color w:val="auto"/>
                <w:sz w:val="24"/>
              </w:rPr>
              <w:t>宿州市生态保护红线登记表</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156"/>
              <w:gridCol w:w="1142"/>
              <w:gridCol w:w="3007"/>
              <w:gridCol w:w="766"/>
              <w:gridCol w:w="710"/>
            </w:tblGrid>
            <w:tr w14:paraId="7F7E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Align w:val="center"/>
                </w:tcPr>
                <w:p w14:paraId="5873AC37">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类型</w:t>
                  </w:r>
                </w:p>
              </w:tc>
              <w:tc>
                <w:tcPr>
                  <w:tcW w:w="760" w:type="pct"/>
                  <w:vAlign w:val="center"/>
                </w:tcPr>
                <w:p w14:paraId="69B284D2">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名称</w:t>
                  </w:r>
                </w:p>
              </w:tc>
              <w:tc>
                <w:tcPr>
                  <w:tcW w:w="751" w:type="pct"/>
                  <w:vAlign w:val="center"/>
                </w:tcPr>
                <w:p w14:paraId="7569B8F1">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生态系统</w:t>
                  </w:r>
                </w:p>
                <w:p w14:paraId="0A732F7E">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特征</w:t>
                  </w:r>
                </w:p>
              </w:tc>
              <w:tc>
                <w:tcPr>
                  <w:tcW w:w="1978" w:type="pct"/>
                  <w:vAlign w:val="center"/>
                </w:tcPr>
                <w:p w14:paraId="0AF98745">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保护地名录</w:t>
                  </w:r>
                </w:p>
              </w:tc>
              <w:tc>
                <w:tcPr>
                  <w:tcW w:w="504" w:type="pct"/>
                  <w:vAlign w:val="center"/>
                </w:tcPr>
                <w:p w14:paraId="5D493600">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所属</w:t>
                  </w:r>
                </w:p>
                <w:p w14:paraId="1E903D92">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行政区</w:t>
                  </w:r>
                </w:p>
              </w:tc>
              <w:tc>
                <w:tcPr>
                  <w:tcW w:w="467" w:type="pct"/>
                  <w:vAlign w:val="center"/>
                </w:tcPr>
                <w:p w14:paraId="3A45F9A4">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面积</w:t>
                  </w:r>
                </w:p>
                <w:p w14:paraId="796F8A68">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/km</w:t>
                  </w:r>
                  <w:r>
                    <w:rPr>
                      <w:rFonts w:hint="default" w:ascii="Times New Roman" w:hAnsi="Times New Roman" w:eastAsia="宋体" w:cs="Times New Roman"/>
                      <w:bCs/>
                      <w:color w:val="auto"/>
                      <w:szCs w:val="21"/>
                      <w:vertAlign w:val="superscript"/>
                    </w:rPr>
                    <w:t>2</w:t>
                  </w:r>
                </w:p>
              </w:tc>
            </w:tr>
            <w:tr w14:paraId="5DE4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restart"/>
                  <w:vAlign w:val="center"/>
                </w:tcPr>
                <w:p w14:paraId="2FF5DF8E">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Ⅱ水土保持生态保护红线</w:t>
                  </w:r>
                </w:p>
              </w:tc>
              <w:tc>
                <w:tcPr>
                  <w:tcW w:w="760" w:type="pct"/>
                  <w:vMerge w:val="restart"/>
                  <w:vAlign w:val="center"/>
                </w:tcPr>
                <w:p w14:paraId="0DCCFC6F">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Ⅱ-1淮北河间平原农产品提供及水土保持生态保护红线</w:t>
                  </w:r>
                </w:p>
              </w:tc>
              <w:tc>
                <w:tcPr>
                  <w:tcW w:w="751" w:type="pct"/>
                  <w:vMerge w:val="restart"/>
                  <w:vAlign w:val="center"/>
                </w:tcPr>
                <w:p w14:paraId="61246E0E">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暖温带落叶阔叶林带</w:t>
                  </w:r>
                </w:p>
              </w:tc>
              <w:tc>
                <w:tcPr>
                  <w:tcW w:w="1978" w:type="pct"/>
                  <w:vMerge w:val="restart"/>
                  <w:vAlign w:val="center"/>
                </w:tcPr>
                <w:p w14:paraId="54361E5C">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宿州大方寺省级自然保护区、泗县沱河省级自然保护区、泗县新汴河省级湿地自然公园、安徽灵璧磬云山国家地质自然公园、泗县沱河省级自然保护区、安徽泗县石龙湖国家湿地公园</w:t>
                  </w:r>
                </w:p>
              </w:tc>
              <w:tc>
                <w:tcPr>
                  <w:tcW w:w="504" w:type="pct"/>
                  <w:vAlign w:val="center"/>
                </w:tcPr>
                <w:p w14:paraId="01B4CED8">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灵璧县</w:t>
                  </w:r>
                </w:p>
              </w:tc>
              <w:tc>
                <w:tcPr>
                  <w:tcW w:w="467" w:type="pct"/>
                  <w:vAlign w:val="center"/>
                </w:tcPr>
                <w:p w14:paraId="5476C8E7">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8.2</w:t>
                  </w:r>
                </w:p>
              </w:tc>
            </w:tr>
            <w:tr w14:paraId="3622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11AC7C4B">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760" w:type="pct"/>
                  <w:vMerge w:val="continue"/>
                  <w:vAlign w:val="center"/>
                </w:tcPr>
                <w:p w14:paraId="139A4F9C">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751" w:type="pct"/>
                  <w:vMerge w:val="continue"/>
                  <w:vAlign w:val="center"/>
                </w:tcPr>
                <w:p w14:paraId="63D1A94B">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1978" w:type="pct"/>
                  <w:vMerge w:val="continue"/>
                  <w:vAlign w:val="center"/>
                </w:tcPr>
                <w:p w14:paraId="152B6197">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504" w:type="pct"/>
                  <w:vAlign w:val="center"/>
                </w:tcPr>
                <w:p w14:paraId="1EDE74F0">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泗县</w:t>
                  </w:r>
                </w:p>
              </w:tc>
              <w:tc>
                <w:tcPr>
                  <w:tcW w:w="467" w:type="pct"/>
                  <w:vAlign w:val="center"/>
                </w:tcPr>
                <w:p w14:paraId="5D5FD764">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28.82</w:t>
                  </w:r>
                </w:p>
              </w:tc>
            </w:tr>
            <w:tr w14:paraId="1A75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678AFC16">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760" w:type="pct"/>
                  <w:vMerge w:val="continue"/>
                  <w:vAlign w:val="center"/>
                </w:tcPr>
                <w:p w14:paraId="16013A82">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751" w:type="pct"/>
                  <w:vMerge w:val="continue"/>
                  <w:vAlign w:val="center"/>
                </w:tcPr>
                <w:p w14:paraId="180A63B7">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1978" w:type="pct"/>
                  <w:vMerge w:val="continue"/>
                  <w:vAlign w:val="center"/>
                </w:tcPr>
                <w:p w14:paraId="3FF0BA46">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504" w:type="pct"/>
                  <w:vAlign w:val="center"/>
                </w:tcPr>
                <w:p w14:paraId="4AAB4669">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埇桥区</w:t>
                  </w:r>
                </w:p>
              </w:tc>
              <w:tc>
                <w:tcPr>
                  <w:tcW w:w="467" w:type="pct"/>
                  <w:vAlign w:val="center"/>
                </w:tcPr>
                <w:p w14:paraId="19E7614D">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65.24</w:t>
                  </w:r>
                </w:p>
              </w:tc>
            </w:tr>
            <w:tr w14:paraId="418E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37" w:type="pct"/>
                  <w:vMerge w:val="restart"/>
                  <w:vAlign w:val="center"/>
                </w:tcPr>
                <w:p w14:paraId="4EB3DC2D">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Ⅲ生物多样性维护生态保护红线</w:t>
                  </w:r>
                </w:p>
              </w:tc>
              <w:tc>
                <w:tcPr>
                  <w:tcW w:w="760" w:type="pct"/>
                  <w:vMerge w:val="restart"/>
                  <w:vAlign w:val="center"/>
                </w:tcPr>
                <w:p w14:paraId="5E36D78D">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Ⅲ-1淮北平原北部生物多样性维护及水土保持生态保护红线</w:t>
                  </w:r>
                </w:p>
              </w:tc>
              <w:tc>
                <w:tcPr>
                  <w:tcW w:w="751" w:type="pct"/>
                  <w:vMerge w:val="restart"/>
                  <w:vAlign w:val="center"/>
                </w:tcPr>
                <w:p w14:paraId="317D820B">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暖温带落叶阔叶林带</w:t>
                  </w:r>
                </w:p>
              </w:tc>
              <w:tc>
                <w:tcPr>
                  <w:tcW w:w="1978" w:type="pct"/>
                  <w:vMerge w:val="restart"/>
                  <w:vAlign w:val="center"/>
                </w:tcPr>
                <w:p w14:paraId="70A9CDB1">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 xml:space="preserve">安徽砀山酥梨种质资源森林公 </w:t>
                  </w:r>
                </w:p>
                <w:p w14:paraId="511B6C65">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园、砀山县黄河故道省级自然保护区、安徽相山国家森林自然公园、安徽萧县皇藏峪省级自然保护区、安徽萧县黄河故道省级自然保护区、梅山省级森林自然公园、宿州大方寺省级自然保护区、萧县凤山省级森林自然公园、萧县永堌省级森林自然公园</w:t>
                  </w:r>
                </w:p>
              </w:tc>
              <w:tc>
                <w:tcPr>
                  <w:tcW w:w="504" w:type="pct"/>
                  <w:vAlign w:val="center"/>
                </w:tcPr>
                <w:p w14:paraId="79BAF993">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砀山县</w:t>
                  </w:r>
                </w:p>
              </w:tc>
              <w:tc>
                <w:tcPr>
                  <w:tcW w:w="467" w:type="pct"/>
                  <w:vAlign w:val="center"/>
                </w:tcPr>
                <w:p w14:paraId="142BC000">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113.87</w:t>
                  </w:r>
                </w:p>
              </w:tc>
            </w:tr>
            <w:tr w14:paraId="2F5E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05524549">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760" w:type="pct"/>
                  <w:vMerge w:val="continue"/>
                  <w:vAlign w:val="center"/>
                </w:tcPr>
                <w:p w14:paraId="13EBC51D">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751" w:type="pct"/>
                  <w:vMerge w:val="continue"/>
                  <w:vAlign w:val="center"/>
                </w:tcPr>
                <w:p w14:paraId="450B870C">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1978" w:type="pct"/>
                  <w:vMerge w:val="continue"/>
                  <w:vAlign w:val="center"/>
                </w:tcPr>
                <w:p w14:paraId="0BEB3D1A">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504" w:type="pct"/>
                  <w:vAlign w:val="center"/>
                </w:tcPr>
                <w:p w14:paraId="6B9767D9">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萧县</w:t>
                  </w:r>
                </w:p>
              </w:tc>
              <w:tc>
                <w:tcPr>
                  <w:tcW w:w="467" w:type="pct"/>
                  <w:vAlign w:val="center"/>
                </w:tcPr>
                <w:p w14:paraId="34DCC471">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w:t>
                  </w:r>
                  <w:r>
                    <w:rPr>
                      <w:rFonts w:hint="default" w:ascii="Times New Roman" w:hAnsi="Times New Roman" w:eastAsia="宋体" w:cs="Times New Roman"/>
                      <w:color w:val="auto"/>
                      <w:szCs w:val="21"/>
                      <w:lang w:val="en-US" w:eastAsia="zh-CN"/>
                    </w:rPr>
                    <w:t>03.45</w:t>
                  </w:r>
                </w:p>
              </w:tc>
            </w:tr>
          </w:tbl>
          <w:p w14:paraId="41A05F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color w:val="auto"/>
                <w:sz w:val="24"/>
                <w:lang w:val="en-US" w:eastAsia="zh-CN"/>
              </w:rPr>
              <w:t>本项目位于</w:t>
            </w:r>
            <w:r>
              <w:rPr>
                <w:rFonts w:hint="default" w:ascii="Times New Roman" w:hAnsi="Times New Roman" w:eastAsia="宋体" w:cs="Times New Roman"/>
                <w:kern w:val="0"/>
                <w:sz w:val="24"/>
                <w:lang w:val="en-US" w:eastAsia="zh-CN"/>
              </w:rPr>
              <w:t>宿州市高新技术开发区北三环泗山路数字星空8号厂房</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根据宿州市生态保护红线区域，项目不在生态保护红线区域范围内（</w:t>
            </w:r>
            <w:r>
              <w:rPr>
                <w:rFonts w:hint="default" w:ascii="Times New Roman" w:hAnsi="Times New Roman" w:eastAsia="宋体" w:cs="Times New Roman"/>
                <w:color w:val="auto"/>
                <w:sz w:val="24"/>
                <w:lang w:val="en-US" w:eastAsia="zh-CN"/>
              </w:rPr>
              <w:t>详见附图</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sz w:val="24"/>
                <w:lang w:val="en-US" w:eastAsia="zh-CN"/>
              </w:rPr>
              <w:t>）。根据《自然生态空间用途管制办法（试行）》管控要求：生态保护红线外的一般生态空间，原则上按限制开发区域的要求进行管理。按照生态空间用途分区，依法制定区域准入条件，明确允许、限制、禁止的产业和项目类型清单，根据空间规划确定的开发强度，提出城乡建设、工农业生产、矿产开发、旅游康体等活动的规模、强度、布局和环境保护等方面的要求，由同级人民政府予以公示。根据上文分析，本项目选址合理，符合相关政策要求，能够满足管控要求。</w:t>
            </w:r>
          </w:p>
          <w:p w14:paraId="413F1A89">
            <w:pPr>
              <w:keepNext w:val="0"/>
              <w:keepLines w:val="0"/>
              <w:pageBreakBefore w:val="0"/>
              <w:widowControl w:val="0"/>
              <w:numPr>
                <w:ilvl w:val="0"/>
                <w:numId w:val="6"/>
              </w:numPr>
              <w:suppressLineNumbers w:val="0"/>
              <w:kinsoku/>
              <w:wordWrap/>
              <w:overflowPunct/>
              <w:topLinePunct w:val="0"/>
              <w:autoSpaceDE w:val="0"/>
              <w:autoSpaceDN w:val="0"/>
              <w:bidi w:val="0"/>
              <w:adjustRightInd w:val="0"/>
              <w:snapToGrid w:val="0"/>
              <w:spacing w:before="0" w:beforeAutospacing="0" w:after="0" w:afterAutospacing="0" w:line="360" w:lineRule="auto"/>
              <w:ind w:left="-60" w:leftChars="0" w:right="0" w:firstLine="480" w:firstLineChars="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环境质量底线及分区管控</w:t>
            </w:r>
          </w:p>
          <w:p w14:paraId="26DDD6A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项目在宿州市环境管控单元图中位置见附图</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，所在位置属于</w:t>
            </w:r>
            <w:r>
              <w:rPr>
                <w:rFonts w:hint="default" w:ascii="Times New Roman" w:hAnsi="Times New Roman" w:eastAsia="宋体" w:cs="Times New Roman"/>
                <w:color w:val="auto"/>
                <w:sz w:val="24"/>
                <w:lang w:eastAsia="zh-CN"/>
              </w:rPr>
              <w:t>重点</w:t>
            </w:r>
            <w:r>
              <w:rPr>
                <w:rFonts w:hint="default" w:ascii="Times New Roman" w:hAnsi="Times New Roman" w:eastAsia="宋体" w:cs="Times New Roman"/>
                <w:color w:val="auto"/>
                <w:sz w:val="24"/>
              </w:rPr>
              <w:t>管控单</w:t>
            </w:r>
            <w:r>
              <w:rPr>
                <w:rFonts w:hint="default" w:ascii="Times New Roman" w:hAnsi="Times New Roman" w:eastAsia="宋体" w:cs="Times New Roman"/>
                <w:color w:val="auto"/>
                <w:sz w:val="24"/>
                <w:highlight w:val="none"/>
              </w:rPr>
              <w:t>元</w:t>
            </w:r>
            <w:r>
              <w:rPr>
                <w:rFonts w:hint="default" w:ascii="Times New Roman" w:hAnsi="Times New Roman" w:eastAsia="宋体" w:cs="Times New Roman"/>
                <w:color w:val="auto"/>
                <w:sz w:val="24"/>
                <w:highlight w:val="none"/>
                <w:lang w:eastAsia="zh-CN"/>
              </w:rPr>
              <w:t>（环境管控单元编码：ZH34130220013）</w:t>
            </w:r>
            <w:r>
              <w:rPr>
                <w:rFonts w:hint="default" w:ascii="Times New Roman" w:hAnsi="Times New Roman" w:eastAsia="宋体" w:cs="Times New Roman"/>
                <w:color w:val="auto"/>
                <w:sz w:val="24"/>
              </w:rPr>
              <w:t>。具体分析如下。</w:t>
            </w:r>
          </w:p>
          <w:p w14:paraId="7EC12D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lang w:val="en-US" w:eastAsia="zh-CN"/>
              </w:rPr>
              <w:t>环境空气</w:t>
            </w:r>
          </w:p>
          <w:p w14:paraId="680AE3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宿州市生态环境分区管控编制文本》，本项目所在地为受体敏感重点管控区。大气环境一般管控区要求如下：落实《安徽省大气污染防治条例》《安徽省碳达峰实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宿州市“十四五”节能减排实施方案》严格目标实施计划，加强环境监管，促进生态环境质量好转；新建、改建和扩建项目大气污染物实施“倍量替代”，执行特别排放标准的行业实施提标升级改造。</w:t>
            </w:r>
          </w:p>
          <w:p w14:paraId="47B6CB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rPr>
              <w:t>根据宿州市生态环境局发布的《宿州市2024年环境质量状况报告》及“基于互联网的环境影响评价技术服务平台”发布的信息，宿州市2024年环境空气质量中SO</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、NO</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、CO均能满足《环境空气质量标准（含修改单）》（GB3095-2012）中的二级标准，PM</w:t>
            </w:r>
            <w:r>
              <w:rPr>
                <w:rFonts w:hint="default" w:ascii="Times New Roman" w:hAnsi="Times New Roman" w:eastAsia="宋体" w:cs="Times New Roman"/>
                <w:color w:val="auto"/>
                <w:sz w:val="24"/>
                <w:vertAlign w:val="subscript"/>
                <w:lang w:val="en-US" w:eastAsia="zh-CN"/>
              </w:rPr>
              <w:t>10</w:t>
            </w:r>
            <w:r>
              <w:rPr>
                <w:rFonts w:hint="default" w:ascii="Times New Roman" w:hAnsi="Times New Roman" w:eastAsia="宋体" w:cs="Times New Roman"/>
                <w:color w:val="auto"/>
                <w:sz w:val="24"/>
                <w:vertAlign w:val="baseline"/>
                <w:lang w:val="en-US" w:eastAsia="zh-CN"/>
              </w:rPr>
              <w:t>、</w:t>
            </w:r>
            <w:r>
              <w:rPr>
                <w:rFonts w:hint="default" w:ascii="Times New Roman" w:hAnsi="Times New Roman" w:eastAsia="宋体" w:cs="Times New Roman"/>
                <w:color w:val="auto"/>
                <w:sz w:val="24"/>
                <w:lang w:val="en-US" w:eastAsia="zh-CN"/>
              </w:rPr>
              <w:t>PM</w:t>
            </w:r>
            <w:r>
              <w:rPr>
                <w:rFonts w:hint="default" w:ascii="Times New Roman" w:hAnsi="Times New Roman" w:eastAsia="宋体" w:cs="Times New Roman"/>
                <w:color w:val="auto"/>
                <w:sz w:val="24"/>
                <w:vertAlign w:val="subscript"/>
                <w:lang w:val="en-US" w:eastAsia="zh-CN"/>
              </w:rPr>
              <w:t>2.5</w:t>
            </w:r>
            <w:r>
              <w:rPr>
                <w:rFonts w:hint="default" w:ascii="Times New Roman" w:hAnsi="Times New Roman" w:eastAsia="宋体" w:cs="Times New Roman"/>
                <w:color w:val="auto"/>
                <w:sz w:val="24"/>
                <w:lang w:val="en-US" w:eastAsia="zh-CN"/>
              </w:rPr>
              <w:t>年均值、O</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日最大8小时滑动均值超标，因此宿州市为环境空气质量不达标区。</w:t>
            </w:r>
            <w:r>
              <w:rPr>
                <w:rFonts w:hint="default" w:ascii="Times New Roman" w:hAnsi="Times New Roman" w:eastAsia="宋体" w:cs="Times New Roman"/>
                <w:color w:val="auto"/>
                <w:sz w:val="24"/>
                <w:highlight w:val="none"/>
              </w:rPr>
              <w:t>根据环境质量检测数据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区域</w:t>
            </w:r>
            <w:r>
              <w:rPr>
                <w:rFonts w:hint="eastAsia" w:ascii="Times New Roman" w:hAnsi="Times New Roman" w:eastAsia="宋体" w:cs="Times New Roman"/>
                <w:color w:val="auto"/>
                <w:kern w:val="0"/>
                <w:sz w:val="24"/>
                <w:lang w:val="en-US" w:eastAsia="zh-CN"/>
              </w:rPr>
              <w:t>TSP</w:t>
            </w:r>
            <w:r>
              <w:rPr>
                <w:rFonts w:hint="default" w:ascii="Times New Roman" w:hAnsi="Times New Roman" w:eastAsia="宋体" w:cs="Times New Roman"/>
                <w:color w:val="auto"/>
                <w:sz w:val="24"/>
                <w:highlight w:val="none"/>
              </w:rPr>
              <w:t>的监测结果</w:t>
            </w:r>
            <w:r>
              <w:rPr>
                <w:rFonts w:hint="default" w:ascii="Times New Roman" w:hAnsi="Times New Roman" w:eastAsia="宋体" w:cs="Times New Roman"/>
                <w:color w:val="auto"/>
                <w:kern w:val="0"/>
                <w:sz w:val="24"/>
              </w:rPr>
              <w:t>满足</w:t>
            </w:r>
            <w:r>
              <w:rPr>
                <w:rFonts w:hint="default" w:ascii="Times New Roman" w:hAnsi="Times New Roman" w:eastAsia="宋体" w:cs="Times New Roman"/>
                <w:color w:val="auto"/>
                <w:sz w:val="24"/>
                <w:lang w:val="en-US" w:eastAsia="zh-CN" w:bidi="ar"/>
              </w:rPr>
              <w:t>《</w:t>
            </w:r>
            <w:r>
              <w:rPr>
                <w:rFonts w:hint="eastAsia" w:ascii="Times New Roman" w:hAnsi="Times New Roman" w:eastAsia="宋体" w:cs="Times New Roman"/>
                <w:color w:val="auto"/>
                <w:sz w:val="24"/>
                <w:lang w:val="en-US" w:eastAsia="zh-CN" w:bidi="ar"/>
              </w:rPr>
              <w:t>环境空气质量标准》（GB3095-2012）中二级标准要求。</w:t>
            </w:r>
          </w:p>
          <w:p w14:paraId="492250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项目废气收集处理后排放，在采取相应污染防治措施并且各项污染物达标排放的前提下，不会对区域环境空气质量底线造成冲击。</w:t>
            </w:r>
          </w:p>
          <w:p w14:paraId="5009B6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②地表水</w:t>
            </w:r>
          </w:p>
          <w:p w14:paraId="75AE7C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default" w:ascii="Times New Roman" w:hAnsi="Times New Roman" w:eastAsia="宋体" w:cs="Times New Roman"/>
                <w:color w:val="auto"/>
                <w:sz w:val="24"/>
                <w:lang w:val="en-US" w:eastAsia="zh-CN"/>
              </w:rPr>
              <w:t>宿州市生态环境分区管控编制文本</w:t>
            </w:r>
            <w:r>
              <w:rPr>
                <w:rFonts w:hint="default" w:ascii="Times New Roman" w:hAnsi="Times New Roman" w:eastAsia="宋体" w:cs="Times New Roman"/>
                <w:color w:val="auto"/>
                <w:sz w:val="24"/>
              </w:rPr>
              <w:t>》，本项目所在地为水环境工业污染重点管控区。原则上应将具备合法合规手续的县级及以上工业园区纳入水环境工业重点管控区，根据实际管控需要，有条件的地市可将乡镇级工业园区纳入水环境工业污染重点管控区。城镇生活污染水环境重点管控区范围可依据城镇开发边界确定。不达标水体对应的控制单元按省级水环境管控分区划定原则进行识别，并纳入相应的水环境管控分区。</w:t>
            </w:r>
          </w:p>
          <w:p w14:paraId="11373B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项目外排废水</w:t>
            </w:r>
            <w:r>
              <w:rPr>
                <w:rFonts w:hint="eastAsia" w:ascii="Times New Roman" w:hAnsi="Times New Roman" w:eastAsia="宋体" w:cs="Times New Roman"/>
                <w:color w:val="auto"/>
                <w:sz w:val="24"/>
                <w:highlight w:val="none"/>
                <w:lang w:val="en-US" w:eastAsia="zh-CN"/>
              </w:rPr>
              <w:t>纳入市政管网</w:t>
            </w:r>
            <w:r>
              <w:rPr>
                <w:rFonts w:hint="default" w:ascii="Times New Roman" w:hAnsi="Times New Roman" w:eastAsia="宋体" w:cs="Times New Roman"/>
                <w:color w:val="auto"/>
                <w:sz w:val="24"/>
                <w:highlight w:val="none"/>
                <w:lang w:val="en-US" w:eastAsia="zh-CN"/>
              </w:rPr>
              <w:t>排入宿州市</w:t>
            </w:r>
            <w:r>
              <w:rPr>
                <w:rFonts w:hint="eastAsia" w:ascii="Times New Roman" w:hAnsi="Times New Roman" w:eastAsia="宋体" w:cs="Times New Roman"/>
                <w:color w:val="auto"/>
                <w:sz w:val="24"/>
                <w:highlight w:val="none"/>
                <w:lang w:val="en-US" w:eastAsia="zh-CN"/>
              </w:rPr>
              <w:t>汴北</w:t>
            </w:r>
            <w:r>
              <w:rPr>
                <w:rFonts w:hint="default" w:ascii="Times New Roman" w:hAnsi="Times New Roman" w:eastAsia="宋体" w:cs="Times New Roman"/>
                <w:color w:val="auto"/>
                <w:sz w:val="24"/>
                <w:highlight w:val="none"/>
                <w:lang w:val="en-US" w:eastAsia="zh-CN"/>
              </w:rPr>
              <w:t>污水处理厂，</w:t>
            </w:r>
            <w:r>
              <w:rPr>
                <w:rFonts w:hint="default" w:ascii="Times New Roman" w:hAnsi="Times New Roman" w:eastAsia="宋体" w:cs="Times New Roman"/>
                <w:color w:val="auto"/>
                <w:sz w:val="24"/>
                <w:highlight w:val="none"/>
                <w:lang w:val="en-US" w:eastAsia="zh-CN" w:bidi="ar"/>
              </w:rPr>
              <w:t>污水厂出水水质总氮满足《城镇污水处理厂污染物排放标准》(GB18918-2002)中一级 A标准；其他因子满足《地表水环境质量标准》V类标准限值及《城镇污水处理厂污染物排放标准》(GB18918-2002)中一级A标准限值</w:t>
            </w:r>
            <w:r>
              <w:rPr>
                <w:rFonts w:hint="default" w:ascii="Times New Roman" w:hAnsi="Times New Roman" w:eastAsia="宋体" w:cs="Times New Roman"/>
                <w:color w:val="auto"/>
                <w:sz w:val="24"/>
                <w:highlight w:val="none"/>
                <w:lang w:val="en-US" w:eastAsia="zh-CN"/>
              </w:rPr>
              <w:t>后排入运粮河。项目废水排放量较少，不会降低评价区域地表水的环境质量现有功能级别。</w:t>
            </w:r>
          </w:p>
          <w:p w14:paraId="755CD2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highlight w:val="none"/>
                <w:lang w:val="en-US" w:eastAsia="zh-CN"/>
              </w:rPr>
              <w:t>声环境</w:t>
            </w:r>
          </w:p>
          <w:p w14:paraId="3DD085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项目设备经减震、隔声处理后厂界噪声达到《工业企业厂界环境噪声排放标准》（GB12348-2008）</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类标准，</w:t>
            </w:r>
            <w:r>
              <w:rPr>
                <w:rFonts w:hint="default" w:ascii="Times New Roman" w:hAnsi="Times New Roman" w:eastAsia="宋体" w:cs="Times New Roman"/>
                <w:color w:val="auto"/>
                <w:sz w:val="24"/>
              </w:rPr>
              <w:t>对周边声环境影响较小。</w:t>
            </w:r>
          </w:p>
          <w:p w14:paraId="55CB3C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④土壤及地下水</w:t>
            </w:r>
          </w:p>
          <w:p w14:paraId="3E405D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根据《宿州市生态环境分区管控编制文本》，本项目所在地为建设用地土壤污染风险</w:t>
            </w:r>
            <w:r>
              <w:rPr>
                <w:rFonts w:hint="default" w:ascii="Times New Roman" w:hAnsi="Times New Roman" w:eastAsia="宋体" w:cs="Times New Roman"/>
                <w:color w:val="auto"/>
                <w:sz w:val="24"/>
                <w:highlight w:val="none"/>
                <w:lang w:val="en-US" w:eastAsia="zh-CN"/>
              </w:rPr>
              <w:t>一般管控区</w:t>
            </w:r>
            <w:r>
              <w:rPr>
                <w:rFonts w:hint="default" w:ascii="Times New Roman" w:hAnsi="Times New Roman" w:eastAsia="宋体" w:cs="Times New Roman"/>
                <w:color w:val="auto"/>
                <w:sz w:val="24"/>
                <w:lang w:val="en-US" w:eastAsia="zh-CN"/>
              </w:rPr>
              <w:t>。一般管控区要求如下：依据《中华人民共和国土壤污染防治法》《土壤污染防治行动计划》《安徽省土壤污染防治工作方案》《宿州市土壤污染防治工作方案》等要求对一般管控区实施管控。项目采取分区防渗等措施后，对区域土壤、地下水的环境影响较小。</w:t>
            </w:r>
          </w:p>
          <w:p w14:paraId="4A43F4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lang w:val="en-US" w:eastAsia="zh-CN"/>
              </w:rPr>
            </w:pPr>
            <w:r>
              <w:rPr>
                <w:rFonts w:hint="default" w:ascii="Times New Roman" w:hAnsi="Times New Roman" w:eastAsia="宋体" w:cs="Times New Roman"/>
                <w:kern w:val="0"/>
                <w:sz w:val="24"/>
                <w:lang w:val="en-US" w:eastAsia="zh-CN"/>
              </w:rPr>
              <w:t>3、</w:t>
            </w:r>
            <w:r>
              <w:rPr>
                <w:rFonts w:hint="default" w:ascii="Times New Roman" w:hAnsi="Times New Roman" w:eastAsia="宋体" w:cs="Times New Roman"/>
                <w:color w:val="auto"/>
                <w:sz w:val="24"/>
              </w:rPr>
              <w:t>资源利用上线及分区管控</w:t>
            </w:r>
          </w:p>
          <w:p w14:paraId="2876B9E9">
            <w:pPr>
              <w:keepNext w:val="0"/>
              <w:keepLines w:val="0"/>
              <w:suppressLineNumbers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①煤炭资源利用上线</w:t>
            </w:r>
          </w:p>
          <w:p w14:paraId="0BA423F8">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煤炭资源利用管控分区包含重点管控区和一般管控区。其中高污染燃料禁燃区为重点管控区，其余为一般管控区。根据《</w:t>
            </w:r>
            <w:r>
              <w:rPr>
                <w:rFonts w:hint="default" w:ascii="Times New Roman" w:hAnsi="Times New Roman" w:eastAsia="宋体" w:cs="Times New Roman"/>
                <w:color w:val="auto"/>
                <w:sz w:val="24"/>
                <w:lang w:val="en-US" w:eastAsia="zh-CN"/>
              </w:rPr>
              <w:t>宿州市生态环境分区管控编制文本</w:t>
            </w:r>
            <w:r>
              <w:rPr>
                <w:rFonts w:hint="default" w:ascii="Times New Roman" w:hAnsi="Times New Roman" w:eastAsia="宋体" w:cs="Times New Roman"/>
                <w:color w:val="auto"/>
                <w:sz w:val="24"/>
              </w:rPr>
              <w:t>》，本项目所在地为高污染禁燃区。</w:t>
            </w:r>
          </w:p>
          <w:p w14:paraId="4BF12FD3">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rPr>
              <w:t>重点管控区要求如下：</w:t>
            </w:r>
            <w:r>
              <w:rPr>
                <w:rFonts w:hint="default" w:ascii="Times New Roman" w:hAnsi="Times New Roman" w:eastAsia="宋体" w:cs="Times New Roman"/>
                <w:color w:val="auto"/>
                <w:sz w:val="24"/>
                <w:lang w:val="en-US" w:eastAsia="zh-CN"/>
              </w:rPr>
              <w:t>严格合理控制煤炭消费增长，大气污染防治重点区域内新、改、扩建用煤项目实施煤炭消费等量或减量替代。重点削减非电力用煤，各县区将减煤目标按年度分解落实到重点耗煤企业，实施“一企一策”减煤诊断。推动煤电行业实施节能降耗改造、供热改造和灵活性改造“三改联动”。加快供热管网建设，淘汰管网覆盖范围内的燃煤锅炉和散煤。到2025年，火电平均供电煤耗降至295克标煤/千瓦时，散煤基本清零。以燃料类煤气发生炉、燃煤热风炉、加热炉、热处理炉、干燥炉（窑）以及建材行业为重点，实施清洁电力和天然气替代。持续推进以煤为燃料的工业窑炉清洁燃料替代改造。落实《宿州市“十四五”生态环境保护规划》《宿州市“十四五”节能减排实施方案》，《宿州市"十四五“能源发展规划(2021-2025)》等要求。</w:t>
            </w:r>
          </w:p>
          <w:p w14:paraId="04D0879E">
            <w:pPr>
              <w:keepNext w:val="0"/>
              <w:keepLines w:val="0"/>
              <w:suppressLineNumbers w:val="0"/>
              <w:autoSpaceDE w:val="0"/>
              <w:autoSpaceDN w:val="0"/>
              <w:adjustRightInd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本项目使用的能源主要为电能</w:t>
            </w:r>
            <w:r>
              <w:rPr>
                <w:rFonts w:hint="eastAsia" w:ascii="Times New Roman" w:hAnsi="Times New Roman" w:eastAsia="宋体" w:cs="Times New Roman"/>
                <w:color w:val="auto"/>
                <w:sz w:val="24"/>
                <w:lang w:val="en-US" w:eastAsia="zh-CN"/>
              </w:rPr>
              <w:t>和天然气</w:t>
            </w:r>
            <w:r>
              <w:rPr>
                <w:rFonts w:hint="default" w:ascii="Times New Roman" w:hAnsi="Times New Roman" w:eastAsia="宋体" w:cs="Times New Roman"/>
                <w:color w:val="auto"/>
                <w:sz w:val="24"/>
              </w:rPr>
              <w:t>，不使用煤炭等燃料。</w:t>
            </w:r>
          </w:p>
          <w:p w14:paraId="754BD491">
            <w:pPr>
              <w:keepNext w:val="0"/>
              <w:keepLines w:val="0"/>
              <w:suppressLineNumbers w:val="0"/>
              <w:autoSpaceDE w:val="0"/>
              <w:autoSpaceDN w:val="0"/>
              <w:adjustRightInd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②水资源利用上线</w:t>
            </w:r>
          </w:p>
          <w:p w14:paraId="4AF27929">
            <w:pPr>
              <w:keepNext w:val="0"/>
              <w:keepLines w:val="0"/>
              <w:suppressLineNumbers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依据《安徽省人民政府办公厅关于公布地下水超采区、限采区范围的通知》(皖政办秘[2015] 179号)，省水利厅、发改委、经信委、自然资源厅、生态环境厅、住建厅联合印发的《关于印发〈安徽省地下水超采区治理方案&gt;的通知》(皖水资源[2015] 91号)要求，结合《安徽省地下水超采区评价》成果，将已公布的限采区作为2020年水资源重点管控区域。其余区域作为水资源一般管控区。根据《</w:t>
            </w:r>
            <w:r>
              <w:rPr>
                <w:rFonts w:hint="default" w:ascii="Times New Roman" w:hAnsi="Times New Roman" w:eastAsia="宋体" w:cs="Times New Roman"/>
                <w:color w:val="auto"/>
                <w:sz w:val="24"/>
                <w:lang w:val="en-US" w:eastAsia="zh-CN"/>
              </w:rPr>
              <w:t>宿州市生态环境分区管控编制文本</w:t>
            </w:r>
            <w:r>
              <w:rPr>
                <w:rFonts w:hint="default" w:ascii="Times New Roman" w:hAnsi="Times New Roman" w:eastAsia="宋体" w:cs="Times New Roman"/>
                <w:color w:val="auto"/>
                <w:sz w:val="24"/>
              </w:rPr>
              <w:t>》，本项目所在地为一般管控区。</w:t>
            </w:r>
          </w:p>
          <w:p w14:paraId="75D6F7AC">
            <w:pPr>
              <w:keepNext w:val="0"/>
              <w:keepLines w:val="0"/>
              <w:suppressLineNumbers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本项目用水来自市政供水管网，不开采地下水，</w:t>
            </w:r>
            <w:r>
              <w:rPr>
                <w:rFonts w:hint="default" w:ascii="Times New Roman" w:hAnsi="Times New Roman" w:eastAsia="宋体" w:cs="Times New Roman"/>
                <w:color w:val="auto"/>
                <w:sz w:val="24"/>
                <w:highlight w:val="none"/>
              </w:rPr>
              <w:t>符合文件要求。</w:t>
            </w:r>
          </w:p>
          <w:p w14:paraId="21FE803C">
            <w:pPr>
              <w:keepNext w:val="0"/>
              <w:keepLines w:val="0"/>
              <w:suppressLineNumbers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③土地资源利用上线</w:t>
            </w:r>
          </w:p>
          <w:p w14:paraId="6347C992">
            <w:pPr>
              <w:keepNext w:val="0"/>
              <w:keepLines w:val="0"/>
              <w:suppressLineNumbers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土地资源管控区划分为重点管控区和一般管控区。重点管控区是指具有一定经济基础、资源环境承载力较强、发展潜力较大、集聚人口和经济条件较好，可重点进行大规模工业化城镇化开发的区域，与《宿州市主体功能区规划》中的国家重点开发区域相符；除重点管控区以外的其他区域为一般管控区。根据《</w:t>
            </w:r>
            <w:r>
              <w:rPr>
                <w:rFonts w:hint="default" w:ascii="Times New Roman" w:hAnsi="Times New Roman" w:eastAsia="宋体" w:cs="Times New Roman"/>
                <w:color w:val="auto"/>
                <w:sz w:val="24"/>
                <w:lang w:val="en-US" w:eastAsia="zh-CN"/>
              </w:rPr>
              <w:t>宿州市生态环境分区管控编制文本</w:t>
            </w:r>
            <w:r>
              <w:rPr>
                <w:rFonts w:hint="default" w:ascii="Times New Roman" w:hAnsi="Times New Roman" w:eastAsia="宋体" w:cs="Times New Roman"/>
                <w:color w:val="auto"/>
                <w:sz w:val="24"/>
              </w:rPr>
              <w:t>》，本项目所在地为一般管控区。</w:t>
            </w:r>
          </w:p>
          <w:p w14:paraId="1CE63FB9">
            <w:pPr>
              <w:keepNext w:val="0"/>
              <w:keepLines w:val="0"/>
              <w:suppressLineNumbers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本项目选址位于</w:t>
            </w:r>
            <w:r>
              <w:rPr>
                <w:rFonts w:hint="default" w:ascii="Times New Roman" w:hAnsi="Times New Roman" w:eastAsia="宋体" w:cs="Times New Roman"/>
                <w:kern w:val="0"/>
                <w:sz w:val="24"/>
                <w:lang w:val="en-US" w:eastAsia="zh-CN"/>
              </w:rPr>
              <w:t>宿州市高新技术开发区</w:t>
            </w:r>
            <w:r>
              <w:rPr>
                <w:rFonts w:hint="default" w:ascii="Times New Roman" w:hAnsi="Times New Roman" w:eastAsia="宋体" w:cs="Times New Roman"/>
                <w:color w:val="auto"/>
                <w:sz w:val="24"/>
              </w:rPr>
              <w:t>，用地性质为</w:t>
            </w:r>
            <w:r>
              <w:rPr>
                <w:rFonts w:hint="default" w:ascii="Times New Roman" w:hAnsi="Times New Roman" w:eastAsia="宋体" w:cs="Times New Roman"/>
                <w:color w:val="auto"/>
                <w:sz w:val="24"/>
                <w:lang w:eastAsia="zh-CN"/>
              </w:rPr>
              <w:t>工业</w:t>
            </w:r>
            <w:r>
              <w:rPr>
                <w:rFonts w:hint="default" w:ascii="Times New Roman" w:hAnsi="Times New Roman" w:eastAsia="宋体" w:cs="Times New Roman"/>
                <w:color w:val="auto"/>
                <w:sz w:val="24"/>
              </w:rPr>
              <w:t>用地，符合用地要求。</w:t>
            </w:r>
          </w:p>
          <w:p w14:paraId="527327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lang w:val="en-US" w:eastAsia="zh-CN"/>
              </w:rPr>
            </w:pPr>
            <w:r>
              <w:rPr>
                <w:rFonts w:hint="default" w:ascii="Times New Roman" w:hAnsi="Times New Roman" w:eastAsia="宋体" w:cs="Times New Roman"/>
                <w:kern w:val="0"/>
                <w:sz w:val="24"/>
                <w:lang w:val="en-US" w:eastAsia="zh-CN"/>
              </w:rPr>
              <w:t>4、</w:t>
            </w:r>
            <w:r>
              <w:rPr>
                <w:rFonts w:hint="default" w:ascii="Times New Roman" w:hAnsi="Times New Roman" w:eastAsia="宋体" w:cs="Times New Roman"/>
                <w:color w:val="auto"/>
                <w:kern w:val="0"/>
                <w:sz w:val="24"/>
                <w:lang w:val="en-US" w:eastAsia="zh-CN"/>
              </w:rPr>
              <w:t>生态环境准入清单</w:t>
            </w:r>
          </w:p>
          <w:p w14:paraId="298F23CE">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rPr>
              <w:t>本项目属于</w:t>
            </w:r>
            <w:r>
              <w:rPr>
                <w:rFonts w:hint="eastAsia" w:ascii="Times New Roman" w:hAnsi="Times New Roman" w:eastAsia="宋体" w:cs="Times New Roman"/>
                <w:color w:val="auto"/>
                <w:sz w:val="24"/>
                <w:lang w:val="en-US" w:eastAsia="zh-CN"/>
              </w:rPr>
              <w:t>食品制造业</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位于</w:t>
            </w:r>
            <w:r>
              <w:rPr>
                <w:rFonts w:hint="default" w:ascii="Times New Roman" w:hAnsi="Times New Roman" w:eastAsia="宋体" w:cs="Times New Roman"/>
                <w:kern w:val="0"/>
                <w:sz w:val="24"/>
                <w:lang w:val="en-US" w:eastAsia="zh-CN"/>
              </w:rPr>
              <w:t>宿州市高新技术开发区</w:t>
            </w:r>
            <w:r>
              <w:rPr>
                <w:rFonts w:hint="default" w:ascii="Times New Roman" w:hAnsi="Times New Roman" w:eastAsia="宋体" w:cs="Times New Roman"/>
                <w:color w:val="auto"/>
                <w:sz w:val="24"/>
              </w:rPr>
              <w:t>，参照《</w:t>
            </w:r>
            <w:r>
              <w:rPr>
                <w:rFonts w:hint="default" w:ascii="Times New Roman" w:hAnsi="Times New Roman" w:eastAsia="宋体" w:cs="Times New Roman"/>
                <w:color w:val="auto"/>
                <w:sz w:val="24"/>
                <w:lang w:val="en-US" w:eastAsia="zh-CN"/>
              </w:rPr>
              <w:t>安徽宿州高新技术产业开发区总体发展规划（2023-2035年）环境影响报告书</w:t>
            </w:r>
            <w:r>
              <w:rPr>
                <w:rFonts w:hint="default" w:ascii="Times New Roman" w:hAnsi="Times New Roman" w:eastAsia="宋体" w:cs="Times New Roman"/>
                <w:color w:val="auto"/>
                <w:sz w:val="24"/>
              </w:rPr>
              <w:t>》中</w:t>
            </w:r>
            <w:r>
              <w:rPr>
                <w:rFonts w:hint="eastAsia" w:ascii="Times New Roman" w:hAnsi="Times New Roman" w:eastAsia="宋体" w:cs="Times New Roman"/>
                <w:color w:val="auto"/>
                <w:sz w:val="24"/>
                <w:lang w:val="en-US" w:eastAsia="zh-CN"/>
              </w:rPr>
              <w:t>环境准入清单</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项目为食品制造业，不属于园区</w:t>
            </w:r>
            <w:r>
              <w:rPr>
                <w:rFonts w:hint="eastAsia" w:ascii="Times New Roman" w:hAnsi="Times New Roman" w:eastAsia="宋体" w:cs="Times New Roman"/>
                <w:color w:val="auto"/>
                <w:sz w:val="24"/>
                <w:lang w:val="en-US" w:eastAsia="zh-CN"/>
              </w:rPr>
              <w:t>限制</w:t>
            </w:r>
            <w:r>
              <w:rPr>
                <w:rFonts w:hint="default" w:ascii="Times New Roman" w:hAnsi="Times New Roman" w:eastAsia="宋体" w:cs="Times New Roman"/>
                <w:color w:val="auto"/>
                <w:sz w:val="24"/>
                <w:lang w:val="en-US" w:eastAsia="zh-CN"/>
              </w:rPr>
              <w:t>类、禁止类行业，</w:t>
            </w:r>
            <w:r>
              <w:rPr>
                <w:rFonts w:hint="eastAsia" w:ascii="Times New Roman" w:hAnsi="Times New Roman" w:eastAsia="宋体" w:cs="Times New Roman"/>
                <w:color w:val="auto"/>
                <w:sz w:val="24"/>
                <w:highlight w:val="none"/>
                <w:lang w:val="en-US" w:eastAsia="zh-CN"/>
              </w:rPr>
              <w:t>因此，本项目满足生态环境准入要求。</w:t>
            </w:r>
          </w:p>
          <w:p w14:paraId="0F8D441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综上，本项目的建设符合“三线一单”相关要求。</w:t>
            </w:r>
          </w:p>
          <w:p w14:paraId="46EC0B9D">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4</w:t>
            </w:r>
            <w:r>
              <w:rPr>
                <w:rFonts w:hint="default" w:ascii="Times New Roman" w:hAnsi="Times New Roman" w:eastAsia="宋体" w:cs="Times New Roman"/>
                <w:b/>
                <w:sz w:val="24"/>
              </w:rPr>
              <w:t>、与地方及行业环保管理要求的相符性分析</w:t>
            </w:r>
          </w:p>
          <w:p w14:paraId="429A00EF">
            <w:pPr>
              <w:keepNext w:val="0"/>
              <w:keepLines w:val="0"/>
              <w:numPr>
                <w:ilvl w:val="0"/>
                <w:numId w:val="7"/>
              </w:numPr>
              <w:suppressLineNumbers w:val="0"/>
              <w:spacing w:before="0" w:beforeAutospacing="0" w:after="0" w:afterAutospacing="0" w:line="360" w:lineRule="auto"/>
              <w:ind w:left="0" w:right="0" w:firstLine="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与</w:t>
            </w:r>
            <w:r>
              <w:rPr>
                <w:rFonts w:hint="default" w:ascii="Times New Roman" w:hAnsi="Times New Roman" w:eastAsia="宋体" w:cs="Times New Roman"/>
                <w:color w:val="auto"/>
                <w:sz w:val="24"/>
                <w:highlight w:val="none"/>
                <w:lang w:val="en-US" w:eastAsia="zh-CN"/>
              </w:rPr>
              <w:t>淮河流域及水源相关政策符合性分析</w:t>
            </w:r>
          </w:p>
          <w:p w14:paraId="404A311B">
            <w:pPr>
              <w:keepNext w:val="0"/>
              <w:keepLines w:val="0"/>
              <w:numPr>
                <w:ilvl w:val="0"/>
                <w:numId w:val="4"/>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与淮河流域及水源相关政策符合性分析</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4031"/>
              <w:gridCol w:w="1773"/>
              <w:gridCol w:w="699"/>
            </w:tblGrid>
            <w:tr w14:paraId="5110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Align w:val="center"/>
                </w:tcPr>
                <w:p w14:paraId="076D635A">
                  <w:pPr>
                    <w:keepNext w:val="0"/>
                    <w:keepLines w:val="0"/>
                    <w:pageBreakBefore w:val="0"/>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文件名</w:t>
                  </w:r>
                </w:p>
              </w:tc>
              <w:tc>
                <w:tcPr>
                  <w:tcW w:w="2651" w:type="pct"/>
                  <w:vAlign w:val="center"/>
                </w:tcPr>
                <w:p w14:paraId="160B425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政策要求</w:t>
                  </w:r>
                </w:p>
              </w:tc>
              <w:tc>
                <w:tcPr>
                  <w:tcW w:w="1166" w:type="pct"/>
                  <w:vAlign w:val="center"/>
                </w:tcPr>
                <w:p w14:paraId="5B169DA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84" w:leftChars="-40" w:right="-84" w:rightChars="-4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本项目情况</w:t>
                  </w:r>
                </w:p>
              </w:tc>
              <w:tc>
                <w:tcPr>
                  <w:tcW w:w="460" w:type="pct"/>
                  <w:vAlign w:val="center"/>
                </w:tcPr>
                <w:p w14:paraId="5A18E54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84" w:leftChars="-40" w:right="-84" w:rightChars="-4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符合性</w:t>
                  </w:r>
                </w:p>
              </w:tc>
            </w:tr>
            <w:tr w14:paraId="7414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restart"/>
                  <w:vAlign w:val="center"/>
                </w:tcPr>
                <w:p w14:paraId="31E29E93">
                  <w:pPr>
                    <w:keepNext w:val="0"/>
                    <w:keepLines w:val="0"/>
                    <w:pageBreakBefore w:val="0"/>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《安徽省淮河流域水污染防治条例》（2018年11月23日安徽省第十三届人民代表大会常务委员会修订）</w:t>
                  </w:r>
                </w:p>
              </w:tc>
              <w:tc>
                <w:tcPr>
                  <w:tcW w:w="2651" w:type="pct"/>
                  <w:vAlign w:val="center"/>
                </w:tcPr>
                <w:p w14:paraId="2BBED10E">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第十三条 禁止在淮河流域新建化学制浆造纸企业和印染、制革、化工、电镀、酿造等污染严重的小型企业。</w:t>
                  </w:r>
                </w:p>
                <w:p w14:paraId="01F91699">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严格限制在淮河流域新建印染、制革、化工、电镀、酿造等大中型项目或者其他污染严重的项目；建设该类项目的，应当事前征得省人民政府生态环境行政主管部门的同意，并按照规定办理有关手续。</w:t>
                  </w:r>
                </w:p>
              </w:tc>
              <w:tc>
                <w:tcPr>
                  <w:tcW w:w="1166" w:type="pct"/>
                  <w:vAlign w:val="center"/>
                </w:tcPr>
                <w:p w14:paraId="6317098B">
                  <w:pPr>
                    <w:keepNext w:val="0"/>
                    <w:keepLines w:val="0"/>
                    <w:pageBreakBefore w:val="0"/>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项目位于淮河流域，属于</w:t>
                  </w:r>
                  <w:r>
                    <w:rPr>
                      <w:rFonts w:hint="eastAsia" w:ascii="Times New Roman" w:hAnsi="Times New Roman" w:eastAsia="宋体" w:cs="Times New Roman"/>
                      <w:color w:val="auto"/>
                      <w:spacing w:val="-6"/>
                      <w:kern w:val="2"/>
                      <w:sz w:val="21"/>
                      <w:szCs w:val="21"/>
                      <w:lang w:val="en-US" w:eastAsia="zh-CN" w:bidi="ar-SA"/>
                    </w:rPr>
                    <w:t>食品制造业</w:t>
                  </w:r>
                  <w:r>
                    <w:rPr>
                      <w:rFonts w:hint="default" w:ascii="Times New Roman" w:hAnsi="Times New Roman" w:eastAsia="宋体" w:cs="Times New Roman"/>
                      <w:color w:val="auto"/>
                      <w:spacing w:val="-6"/>
                      <w:kern w:val="2"/>
                      <w:sz w:val="21"/>
                      <w:szCs w:val="21"/>
                      <w:lang w:val="en-US" w:eastAsia="zh-CN" w:bidi="ar-SA"/>
                    </w:rPr>
                    <w:t>，</w:t>
                  </w:r>
                  <w:r>
                    <w:rPr>
                      <w:rFonts w:hint="default" w:ascii="Times New Roman" w:hAnsi="Times New Roman" w:eastAsia="宋体" w:cs="Times New Roman"/>
                      <w:color w:val="auto"/>
                      <w:szCs w:val="21"/>
                      <w:highlight w:val="none"/>
                      <w:lang w:val="en-US" w:eastAsia="zh-CN"/>
                    </w:rPr>
                    <w:t>不属于</w:t>
                  </w:r>
                  <w:r>
                    <w:rPr>
                      <w:rFonts w:hint="default" w:ascii="Times New Roman" w:hAnsi="Times New Roman" w:eastAsia="宋体" w:cs="Times New Roman"/>
                      <w:color w:val="auto"/>
                      <w:szCs w:val="21"/>
                      <w:highlight w:val="none"/>
                    </w:rPr>
                    <w:t>化学制浆造纸企业和印染、制革、化工、电镀、酿造</w:t>
                  </w:r>
                  <w:r>
                    <w:rPr>
                      <w:rFonts w:hint="default" w:ascii="Times New Roman" w:hAnsi="Times New Roman" w:eastAsia="宋体" w:cs="Times New Roman"/>
                      <w:color w:val="auto"/>
                      <w:szCs w:val="21"/>
                      <w:highlight w:val="none"/>
                      <w:lang w:val="en-US" w:eastAsia="zh-CN"/>
                    </w:rPr>
                    <w:t>行业。</w:t>
                  </w:r>
                </w:p>
              </w:tc>
              <w:tc>
                <w:tcPr>
                  <w:tcW w:w="460" w:type="pct"/>
                  <w:vAlign w:val="center"/>
                </w:tcPr>
                <w:p w14:paraId="30CDB2F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rPr>
                    <w:t>符合</w:t>
                  </w:r>
                </w:p>
              </w:tc>
            </w:tr>
            <w:tr w14:paraId="36C6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vAlign w:val="center"/>
                </w:tcPr>
                <w:p w14:paraId="203CA2D8">
                  <w:pPr>
                    <w:keepNext w:val="0"/>
                    <w:keepLines w:val="0"/>
                    <w:pageBreakBefore w:val="0"/>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rPr>
                  </w:pPr>
                </w:p>
              </w:tc>
              <w:tc>
                <w:tcPr>
                  <w:tcW w:w="2651" w:type="pct"/>
                  <w:vAlign w:val="center"/>
                </w:tcPr>
                <w:p w14:paraId="2942BD02">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p w14:paraId="33C22936">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新建、扩建、改建项目，除执行前款规定外，还应当遵守下列规定：</w:t>
                  </w:r>
                </w:p>
                <w:p w14:paraId="6C790EFC">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（一）新建项目的选址应符合城市总体规划，避开饮用水水源地和对环境有特殊要求的功能区；</w:t>
                  </w:r>
                </w:p>
                <w:p w14:paraId="785325BC">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（二）采用资源利用率高、污染物排放量少的先进设备和先进工艺；</w:t>
                  </w:r>
                </w:p>
                <w:p w14:paraId="67F49B68">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（三）改建、扩建项目和技改项目应当把水污染治理纳入项目内容。</w:t>
                  </w:r>
                </w:p>
              </w:tc>
              <w:tc>
                <w:tcPr>
                  <w:tcW w:w="1166" w:type="pct"/>
                  <w:vAlign w:val="center"/>
                </w:tcPr>
                <w:p w14:paraId="65077DD7">
                  <w:pPr>
                    <w:keepNext w:val="0"/>
                    <w:keepLines w:val="0"/>
                    <w:pageBreakBefore w:val="0"/>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本项目周边无饮用水水源地等敏感目标；</w:t>
                  </w:r>
                  <w:r>
                    <w:rPr>
                      <w:rFonts w:hint="eastAsia" w:ascii="Times New Roman" w:hAnsi="Times New Roman" w:eastAsia="宋体" w:cs="Times New Roman"/>
                      <w:color w:val="auto"/>
                      <w:szCs w:val="21"/>
                      <w:highlight w:val="none"/>
                      <w:lang w:val="en-US" w:eastAsia="zh-CN"/>
                    </w:rPr>
                    <w:t>本项目生活污水经隔油池+化粪池处理；设备清洗废水、保洁废水</w:t>
                  </w:r>
                  <w:r>
                    <w:rPr>
                      <w:rFonts w:hint="eastAsia" w:cs="Times New Roman"/>
                      <w:color w:val="auto"/>
                      <w:szCs w:val="21"/>
                      <w:highlight w:val="none"/>
                      <w:lang w:val="en-US" w:eastAsia="zh-CN"/>
                    </w:rPr>
                    <w:t>、实验室清洗废水</w:t>
                  </w:r>
                  <w:r>
                    <w:rPr>
                      <w:rFonts w:hint="eastAsia" w:ascii="Times New Roman" w:hAnsi="Times New Roman" w:eastAsia="宋体" w:cs="Times New Roman"/>
                      <w:color w:val="auto"/>
                      <w:szCs w:val="21"/>
                      <w:highlight w:val="none"/>
                      <w:lang w:val="en-US" w:eastAsia="zh-CN"/>
                    </w:rPr>
                    <w:t>经企业污水处理设施处理后与纯水制备废水、处理后的生活污水一起接管排放</w:t>
                  </w:r>
                </w:p>
              </w:tc>
              <w:tc>
                <w:tcPr>
                  <w:tcW w:w="460" w:type="pct"/>
                  <w:vAlign w:val="center"/>
                </w:tcPr>
                <w:p w14:paraId="5B3D2D0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rPr>
                    <w:t>符合</w:t>
                  </w:r>
                </w:p>
              </w:tc>
            </w:tr>
            <w:tr w14:paraId="2EF9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vAlign w:val="center"/>
                </w:tcPr>
                <w:p w14:paraId="18BE371D">
                  <w:pPr>
                    <w:keepNext w:val="0"/>
                    <w:keepLines w:val="0"/>
                    <w:pageBreakBefore w:val="0"/>
                    <w:widowControl/>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rPr>
                  </w:pPr>
                </w:p>
              </w:tc>
              <w:tc>
                <w:tcPr>
                  <w:tcW w:w="2651" w:type="pct"/>
                  <w:vAlign w:val="center"/>
                </w:tcPr>
                <w:p w14:paraId="37032E02">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第十六条 在淮河流域城市公共排水设施覆盖区域内，应当实行雨水、污水分流；排水户应当将雨水、污水分别排入公共雨水、污水管网及其附属设施。</w:t>
                  </w:r>
                </w:p>
              </w:tc>
              <w:tc>
                <w:tcPr>
                  <w:tcW w:w="1166" w:type="pct"/>
                  <w:vAlign w:val="center"/>
                </w:tcPr>
                <w:p w14:paraId="61ACC792">
                  <w:pPr>
                    <w:keepNext w:val="0"/>
                    <w:keepLines w:val="0"/>
                    <w:pageBreakBefore w:val="0"/>
                    <w:widowControl/>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项目区实行雨污分流</w:t>
                  </w:r>
                </w:p>
              </w:tc>
              <w:tc>
                <w:tcPr>
                  <w:tcW w:w="460" w:type="pct"/>
                  <w:vAlign w:val="center"/>
                </w:tcPr>
                <w:p w14:paraId="71DC925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rPr>
                    <w:t>符合</w:t>
                  </w:r>
                </w:p>
              </w:tc>
            </w:tr>
            <w:tr w14:paraId="0EF1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vAlign w:val="center"/>
                </w:tcPr>
                <w:p w14:paraId="6B05BBE1">
                  <w:pPr>
                    <w:keepNext w:val="0"/>
                    <w:keepLines w:val="0"/>
                    <w:pageBreakBefore w:val="0"/>
                    <w:widowControl/>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rPr>
                  </w:pPr>
                </w:p>
              </w:tc>
              <w:tc>
                <w:tcPr>
                  <w:tcW w:w="2651" w:type="pct"/>
                  <w:vAlign w:val="center"/>
                </w:tcPr>
                <w:p w14:paraId="441FDFD8">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第十九条 禁止下列行为：</w:t>
                  </w:r>
                </w:p>
                <w:p w14:paraId="4648DA14">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(一)向水体排放或者倾倒油类、酸液、碱液和其他有毒有害液体；</w:t>
                  </w:r>
                </w:p>
                <w:p w14:paraId="33D1F8F2">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(二)在水体中清洗装贮过有毒有害污染物的车辆、船舶和容器；</w:t>
                  </w:r>
                </w:p>
                <w:p w14:paraId="4E334047">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(三)向水体排放、倾倒含有汞、镉、砷、铬、铅、氰化物、黄磷等可溶性剧毒废液或者将上述物质直接埋入地下；</w:t>
                  </w:r>
                </w:p>
                <w:p w14:paraId="545AB976">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(四)向水体排放、倾倒工业废渣、城镇垃圾和其他废弃物；</w:t>
                  </w:r>
                </w:p>
                <w:p w14:paraId="31CFBCF2">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(五)向水体排放、倾倒放射性固体废弃物或者放射性废水；</w:t>
                  </w:r>
                </w:p>
                <w:p w14:paraId="30F2B87A">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(六)利用渗井、渗坑、裂隙、溶洞、塌陷区和废弃矿坑排放、倾倒，或者利用无防渗措施的沟渠、坑塘输送或者存贮含毒污染物或者病原体的废水和其他废弃物；</w:t>
                  </w:r>
                </w:p>
                <w:p w14:paraId="498E0742">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(七)在河流、湖泊、运河、渠道、水库最高水位线以下的滩地和岸坡堆放、贮存固体废弃物和其他污染物；</w:t>
                  </w:r>
                </w:p>
                <w:p w14:paraId="432BFFCA">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(八)围湖和其他破坏水环境生态平衡的活动；</w:t>
                  </w:r>
                </w:p>
                <w:p w14:paraId="107D78E2">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(九)引进不符合国家环境保护规定要求的技术和设备；</w:t>
                  </w:r>
                </w:p>
                <w:p w14:paraId="08AEADF6">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(十)法律、法规禁止的其他行为。</w:t>
                  </w:r>
                </w:p>
              </w:tc>
              <w:tc>
                <w:tcPr>
                  <w:tcW w:w="1166" w:type="pct"/>
                  <w:vAlign w:val="center"/>
                </w:tcPr>
                <w:p w14:paraId="0E6D9571">
                  <w:pPr>
                    <w:keepNext w:val="0"/>
                    <w:keepLines w:val="0"/>
                    <w:pageBreakBefore w:val="0"/>
                    <w:widowControl/>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项目建成后严格按照要求进行废水、废气处理及固废处置，严格按照相关法律、法规要求进行日常生产活动</w:t>
                  </w:r>
                </w:p>
              </w:tc>
              <w:tc>
                <w:tcPr>
                  <w:tcW w:w="460" w:type="pct"/>
                  <w:vAlign w:val="center"/>
                </w:tcPr>
                <w:p w14:paraId="6751653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rPr>
                    <w:t>符合</w:t>
                  </w:r>
                </w:p>
              </w:tc>
            </w:tr>
            <w:tr w14:paraId="4EBC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Align w:val="center"/>
                </w:tcPr>
                <w:p w14:paraId="40BE3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eastAsia="zh-CN"/>
                    </w:rPr>
                    <w:t>《安徽省饮用水水源环境保护条例》（2016年9月30日安徽省第十二届人民代表大会常务委员会第三十三次会议通过））</w:t>
                  </w:r>
                </w:p>
              </w:tc>
              <w:tc>
                <w:tcPr>
                  <w:tcW w:w="2651" w:type="pct"/>
                  <w:vAlign w:val="center"/>
                </w:tcPr>
                <w:p w14:paraId="3DBB50DE">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第十四条 在饮用水水源准保护区内，禁止下列行为：</w:t>
                  </w:r>
                  <w:r>
                    <w:rPr>
                      <w:rFonts w:hint="default" w:ascii="Times New Roman" w:hAnsi="Times New Roman" w:eastAsia="宋体" w:cs="Times New Roman"/>
                      <w:color w:val="auto"/>
                      <w:szCs w:val="21"/>
                      <w:highlight w:val="none"/>
                      <w:lang w:val="en-US" w:eastAsia="zh-CN"/>
                    </w:rPr>
                    <w:t>......</w:t>
                  </w:r>
                </w:p>
                <w:p w14:paraId="1253AE0D">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第十五条 在饮用水水源二级保护区内，除遵守本条例第十四条的规定外，还禁止下列行为：......</w:t>
                  </w:r>
                </w:p>
                <w:p w14:paraId="56C4EF75">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第十六条 在饮用水水源一级保护区内，除遵守本条例第十四条、第十五条的规定外，还禁止下列行为：......</w:t>
                  </w:r>
                </w:p>
                <w:p w14:paraId="71DEE4AA">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第十七条 在地下水饮用水水源保护区内从事生产经营活动，除遵守本条例第十四条、第十五条、第十六条的规定外，还应当遵守下列规定：......</w:t>
                  </w:r>
                </w:p>
              </w:tc>
              <w:tc>
                <w:tcPr>
                  <w:tcW w:w="1166" w:type="pct"/>
                  <w:vAlign w:val="center"/>
                </w:tcPr>
                <w:p w14:paraId="65CE4363">
                  <w:pPr>
                    <w:keepNext w:val="0"/>
                    <w:keepLines w:val="0"/>
                    <w:pageBreakBefore w:val="0"/>
                    <w:widowControl/>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本项目选址不在饮用水水源准保护区、二级保护区、一级保护区或</w:t>
                  </w:r>
                  <w:r>
                    <w:rPr>
                      <w:rFonts w:hint="default" w:ascii="Times New Roman" w:hAnsi="Times New Roman" w:eastAsia="宋体" w:cs="Times New Roman"/>
                      <w:color w:val="auto"/>
                      <w:szCs w:val="21"/>
                      <w:highlight w:val="none"/>
                      <w:lang w:val="en-US" w:eastAsia="zh-CN"/>
                    </w:rPr>
                    <w:t>地下水饮用水水源保护区内。</w:t>
                  </w:r>
                </w:p>
              </w:tc>
              <w:tc>
                <w:tcPr>
                  <w:tcW w:w="460" w:type="pct"/>
                  <w:vAlign w:val="center"/>
                </w:tcPr>
                <w:p w14:paraId="262F54B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符合</w:t>
                  </w:r>
                </w:p>
              </w:tc>
            </w:tr>
          </w:tbl>
          <w:p w14:paraId="6688F5D3">
            <w:pPr>
              <w:keepNext w:val="0"/>
              <w:keepLines w:val="0"/>
              <w:numPr>
                <w:ilvl w:val="0"/>
                <w:numId w:val="7"/>
              </w:numPr>
              <w:suppressLineNumbers w:val="0"/>
              <w:spacing w:before="0" w:beforeAutospacing="0" w:after="0" w:afterAutospacing="0" w:line="360" w:lineRule="auto"/>
              <w:ind w:left="0" w:right="0" w:firstLine="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与《</w:t>
            </w:r>
            <w:r>
              <w:rPr>
                <w:rFonts w:hint="default" w:ascii="Times New Roman" w:hAnsi="Times New Roman" w:eastAsia="宋体" w:cs="Times New Roman"/>
                <w:color w:val="auto"/>
                <w:sz w:val="24"/>
              </w:rPr>
              <w:t>安徽省“十四五”重点流域水生态环境保护规划</w:t>
            </w:r>
            <w:r>
              <w:rPr>
                <w:rFonts w:hint="default" w:ascii="Times New Roman" w:hAnsi="Times New Roman" w:eastAsia="宋体" w:cs="Times New Roman"/>
                <w:color w:val="auto"/>
                <w:kern w:val="0"/>
                <w:sz w:val="24"/>
              </w:rPr>
              <w:t>》符合性分析</w:t>
            </w:r>
          </w:p>
          <w:p w14:paraId="1D0E06CB">
            <w:pPr>
              <w:keepNext w:val="0"/>
              <w:keepLines w:val="0"/>
              <w:numPr>
                <w:ilvl w:val="0"/>
                <w:numId w:val="4"/>
              </w:numPr>
              <w:suppressLineNumbers w:val="0"/>
              <w:spacing w:before="0" w:beforeAutospacing="0" w:after="0" w:afterAutospacing="0"/>
              <w:ind w:left="420" w:leftChars="20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项目与《安徽省“十四五”重点流域水生态环境保护规划》相符性</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8"/>
              <w:gridCol w:w="1441"/>
              <w:gridCol w:w="690"/>
            </w:tblGrid>
            <w:tr w14:paraId="03BB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97" w:type="pct"/>
                  <w:vAlign w:val="center"/>
                </w:tcPr>
                <w:p w14:paraId="71E40B9E">
                  <w:pPr>
                    <w:keepNext w:val="0"/>
                    <w:keepLines w:val="0"/>
                    <w:widowControl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文件要求</w:t>
                  </w:r>
                </w:p>
              </w:tc>
              <w:tc>
                <w:tcPr>
                  <w:tcW w:w="948" w:type="pct"/>
                  <w:vAlign w:val="center"/>
                </w:tcPr>
                <w:p w14:paraId="0867F1A1">
                  <w:pPr>
                    <w:keepNext w:val="0"/>
                    <w:keepLines w:val="0"/>
                    <w:widowControl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本项目情况</w:t>
                  </w:r>
                </w:p>
              </w:tc>
              <w:tc>
                <w:tcPr>
                  <w:tcW w:w="454" w:type="pct"/>
                  <w:vAlign w:val="center"/>
                </w:tcPr>
                <w:p w14:paraId="2F05E69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符合性</w:t>
                  </w:r>
                </w:p>
              </w:tc>
            </w:tr>
            <w:tr w14:paraId="4F01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7" w:type="pct"/>
                  <w:vAlign w:val="center"/>
                </w:tcPr>
                <w:p w14:paraId="51CB61A4">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实施以排污许可制为核心的固定污染源监管制度，纳入排污许可管理的工业企业要严格落实污染物排放自行监测要求，属于重点污染源的，应安装自动监测设备，并与生态环境保护部门联网。推动工业废水资源化利用，推进企业内部工业用水循环利用、园区内企业间用水系统集成优化。开展火电、石化、有色金属、造纸、印染等高耗水行业工业废水循环利用示范。积极推进清洁生产审核，对焦化、有色金属、石化、化工、电镀、制革、石油开采、造纸、印染、农副食品加工等行业，全面推进清洁生产改造或清洁化改造。建立健全“双随机、一公开”制度，加强工业企业环境执法监管，严厉打击违法排放污水行为</w:t>
                  </w:r>
                </w:p>
              </w:tc>
              <w:tc>
                <w:tcPr>
                  <w:tcW w:w="948" w:type="pct"/>
                  <w:vAlign w:val="center"/>
                </w:tcPr>
                <w:p w14:paraId="2AD76C51">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highlight w:val="none"/>
                    </w:rPr>
                    <w:t>要求本次项目正式排污前进行排污许可</w:t>
                  </w:r>
                  <w:r>
                    <w:rPr>
                      <w:rFonts w:hint="eastAsia" w:ascii="Times New Roman" w:hAnsi="Times New Roman" w:eastAsia="宋体" w:cs="Times New Roman"/>
                      <w:color w:val="auto"/>
                      <w:szCs w:val="21"/>
                      <w:highlight w:val="none"/>
                      <w:lang w:val="en-US" w:eastAsia="zh-CN"/>
                    </w:rPr>
                    <w:t>登记</w:t>
                  </w:r>
                </w:p>
              </w:tc>
              <w:tc>
                <w:tcPr>
                  <w:tcW w:w="454" w:type="pct"/>
                  <w:vAlign w:val="center"/>
                </w:tcPr>
                <w:p w14:paraId="02CCC82C">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bl>
          <w:p w14:paraId="00460417">
            <w:pPr>
              <w:keepNext w:val="0"/>
              <w:keepLines w:val="0"/>
              <w:numPr>
                <w:ilvl w:val="0"/>
                <w:numId w:val="7"/>
              </w:numPr>
              <w:suppressLineNumbers w:val="0"/>
              <w:spacing w:before="0" w:beforeAutospacing="0" w:after="0" w:afterAutospacing="0" w:line="360" w:lineRule="auto"/>
              <w:ind w:left="0" w:right="0" w:firstLine="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与《宿州市“十四五”生态环境保护规划》（</w:t>
            </w:r>
            <w:r>
              <w:rPr>
                <w:rFonts w:hint="default" w:ascii="Times New Roman" w:hAnsi="Times New Roman" w:eastAsia="宋体" w:cs="Times New Roman"/>
                <w:color w:val="auto"/>
                <w:kern w:val="0"/>
                <w:sz w:val="24"/>
              </w:rPr>
              <w:t>宿环委会[2022]2号</w:t>
            </w:r>
            <w:r>
              <w:rPr>
                <w:rFonts w:hint="default" w:ascii="Times New Roman" w:hAnsi="Times New Roman" w:eastAsia="宋体" w:cs="Times New Roman"/>
                <w:color w:val="auto"/>
                <w:sz w:val="24"/>
              </w:rPr>
              <w:t>）符合性分析</w:t>
            </w:r>
          </w:p>
          <w:p w14:paraId="1D162E29">
            <w:pPr>
              <w:keepNext w:val="0"/>
              <w:keepLines w:val="0"/>
              <w:numPr>
                <w:ilvl w:val="0"/>
                <w:numId w:val="4"/>
              </w:numPr>
              <w:suppressLineNumbers w:val="0"/>
              <w:spacing w:before="0" w:beforeAutospacing="0" w:after="0" w:afterAutospacing="0"/>
              <w:ind w:left="420" w:leftChars="20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本项目与《宿州市“十四五”生态环境保护规划》相符性</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3"/>
              <w:gridCol w:w="1359"/>
              <w:gridCol w:w="695"/>
            </w:tblGrid>
            <w:tr w14:paraId="7C3E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7" w:type="pct"/>
                  <w:vAlign w:val="center"/>
                </w:tcPr>
                <w:p w14:paraId="6AA13440">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政策要求</w:t>
                  </w:r>
                </w:p>
              </w:tc>
              <w:tc>
                <w:tcPr>
                  <w:tcW w:w="894" w:type="pct"/>
                  <w:vAlign w:val="center"/>
                </w:tcPr>
                <w:p w14:paraId="4041193B">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本项目情况</w:t>
                  </w:r>
                </w:p>
              </w:tc>
              <w:tc>
                <w:tcPr>
                  <w:tcW w:w="457" w:type="pct"/>
                  <w:vAlign w:val="center"/>
                </w:tcPr>
                <w:p w14:paraId="0C0D8627">
                  <w:pPr>
                    <w:keepNext w:val="0"/>
                    <w:keepLines w:val="0"/>
                    <w:widowControl w:val="0"/>
                    <w:suppressLineNumbers w:val="0"/>
                    <w:spacing w:before="0" w:beforeAutospacing="0" w:after="0" w:afterAutospacing="0" w:line="240" w:lineRule="auto"/>
                    <w:ind w:left="-84" w:leftChars="-40" w:right="-84" w:rightChars="-4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符合性</w:t>
                  </w:r>
                </w:p>
              </w:tc>
            </w:tr>
            <w:tr w14:paraId="03DB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vAlign w:val="center"/>
                </w:tcPr>
                <w:p w14:paraId="7B415F98">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持续推进工业企业大气污染综合治理</w:t>
                  </w:r>
                </w:p>
                <w:p w14:paraId="191F623E">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...深入开展锅炉、炉窑综合整治。实施重点涉工业炉窑企业深度治理或清洁能源替代，完成65蒸吨及以上燃煤锅炉节能改造。持续开展散煤污染治理行动，严格查处非法销售、使用非清洁散煤等行为。</w:t>
                  </w:r>
                </w:p>
              </w:tc>
              <w:tc>
                <w:tcPr>
                  <w:tcW w:w="894" w:type="pct"/>
                  <w:vAlign w:val="center"/>
                </w:tcPr>
                <w:p w14:paraId="1600692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本项目</w:t>
                  </w:r>
                  <w:r>
                    <w:rPr>
                      <w:rFonts w:hint="eastAsia" w:ascii="Times New Roman" w:hAnsi="Times New Roman" w:eastAsia="宋体" w:cs="Times New Roman"/>
                      <w:bCs/>
                      <w:color w:val="auto"/>
                      <w:kern w:val="2"/>
                      <w:sz w:val="21"/>
                      <w:szCs w:val="21"/>
                      <w:lang w:val="en-US" w:eastAsia="zh-CN" w:bidi="ar-SA"/>
                    </w:rPr>
                    <w:t>使用燃气蒸汽发生器，</w:t>
                  </w:r>
                  <w:r>
                    <w:rPr>
                      <w:rFonts w:hint="default" w:ascii="Times New Roman" w:hAnsi="Times New Roman" w:eastAsia="宋体" w:cs="Times New Roman"/>
                      <w:bCs/>
                      <w:color w:val="auto"/>
                      <w:kern w:val="2"/>
                      <w:sz w:val="21"/>
                      <w:szCs w:val="21"/>
                      <w:lang w:val="en-US" w:eastAsia="zh-CN" w:bidi="ar-SA"/>
                    </w:rPr>
                    <w:t>不设置炉窑，不使用煤燃料</w:t>
                  </w:r>
                </w:p>
              </w:tc>
              <w:tc>
                <w:tcPr>
                  <w:tcW w:w="457" w:type="pct"/>
                  <w:vAlign w:val="center"/>
                </w:tcPr>
                <w:p w14:paraId="570BDC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6A95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vAlign w:val="center"/>
                </w:tcPr>
                <w:p w14:paraId="6968B440">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深化VOCs综合整治</w:t>
                  </w:r>
                </w:p>
                <w:p w14:paraId="53F3A6D6">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加强源头管控。严格落实国家和地方产品的VOCs（挥发性有机污染物）含量限值标准，优先推行生产和使用低VOCs原辅材料。鼓励加快低VOCs含量涂料、油墨、胶粘剂等研发和生产，通过低VOCs含量的涂料、油墨、胶粘剂、清洗剂等替代，减少VOCs产生。加大低VOCs含量产品的推广利用力度。将全面生产、使用符合国家要求的低VOCs含量原辅材料的企业纳入正面清单。引导将使用低VOCs含量涂料、胶粘剂等纳入政府采购装修合同环保条款。</w:t>
                  </w:r>
                </w:p>
                <w:p w14:paraId="1C2BE535">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...严格落实《挥发性有机物无组织排放控制标准》，加强VOCs无组织排放控制，加快废气收集系统建设，提高废气收集率。...</w:t>
                  </w:r>
                </w:p>
              </w:tc>
              <w:tc>
                <w:tcPr>
                  <w:tcW w:w="894" w:type="pct"/>
                  <w:vAlign w:val="center"/>
                </w:tcPr>
                <w:p w14:paraId="5275411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本项目不涉及VOCs产生及排放</w:t>
                  </w:r>
                </w:p>
              </w:tc>
              <w:tc>
                <w:tcPr>
                  <w:tcW w:w="457" w:type="pct"/>
                  <w:vAlign w:val="center"/>
                </w:tcPr>
                <w:p w14:paraId="550998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409B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vAlign w:val="center"/>
                </w:tcPr>
                <w:p w14:paraId="69337693">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推进水资源综合管理。实施最严格水资源管理制度。落实国家节水行动和水资源刚性约束制度。以水定城、以水定产。严格执行水资源论证制度，严格规范取水许可审批管理，合理分配水资源，确保生态流量。严格保护和合理利用地下水，实行地下水取用水总量控制和水位控制，加快推进地下水压采置换。推动完善水资源调度方案，强化抗旱管理、行蓄洪区管理。加强水资源综合管理支撑能力建设，建立完善水资源综合管理科技创新体系。</w:t>
                  </w:r>
                </w:p>
              </w:tc>
              <w:tc>
                <w:tcPr>
                  <w:tcW w:w="894" w:type="pct"/>
                  <w:vAlign w:val="center"/>
                </w:tcPr>
                <w:p w14:paraId="1925ED9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本项目用水来自市政给水管网，不开采地下水</w:t>
                  </w:r>
                </w:p>
              </w:tc>
              <w:tc>
                <w:tcPr>
                  <w:tcW w:w="457" w:type="pct"/>
                  <w:vAlign w:val="center"/>
                </w:tcPr>
                <w:p w14:paraId="444370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符合</w:t>
                  </w:r>
                </w:p>
              </w:tc>
            </w:tr>
            <w:tr w14:paraId="4691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vAlign w:val="center"/>
                </w:tcPr>
                <w:p w14:paraId="4B740E61">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加强土壤污染源头管控</w:t>
                  </w:r>
                </w:p>
                <w:p w14:paraId="66C8469D">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强化环境影响源头管控。实施土壤环境影响评价制度。对涉及有毒有害物质可能造成土壤污染的新（改、扩）建项目，依法进行土壤环境影响评价，提出并落实土壤和地下水污染防治要求。加强空间布局管控。将土壤和地下水环境要求纳入国土空间规划，根据土壤污染状况和风险合理规划土地用途，永久基本农田集中区域禁止规划新建可能造成土壤污染的建设项目。</w:t>
                  </w:r>
                </w:p>
              </w:tc>
              <w:tc>
                <w:tcPr>
                  <w:tcW w:w="894" w:type="pct"/>
                  <w:vAlign w:val="center"/>
                </w:tcPr>
                <w:p w14:paraId="1F844F5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本项目属于新建项目，</w:t>
                  </w:r>
                  <w:r>
                    <w:rPr>
                      <w:rFonts w:hint="eastAsia" w:ascii="Times New Roman" w:hAnsi="Times New Roman" w:eastAsia="宋体" w:cs="Times New Roman"/>
                      <w:bCs/>
                      <w:color w:val="auto"/>
                      <w:kern w:val="2"/>
                      <w:sz w:val="21"/>
                      <w:szCs w:val="21"/>
                      <w:highlight w:val="none"/>
                      <w:lang w:val="en-US" w:eastAsia="zh-CN" w:bidi="ar-SA"/>
                    </w:rPr>
                    <w:t>不</w:t>
                  </w:r>
                  <w:r>
                    <w:rPr>
                      <w:rFonts w:hint="default" w:ascii="Times New Roman" w:hAnsi="Times New Roman" w:eastAsia="宋体" w:cs="Times New Roman"/>
                      <w:bCs/>
                      <w:color w:val="auto"/>
                      <w:kern w:val="2"/>
                      <w:sz w:val="21"/>
                      <w:szCs w:val="21"/>
                      <w:highlight w:val="none"/>
                      <w:lang w:val="en-US" w:eastAsia="zh-CN" w:bidi="ar-SA"/>
                    </w:rPr>
                    <w:t>涉及可能造成土壤污染的毒害物质</w:t>
                  </w:r>
                </w:p>
              </w:tc>
              <w:tc>
                <w:tcPr>
                  <w:tcW w:w="457" w:type="pct"/>
                  <w:vAlign w:val="center"/>
                </w:tcPr>
                <w:p w14:paraId="05595C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1A1F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vAlign w:val="center"/>
                </w:tcPr>
                <w:p w14:paraId="570D1FE4">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控制工业企业噪声</w:t>
                  </w:r>
                </w:p>
                <w:p w14:paraId="5383EC9A">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推行使用低噪声设备，大力推广使用低噪声风机、低噪声空压机、低噪声冷却塔、低噪声机械加工设备等，工业噪声源应采用隔声、吸声和消声等措施，必要时应设置隔声罩，确保厂界达标，从噪声源头和传播途径上有效减少对周围环境的影响。加强厂区绿化，在高噪声设备处和厂界之间设置绿化带。控制在居民住宅区附近新建工业项目，杜绝产生新的噪声污染源。</w:t>
                  </w:r>
                </w:p>
              </w:tc>
              <w:tc>
                <w:tcPr>
                  <w:tcW w:w="894" w:type="pct"/>
                  <w:vAlign w:val="center"/>
                </w:tcPr>
                <w:p w14:paraId="1C7A1CA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项目选用低噪声设备，采取隔声、减震等措施，采取噪声防治措施</w:t>
                  </w:r>
                </w:p>
              </w:tc>
              <w:tc>
                <w:tcPr>
                  <w:tcW w:w="457" w:type="pct"/>
                  <w:vAlign w:val="center"/>
                </w:tcPr>
                <w:p w14:paraId="1DF92B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14:paraId="0C7BE5B2">
            <w:pPr>
              <w:keepNext w:val="0"/>
              <w:keepLines w:val="0"/>
              <w:numPr>
                <w:ilvl w:val="0"/>
                <w:numId w:val="7"/>
              </w:numPr>
              <w:suppressLineNumbers w:val="0"/>
              <w:spacing w:before="0" w:beforeAutospacing="0" w:after="0" w:afterAutospacing="0" w:line="360" w:lineRule="auto"/>
              <w:ind w:left="0" w:right="0" w:firstLine="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与《关于印发&lt;</w:t>
            </w:r>
            <w:r>
              <w:rPr>
                <w:rFonts w:hint="eastAsia" w:ascii="Times New Roman" w:hAnsi="Times New Roman" w:eastAsia="宋体" w:cs="Times New Roman"/>
                <w:color w:val="auto"/>
                <w:sz w:val="24"/>
              </w:rPr>
              <w:t>皖北六市空气质量提升攻坚行动方案</w:t>
            </w:r>
            <w:r>
              <w:rPr>
                <w:rFonts w:hint="default" w:ascii="Times New Roman" w:hAnsi="Times New Roman" w:eastAsia="宋体" w:cs="Times New Roman"/>
                <w:color w:val="auto"/>
                <w:sz w:val="24"/>
              </w:rPr>
              <w:t>&gt;的通知》（</w:t>
            </w:r>
            <w:r>
              <w:rPr>
                <w:rFonts w:hint="eastAsia" w:ascii="Times New Roman" w:hAnsi="Times New Roman" w:eastAsia="宋体" w:cs="Times New Roman"/>
                <w:color w:val="auto"/>
                <w:sz w:val="24"/>
              </w:rPr>
              <w:t>皖政办秘</w:t>
            </w:r>
            <w:r>
              <w:rPr>
                <w:rFonts w:hint="default" w:ascii="Times New Roman" w:hAnsi="Times New Roman" w:eastAsia="宋体" w:cs="Times New Roman"/>
                <w:color w:val="auto"/>
                <w:sz w:val="24"/>
              </w:rPr>
              <w:t>【202</w:t>
            </w:r>
            <w:r>
              <w:rPr>
                <w:rFonts w:hint="eastAsia" w:ascii="Times New Roman" w:hAnsi="Times New Roman" w:eastAsia="宋体" w:cs="Times New Roman"/>
                <w:color w:val="auto"/>
                <w:sz w:val="24"/>
              </w:rPr>
              <w:t>3</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rPr>
              <w:t>58</w:t>
            </w:r>
            <w:r>
              <w:rPr>
                <w:rFonts w:hint="default" w:ascii="Times New Roman" w:hAnsi="Times New Roman" w:eastAsia="宋体" w:cs="Times New Roman"/>
                <w:color w:val="auto"/>
                <w:sz w:val="24"/>
              </w:rPr>
              <w:t>号</w:t>
            </w:r>
            <w:r>
              <w:rPr>
                <w:rFonts w:hint="eastAsia" w:ascii="Times New Roman" w:hAnsi="Times New Roman" w:eastAsia="宋体" w:cs="Times New Roman"/>
                <w:color w:val="auto"/>
                <w:sz w:val="24"/>
              </w:rPr>
              <w:t>，安徽省人民政府办公厅，2023年12月08日</w:t>
            </w:r>
            <w:r>
              <w:rPr>
                <w:rFonts w:hint="default" w:ascii="Times New Roman" w:hAnsi="Times New Roman" w:eastAsia="宋体" w:cs="Times New Roman"/>
                <w:color w:val="auto"/>
                <w:sz w:val="24"/>
              </w:rPr>
              <w:t>）符合性分析</w:t>
            </w:r>
          </w:p>
          <w:p w14:paraId="43F3B953">
            <w:pPr>
              <w:keepNext w:val="0"/>
              <w:keepLines w:val="0"/>
              <w:numPr>
                <w:ilvl w:val="0"/>
                <w:numId w:val="4"/>
              </w:numPr>
              <w:suppressLineNumbers w:val="0"/>
              <w:spacing w:before="0" w:beforeAutospacing="0" w:after="0" w:afterAutospacing="0"/>
              <w:ind w:left="420" w:leftChars="200" w:right="0"/>
              <w:jc w:val="center"/>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本项目</w:t>
            </w:r>
            <w:r>
              <w:rPr>
                <w:rFonts w:hint="default" w:ascii="Times New Roman" w:hAnsi="Times New Roman" w:eastAsia="宋体" w:cs="Times New Roman"/>
                <w:b/>
                <w:color w:val="auto"/>
                <w:sz w:val="24"/>
              </w:rPr>
              <w:t>与《关于印发&lt;</w:t>
            </w:r>
            <w:r>
              <w:rPr>
                <w:rFonts w:hint="eastAsia" w:ascii="Times New Roman" w:hAnsi="Times New Roman" w:eastAsia="宋体" w:cs="Times New Roman"/>
                <w:b/>
                <w:color w:val="auto"/>
                <w:sz w:val="24"/>
              </w:rPr>
              <w:t>皖北六市空气质量提升攻坚行动方案</w:t>
            </w:r>
            <w:r>
              <w:rPr>
                <w:rFonts w:hint="default" w:ascii="Times New Roman" w:hAnsi="Times New Roman" w:eastAsia="宋体" w:cs="Times New Roman"/>
                <w:b/>
                <w:color w:val="auto"/>
                <w:sz w:val="24"/>
              </w:rPr>
              <w:t>&gt;的通知》符合性分析</w:t>
            </w:r>
          </w:p>
          <w:tbl>
            <w:tblPr>
              <w:tblStyle w:val="35"/>
              <w:tblW w:w="7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868"/>
              <w:gridCol w:w="1868"/>
              <w:gridCol w:w="850"/>
            </w:tblGrid>
            <w:tr w14:paraId="6BE3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4832" w:type="dxa"/>
                  <w:gridSpan w:val="2"/>
                  <w:noWrap/>
                  <w:vAlign w:val="center"/>
                </w:tcPr>
                <w:p w14:paraId="2F8AD1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《关于印发&lt;皖北六市空气质量提升攻坚行动方案&gt;的通知》（皖政办秘【2023】58号）内容</w:t>
                  </w:r>
                </w:p>
              </w:tc>
              <w:tc>
                <w:tcPr>
                  <w:tcW w:w="1868" w:type="dxa"/>
                  <w:noWrap/>
                  <w:vAlign w:val="center"/>
                </w:tcPr>
                <w:p w14:paraId="759555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本项目建设内容</w:t>
                  </w:r>
                </w:p>
              </w:tc>
              <w:tc>
                <w:tcPr>
                  <w:tcW w:w="850" w:type="dxa"/>
                  <w:noWrap/>
                  <w:vAlign w:val="center"/>
                </w:tcPr>
                <w:p w14:paraId="129791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相符性</w:t>
                  </w:r>
                </w:p>
              </w:tc>
            </w:tr>
            <w:tr w14:paraId="2164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964" w:type="dxa"/>
                  <w:vMerge w:val="restart"/>
                  <w:noWrap/>
                  <w:vAlign w:val="center"/>
                </w:tcPr>
                <w:p w14:paraId="0D9D19CC">
                  <w:pPr>
                    <w:keepNext w:val="0"/>
                    <w:keepLines w:val="0"/>
                    <w:widowControl/>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szCs w:val="21"/>
                    </w:rPr>
                  </w:pPr>
                  <w:r>
                    <w:rPr>
                      <w:rFonts w:hint="eastAsia" w:ascii="Times New Roman" w:hAnsi="Times New Roman" w:eastAsia="宋体" w:cs="Times New Roman"/>
                      <w:szCs w:val="21"/>
                    </w:rPr>
                    <w:t>二、重点工作-（一）开展产业绿色发展提升行动。</w:t>
                  </w:r>
                </w:p>
              </w:tc>
              <w:tc>
                <w:tcPr>
                  <w:tcW w:w="3868" w:type="dxa"/>
                  <w:noWrap/>
                  <w:vAlign w:val="center"/>
                </w:tcPr>
                <w:p w14:paraId="2A44515A">
                  <w:pPr>
                    <w:keepNext w:val="0"/>
                    <w:keepLines w:val="0"/>
                    <w:widowControl/>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1</w:t>
                  </w:r>
                  <w:r>
                    <w:rPr>
                      <w:rFonts w:hint="eastAsia" w:ascii="Times New Roman" w:hAnsi="Times New Roman" w:eastAsia="宋体" w:cs="Times New Roman"/>
                      <w:szCs w:val="21"/>
                    </w:rPr>
                    <w:t>.</w:t>
                  </w:r>
                  <w:r>
                    <w:rPr>
                      <w:rFonts w:hint="default" w:ascii="Times New Roman" w:hAnsi="Times New Roman" w:eastAsia="宋体" w:cs="Times New Roman"/>
                      <w:szCs w:val="21"/>
                    </w:rPr>
                    <w:t>坚决遏</w:t>
                  </w:r>
                  <w:r>
                    <w:rPr>
                      <w:rFonts w:hint="eastAsia" w:ascii="宋体" w:hAnsi="宋体" w:eastAsia="宋体" w:cs="宋体"/>
                      <w:szCs w:val="21"/>
                    </w:rPr>
                    <w:t>制“两高”项目盲目发展。对淮南市的火电、煤化工，淮北市的火电、焦化，蚌埠市的化工、玻璃，阜阳市的化工、建材，宿州市的水泥、陶瓷等“两高”项目，实施清单管理、动态监控，严格落实错峰生产和重污染天气应急管理措施，新建“两高”项</w:t>
                  </w:r>
                  <w:r>
                    <w:rPr>
                      <w:rFonts w:hint="default" w:ascii="Times New Roman" w:hAnsi="Times New Roman" w:eastAsia="宋体" w:cs="Times New Roman"/>
                      <w:szCs w:val="21"/>
                    </w:rPr>
                    <w:t>目按照重污染天气A级绩效指标建设。</w:t>
                  </w:r>
                </w:p>
              </w:tc>
              <w:tc>
                <w:tcPr>
                  <w:tcW w:w="1868" w:type="dxa"/>
                  <w:noWrap/>
                  <w:vAlign w:val="center"/>
                </w:tcPr>
                <w:p w14:paraId="351420BF">
                  <w:pPr>
                    <w:keepNext w:val="0"/>
                    <w:keepLines w:val="0"/>
                    <w:widowControl/>
                    <w:suppressLineNumbers w:val="0"/>
                    <w:adjustRightInd w:val="0"/>
                    <w:snapToGrid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本项目不属于“两高”项目，同时也不属于宿州市的水泥、陶瓷等“两高”项目。</w:t>
                  </w:r>
                </w:p>
              </w:tc>
              <w:tc>
                <w:tcPr>
                  <w:tcW w:w="850" w:type="dxa"/>
                  <w:noWrap/>
                  <w:vAlign w:val="center"/>
                </w:tcPr>
                <w:p w14:paraId="7AE7908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14:paraId="3001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964" w:type="dxa"/>
                  <w:vMerge w:val="continue"/>
                  <w:noWrap/>
                  <w:vAlign w:val="center"/>
                </w:tcPr>
                <w:p w14:paraId="023ECD71">
                  <w:pPr>
                    <w:keepNext w:val="0"/>
                    <w:keepLines w:val="0"/>
                    <w:widowControl/>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szCs w:val="21"/>
                    </w:rPr>
                  </w:pPr>
                </w:p>
              </w:tc>
              <w:tc>
                <w:tcPr>
                  <w:tcW w:w="3868" w:type="dxa"/>
                  <w:noWrap/>
                  <w:vAlign w:val="center"/>
                </w:tcPr>
                <w:p w14:paraId="21F48F0F">
                  <w:pPr>
                    <w:keepNext w:val="0"/>
                    <w:keepLines w:val="0"/>
                    <w:widowControl/>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3</w:t>
                  </w:r>
                  <w:r>
                    <w:rPr>
                      <w:rFonts w:hint="eastAsia" w:ascii="Times New Roman" w:hAnsi="Times New Roman" w:eastAsia="宋体" w:cs="Times New Roman"/>
                      <w:szCs w:val="21"/>
                    </w:rPr>
                    <w:t>.</w:t>
                  </w:r>
                  <w:r>
                    <w:rPr>
                      <w:rFonts w:hint="default" w:ascii="Times New Roman" w:hAnsi="Times New Roman" w:eastAsia="宋体" w:cs="Times New Roman"/>
                      <w:szCs w:val="21"/>
                    </w:rPr>
                    <w:t>大力整</w:t>
                  </w:r>
                  <w:r>
                    <w:rPr>
                      <w:rFonts w:hint="eastAsia" w:ascii="宋体" w:hAnsi="宋体" w:eastAsia="宋体" w:cs="宋体"/>
                      <w:szCs w:val="21"/>
                    </w:rPr>
                    <w:t>治“散乱污”企业。全面排查塑料加工、人造板、木材加工、家具制造、合成革、包装印刷、石材加工、煤和矸石破碎加工（含煤球等）、粮食饲料加工、中药材加工、不规范搅拌站、汽车维修（抛光、打磨）、黑色和有色金属熔炼加工、陶瓷烧制、砖瓦窑等涉气“散乱污”企业，实施清单管理，明确时限、责任、措施，依法依规限</w:t>
                  </w:r>
                  <w:r>
                    <w:rPr>
                      <w:rFonts w:hint="default" w:ascii="Times New Roman" w:hAnsi="Times New Roman" w:eastAsia="宋体" w:cs="Times New Roman"/>
                      <w:szCs w:val="21"/>
                    </w:rPr>
                    <w:t>期退出，推动相关产业转型升级。</w:t>
                  </w:r>
                </w:p>
              </w:tc>
              <w:tc>
                <w:tcPr>
                  <w:tcW w:w="1868" w:type="dxa"/>
                  <w:noWrap/>
                  <w:vAlign w:val="center"/>
                </w:tcPr>
                <w:p w14:paraId="079C00A1">
                  <w:pPr>
                    <w:keepNext w:val="0"/>
                    <w:keepLines w:val="0"/>
                    <w:widowControl w:val="0"/>
                    <w:suppressLineNumbers w:val="0"/>
                    <w:spacing w:before="0" w:beforeAutospacing="0" w:after="0" w:afterAutospacing="0" w:line="240" w:lineRule="auto"/>
                    <w:ind w:left="0" w:right="0" w:firstLine="420" w:firstLineChars="200"/>
                    <w:jc w:val="left"/>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本项目对产生的废气、废水、噪声和固体废弃物采取有效防治措施，不属于“散乱污”企业。</w:t>
                  </w:r>
                </w:p>
              </w:tc>
              <w:tc>
                <w:tcPr>
                  <w:tcW w:w="850" w:type="dxa"/>
                  <w:noWrap/>
                  <w:vAlign w:val="center"/>
                </w:tcPr>
                <w:p w14:paraId="36259E3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符合</w:t>
                  </w:r>
                </w:p>
              </w:tc>
            </w:tr>
            <w:tr w14:paraId="273A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64" w:type="dxa"/>
                  <w:noWrap/>
                  <w:vAlign w:val="center"/>
                </w:tcPr>
                <w:p w14:paraId="05DA900D">
                  <w:pPr>
                    <w:keepNext w:val="0"/>
                    <w:keepLines w:val="0"/>
                    <w:widowControl/>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szCs w:val="21"/>
                    </w:rPr>
                  </w:pPr>
                  <w:r>
                    <w:rPr>
                      <w:rFonts w:hint="eastAsia" w:ascii="Times New Roman" w:hAnsi="Times New Roman" w:eastAsia="宋体" w:cs="Times New Roman"/>
                      <w:szCs w:val="21"/>
                    </w:rPr>
                    <w:t>二、重点工作-（五）开展减污协同增效提升行动。</w:t>
                  </w:r>
                </w:p>
              </w:tc>
              <w:tc>
                <w:tcPr>
                  <w:tcW w:w="3868" w:type="dxa"/>
                  <w:noWrap/>
                  <w:vAlign w:val="center"/>
                </w:tcPr>
                <w:p w14:paraId="42FE80BE">
                  <w:pPr>
                    <w:keepNext w:val="0"/>
                    <w:keepLines w:val="0"/>
                    <w:widowControl/>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15</w:t>
                  </w:r>
                  <w:r>
                    <w:rPr>
                      <w:rFonts w:hint="eastAsia" w:ascii="Times New Roman" w:hAnsi="Times New Roman" w:eastAsia="宋体" w:cs="Times New Roman"/>
                      <w:szCs w:val="21"/>
                    </w:rPr>
                    <w:t>.</w:t>
                  </w:r>
                  <w:r>
                    <w:rPr>
                      <w:rFonts w:hint="default" w:ascii="Times New Roman" w:hAnsi="Times New Roman" w:eastAsia="宋体" w:cs="Times New Roman"/>
                      <w:szCs w:val="21"/>
                    </w:rPr>
                    <w:t>强化挥</w:t>
                  </w:r>
                  <w:r>
                    <w:rPr>
                      <w:rFonts w:hint="eastAsia" w:ascii="宋体" w:hAnsi="宋体" w:eastAsia="宋体" w:cs="宋体"/>
                      <w:szCs w:val="21"/>
                    </w:rPr>
                    <w:t>发性有机物深度治理。坚持“源头替代、综合治理、总量削减”原则，大力推动家具制造、板材加工、化工等涉挥发性有机物工业源</w:t>
                  </w:r>
                  <w:r>
                    <w:rPr>
                      <w:rFonts w:hint="default" w:ascii="Times New Roman" w:hAnsi="Times New Roman" w:eastAsia="宋体" w:cs="Times New Roman"/>
                      <w:szCs w:val="21"/>
                    </w:rPr>
                    <w:t>重点行业全过程治理。实施低挥发性有机物含量原辅材料和产品源头替代工程，强化包装印刷、工业涂装、油品储运销等行业挥发性有机物收集效率，淘汰低效治理设施。持续开展挥发性有机物无组织排放问题排查整治。到2025年底，六市累计完成挥发性有机物重点工程减排量1万吨。</w:t>
                  </w:r>
                </w:p>
              </w:tc>
              <w:tc>
                <w:tcPr>
                  <w:tcW w:w="1868" w:type="dxa"/>
                  <w:noWrap/>
                  <w:vAlign w:val="center"/>
                </w:tcPr>
                <w:p w14:paraId="475CC8CC">
                  <w:pPr>
                    <w:keepNext w:val="0"/>
                    <w:keepLines w:val="0"/>
                    <w:widowControl w:val="0"/>
                    <w:suppressLineNumbers w:val="0"/>
                    <w:spacing w:before="0" w:beforeAutospacing="0" w:after="0" w:afterAutospacing="0" w:line="240" w:lineRule="auto"/>
                    <w:ind w:left="0" w:right="0" w:firstLine="420" w:firstLineChars="200"/>
                    <w:jc w:val="left"/>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本项目不涉及挥发性有机物排放。</w:t>
                  </w:r>
                </w:p>
              </w:tc>
              <w:tc>
                <w:tcPr>
                  <w:tcW w:w="850" w:type="dxa"/>
                  <w:noWrap/>
                  <w:vAlign w:val="center"/>
                </w:tcPr>
                <w:p w14:paraId="45E971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符合</w:t>
                  </w:r>
                </w:p>
              </w:tc>
            </w:tr>
          </w:tbl>
          <w:p w14:paraId="27D1A6FB">
            <w:pPr>
              <w:keepNext w:val="0"/>
              <w:keepLines w:val="0"/>
              <w:numPr>
                <w:ilvl w:val="0"/>
                <w:numId w:val="7"/>
              </w:numPr>
              <w:suppressLineNumbers w:val="0"/>
              <w:spacing w:before="0" w:beforeAutospacing="0" w:after="0" w:afterAutospacing="0" w:line="360" w:lineRule="auto"/>
              <w:ind w:left="0" w:right="0" w:firstLine="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与《宿州人民政府关于划定高污染燃料禁燃区的通告》（宿政发【2018】50号）相符性分析</w:t>
            </w:r>
          </w:p>
          <w:p w14:paraId="74335B46">
            <w:pPr>
              <w:keepNext w:val="0"/>
              <w:keepLines w:val="0"/>
              <w:numPr>
                <w:ilvl w:val="0"/>
                <w:numId w:val="4"/>
              </w:numPr>
              <w:suppressLineNumbers w:val="0"/>
              <w:spacing w:before="0" w:beforeAutospacing="0" w:after="0" w:afterAutospacing="0"/>
              <w:ind w:left="420" w:leftChars="200" w:right="0"/>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与《宿州人民政府关于划定高污染燃料禁燃区的通告》（宿政发【2018】50号）相符性分析一览表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906"/>
              <w:gridCol w:w="2249"/>
              <w:gridCol w:w="797"/>
            </w:tblGrid>
            <w:tr w14:paraId="7D24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Align w:val="center"/>
                </w:tcPr>
                <w:p w14:paraId="50F345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序号</w:t>
                  </w:r>
                </w:p>
              </w:tc>
              <w:tc>
                <w:tcPr>
                  <w:tcW w:w="4215" w:type="dxa"/>
                  <w:vAlign w:val="center"/>
                </w:tcPr>
                <w:p w14:paraId="11AEBA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宿州人民政府关于划定高污染燃料禁燃区的通告</w:t>
                  </w:r>
                </w:p>
              </w:tc>
              <w:tc>
                <w:tcPr>
                  <w:tcW w:w="2419" w:type="dxa"/>
                  <w:vAlign w:val="center"/>
                </w:tcPr>
                <w:p w14:paraId="551E0D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项目情况</w:t>
                  </w:r>
                </w:p>
              </w:tc>
              <w:tc>
                <w:tcPr>
                  <w:tcW w:w="845" w:type="dxa"/>
                  <w:vAlign w:val="center"/>
                </w:tcPr>
                <w:p w14:paraId="569CDC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相符性</w:t>
                  </w:r>
                </w:p>
              </w:tc>
            </w:tr>
            <w:tr w14:paraId="0E2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Align w:val="center"/>
                </w:tcPr>
                <w:p w14:paraId="5C07D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p>
              </w:tc>
              <w:tc>
                <w:tcPr>
                  <w:tcW w:w="4215" w:type="dxa"/>
                  <w:vAlign w:val="center"/>
                </w:tcPr>
                <w:p w14:paraId="0D13DEC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420" w:firstLineChars="200"/>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一、</w:t>
                  </w:r>
                  <w:r>
                    <w:rPr>
                      <w:rFonts w:hint="default" w:ascii="Times New Roman" w:hAnsi="Times New Roman" w:eastAsia="宋体" w:cs="Times New Roman"/>
                      <w:color w:val="000000"/>
                      <w:kern w:val="0"/>
                      <w:sz w:val="21"/>
                      <w:szCs w:val="21"/>
                      <w:shd w:val="clear" w:color="auto" w:fill="FFFFFF"/>
                      <w:lang w:val="en-US" w:eastAsia="zh-CN" w:bidi="ar-SA"/>
                    </w:rPr>
                    <w:t>禁燃区范围包括：宿州经开区、宿马园区、市高新区、宿州现代制鞋产业城以及埇桥区各街道、埇桥区符离镇、埇桥区西二铺乡、埇桥区桃园镇、埇桥区朱仙庄镇。</w:t>
                  </w:r>
                </w:p>
                <w:p w14:paraId="2967052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420"/>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二、</w:t>
                  </w:r>
                  <w:r>
                    <w:rPr>
                      <w:rFonts w:hint="default" w:ascii="Times New Roman" w:hAnsi="Times New Roman" w:eastAsia="宋体" w:cs="Times New Roman"/>
                      <w:color w:val="000000"/>
                      <w:kern w:val="0"/>
                      <w:sz w:val="21"/>
                      <w:szCs w:val="21"/>
                      <w:shd w:val="clear" w:color="auto" w:fill="FFFFFF"/>
                      <w:lang w:val="en-US" w:eastAsia="zh-CN" w:bidi="ar-SA"/>
                    </w:rPr>
                    <w:t>禁止燃用高污染燃料组合类别为III类（严格），具体包括：煤炭及其制品（包括原煤、散煤、煤矸石、煤泥、煤粉、水煤浆、型煤、焦炭、兰炭等）；石油焦、油页岩、原油、重油、渣油、煤焦油等；非专用锅炉或未配置高效除尘设施的专用锅炉燃用的生物质成型燃料；以及国家规定的其他高污染燃料。</w:t>
                  </w:r>
                </w:p>
              </w:tc>
              <w:tc>
                <w:tcPr>
                  <w:tcW w:w="2419" w:type="dxa"/>
                  <w:vAlign w:val="center"/>
                </w:tcPr>
                <w:p w14:paraId="6FE247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项目位于</w:t>
                  </w:r>
                  <w:r>
                    <w:rPr>
                      <w:rFonts w:hint="eastAsia" w:ascii="Times New Roman" w:hAnsi="Times New Roman" w:eastAsia="宋体" w:cs="Times New Roman"/>
                      <w:color w:val="000000"/>
                      <w:sz w:val="21"/>
                      <w:szCs w:val="21"/>
                      <w:vertAlign w:val="baseline"/>
                      <w:lang w:val="en-US" w:eastAsia="zh-CN"/>
                    </w:rPr>
                    <w:t>宿州市高新技术产业开发区北三环泗山路</w:t>
                  </w:r>
                  <w:r>
                    <w:rPr>
                      <w:rFonts w:hint="default" w:ascii="Times New Roman" w:hAnsi="Times New Roman" w:eastAsia="宋体" w:cs="Times New Roman"/>
                      <w:color w:val="000000"/>
                      <w:sz w:val="21"/>
                      <w:szCs w:val="21"/>
                      <w:vertAlign w:val="baseline"/>
                      <w:lang w:val="en-US" w:eastAsia="zh-CN"/>
                    </w:rPr>
                    <w:t>，本项目</w:t>
                  </w:r>
                  <w:r>
                    <w:rPr>
                      <w:rFonts w:hint="eastAsia" w:ascii="Times New Roman" w:hAnsi="Times New Roman" w:eastAsia="宋体" w:cs="Times New Roman"/>
                      <w:color w:val="000000"/>
                      <w:sz w:val="21"/>
                      <w:szCs w:val="21"/>
                      <w:vertAlign w:val="baseline"/>
                      <w:lang w:val="en-US" w:eastAsia="zh-CN"/>
                    </w:rPr>
                    <w:t>不</w:t>
                  </w:r>
                  <w:r>
                    <w:rPr>
                      <w:rFonts w:hint="default" w:ascii="Times New Roman" w:hAnsi="Times New Roman" w:eastAsia="宋体" w:cs="Times New Roman"/>
                      <w:color w:val="000000"/>
                      <w:sz w:val="21"/>
                      <w:szCs w:val="21"/>
                      <w:vertAlign w:val="baseline"/>
                      <w:lang w:val="en-US" w:eastAsia="zh-CN"/>
                    </w:rPr>
                    <w:t>在《宿州人民政府关于划定高污染燃料禁燃区的通告》规定的禁燃区域内，不使用煤炭及其制品及石油焦、原油等燃料，</w:t>
                  </w:r>
                  <w:r>
                    <w:rPr>
                      <w:rFonts w:hint="default" w:ascii="Times New Roman" w:hAnsi="Times New Roman" w:eastAsia="宋体" w:cs="Times New Roman"/>
                      <w:color w:val="000000"/>
                      <w:sz w:val="21"/>
                      <w:szCs w:val="21"/>
                      <w:lang w:eastAsia="zh-CN"/>
                    </w:rPr>
                    <w:t>本项目</w:t>
                  </w:r>
                  <w:r>
                    <w:rPr>
                      <w:rFonts w:hint="eastAsia" w:ascii="Times New Roman" w:hAnsi="Times New Roman" w:eastAsia="宋体" w:cs="Times New Roman"/>
                      <w:color w:val="000000"/>
                      <w:sz w:val="21"/>
                      <w:szCs w:val="21"/>
                      <w:lang w:val="en-US" w:eastAsia="zh-CN"/>
                    </w:rPr>
                    <w:t>使用蒸汽发生器</w:t>
                  </w:r>
                  <w:r>
                    <w:rPr>
                      <w:rFonts w:hint="default" w:ascii="Times New Roman" w:hAnsi="Times New Roman" w:eastAsia="宋体"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燃料为天然气</w:t>
                  </w:r>
                  <w:r>
                    <w:rPr>
                      <w:rFonts w:hint="default" w:ascii="Times New Roman" w:hAnsi="Times New Roman" w:eastAsia="宋体" w:cs="Times New Roman"/>
                      <w:color w:val="000000"/>
                      <w:sz w:val="21"/>
                      <w:szCs w:val="21"/>
                      <w:vertAlign w:val="baseline"/>
                      <w:lang w:val="en-US" w:eastAsia="zh-CN"/>
                    </w:rPr>
                    <w:t>不属于高污染燃料</w:t>
                  </w:r>
                  <w:r>
                    <w:rPr>
                      <w:rFonts w:hint="eastAsia" w:ascii="Times New Roman" w:hAnsi="Times New Roman" w:eastAsia="宋体" w:cs="Times New Roman"/>
                      <w:color w:val="000000"/>
                      <w:sz w:val="21"/>
                      <w:szCs w:val="21"/>
                      <w:vertAlign w:val="baseline"/>
                      <w:lang w:val="en-US" w:eastAsia="zh-CN"/>
                    </w:rPr>
                    <w:t>。</w:t>
                  </w:r>
                </w:p>
              </w:tc>
              <w:tc>
                <w:tcPr>
                  <w:tcW w:w="845" w:type="dxa"/>
                  <w:vAlign w:val="center"/>
                </w:tcPr>
                <w:p w14:paraId="0508A3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相符</w:t>
                  </w:r>
                </w:p>
              </w:tc>
            </w:tr>
          </w:tbl>
          <w:p w14:paraId="5DA17D8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rPr>
              <w:t>综上分析，本项目满足《安徽省淮河流域水污染防治条例》</w:t>
            </w:r>
            <w:r>
              <w:rPr>
                <w:rFonts w:hint="eastAsia" w:ascii="Times New Roman" w:hAnsi="Times New Roman" w:eastAsia="宋体" w:cs="Times New Roman"/>
                <w:color w:val="auto"/>
                <w:sz w:val="24"/>
                <w:lang w:eastAsia="zh-CN"/>
              </w:rPr>
              <w:t>、《安徽省饮用水水源环境保护条例》、</w:t>
            </w:r>
            <w:r>
              <w:rPr>
                <w:rFonts w:hint="default" w:ascii="Times New Roman" w:hAnsi="Times New Roman" w:eastAsia="宋体" w:cs="Times New Roman"/>
                <w:color w:val="auto"/>
                <w:kern w:val="0"/>
                <w:sz w:val="24"/>
              </w:rPr>
              <w:t>《安徽省“十四五”重点流域水生态环境保护规划》、《宿州市“十四五”生态环境保护规划》</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sz w:val="24"/>
              </w:rPr>
              <w:t>《关于印发&lt;</w:t>
            </w:r>
            <w:r>
              <w:rPr>
                <w:rFonts w:hint="eastAsia" w:ascii="Times New Roman" w:hAnsi="Times New Roman" w:eastAsia="宋体" w:cs="Times New Roman"/>
                <w:color w:val="auto"/>
                <w:sz w:val="24"/>
              </w:rPr>
              <w:t>皖北六市空气质量提升攻坚行动方案</w:t>
            </w:r>
            <w:r>
              <w:rPr>
                <w:rFonts w:hint="default" w:ascii="Times New Roman" w:hAnsi="Times New Roman" w:eastAsia="宋体" w:cs="Times New Roman"/>
                <w:color w:val="auto"/>
                <w:sz w:val="24"/>
              </w:rPr>
              <w:t>&gt;的通知》</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《宿州人民政府关于划定高污染燃料禁燃区的通告》</w:t>
            </w:r>
            <w:r>
              <w:rPr>
                <w:rFonts w:hint="default" w:ascii="Times New Roman" w:hAnsi="Times New Roman" w:eastAsia="宋体" w:cs="Times New Roman"/>
                <w:color w:val="auto"/>
                <w:kern w:val="0"/>
                <w:sz w:val="24"/>
              </w:rPr>
              <w:t>中</w:t>
            </w:r>
            <w:r>
              <w:rPr>
                <w:rFonts w:hint="default" w:ascii="Times New Roman" w:hAnsi="Times New Roman" w:eastAsia="宋体" w:cs="Times New Roman"/>
                <w:color w:val="auto"/>
                <w:sz w:val="24"/>
              </w:rPr>
              <w:t>的相关要求。</w:t>
            </w:r>
          </w:p>
        </w:tc>
      </w:tr>
    </w:tbl>
    <w:p w14:paraId="7A297F4F">
      <w:pPr>
        <w:spacing w:line="360" w:lineRule="auto"/>
        <w:outlineLvl w:val="0"/>
        <w:rPr>
          <w:sz w:val="30"/>
        </w:rPr>
        <w:sectPr>
          <w:headerReference r:id="rId5" w:type="default"/>
          <w:footerReference r:id="rId6" w:type="default"/>
          <w:pgSz w:w="11906" w:h="16838"/>
          <w:pgMar w:top="1418" w:right="1134" w:bottom="1418" w:left="1247" w:header="851" w:footer="1077" w:gutter="0"/>
          <w:pgNumType w:start="1"/>
          <w:cols w:space="720" w:num="1"/>
          <w:docGrid w:linePitch="312" w:charSpace="0"/>
        </w:sectPr>
      </w:pPr>
    </w:p>
    <w:p w14:paraId="511FA0D5">
      <w:pPr>
        <w:pStyle w:val="31"/>
        <w:spacing w:before="0" w:beforeAutospacing="0" w:after="0" w:afterAutospacing="0" w:line="360" w:lineRule="auto"/>
        <w:jc w:val="center"/>
        <w:outlineLvl w:val="0"/>
        <w:rPr>
          <w:rFonts w:ascii="Times New Roman" w:hAnsi="Times New Roman"/>
          <w:b/>
          <w:snapToGrid w:val="0"/>
          <w:sz w:val="30"/>
          <w:szCs w:val="30"/>
        </w:rPr>
      </w:pPr>
      <w:r>
        <w:rPr>
          <w:rFonts w:ascii="Times New Roman" w:hAnsi="Times New Roman"/>
          <w:b/>
          <w:snapToGrid w:val="0"/>
          <w:sz w:val="30"/>
          <w:szCs w:val="30"/>
        </w:rPr>
        <w:t>二、建设项目工程分析</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7"/>
        <w:gridCol w:w="8903"/>
      </w:tblGrid>
      <w:tr w14:paraId="35E91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vAlign w:val="center"/>
          </w:tcPr>
          <w:p w14:paraId="06601BD0">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sz w:val="21"/>
                <w:szCs w:val="21"/>
              </w:rPr>
            </w:pPr>
            <w:r>
              <w:rPr>
                <w:rFonts w:hint="default" w:ascii="Times New Roman" w:hAnsi="Times New Roman"/>
                <w:b/>
                <w:color w:val="auto"/>
                <w:sz w:val="21"/>
                <w:szCs w:val="21"/>
              </w:rPr>
              <w:t>建设内容</w:t>
            </w:r>
          </w:p>
        </w:tc>
        <w:tc>
          <w:tcPr>
            <w:tcW w:w="8903" w:type="dxa"/>
          </w:tcPr>
          <w:p w14:paraId="0C013596">
            <w:pPr>
              <w:keepNext w:val="0"/>
              <w:keepLines w:val="0"/>
              <w:suppressLineNumbers w:val="0"/>
              <w:spacing w:before="0" w:beforeAutospacing="0" w:after="0" w:afterAutospacing="0" w:line="360" w:lineRule="auto"/>
              <w:ind w:left="0" w:right="0"/>
              <w:rPr>
                <w:rFonts w:hint="eastAsia"/>
                <w:b/>
                <w:color w:val="auto"/>
                <w:sz w:val="24"/>
              </w:rPr>
            </w:pPr>
            <w:r>
              <w:rPr>
                <w:rFonts w:hint="default"/>
                <w:b/>
                <w:color w:val="auto"/>
                <w:sz w:val="24"/>
              </w:rPr>
              <w:t>1、项目</w:t>
            </w:r>
            <w:r>
              <w:rPr>
                <w:rFonts w:hint="eastAsia"/>
                <w:b/>
                <w:color w:val="auto"/>
                <w:sz w:val="24"/>
              </w:rPr>
              <w:t>背景</w:t>
            </w:r>
          </w:p>
          <w:p w14:paraId="02B0D70A">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（1）项目由来</w:t>
            </w:r>
          </w:p>
          <w:p w14:paraId="6532A64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eastAsia="宋体" w:cs="Times New Roman"/>
                <w:bCs/>
                <w:color w:val="auto"/>
                <w:kern w:val="36"/>
                <w:sz w:val="24"/>
                <w:lang w:val="en-US" w:eastAsia="zh-CN"/>
              </w:rPr>
            </w:pPr>
            <w:r>
              <w:rPr>
                <w:rFonts w:hint="eastAsia" w:hAnsi="宋体"/>
                <w:bCs/>
                <w:color w:val="auto"/>
                <w:kern w:val="36"/>
                <w:sz w:val="24"/>
                <w:lang w:val="en-US" w:eastAsia="zh-CN"/>
              </w:rPr>
              <w:t>安徽数字星空生物科技有限公司原项目，属于包装销售类项目。该项目主要为对外购的坚果成品</w:t>
            </w:r>
            <w:r>
              <w:rPr>
                <w:rFonts w:hint="eastAsia" w:hAnsi="宋体"/>
                <w:bCs/>
                <w:color w:val="auto"/>
                <w:kern w:val="36"/>
                <w:sz w:val="24"/>
                <w:lang w:val="en-US" w:eastAsia="zh-CN"/>
              </w:rPr>
              <w:t>进行分装、贴标、包装和仓储销售，不涉及食品的生产、加工及任何可能导致环境污染的工艺环节，年包装销售500吨坚果成品。</w:t>
            </w:r>
          </w:p>
          <w:p w14:paraId="3C98BCF8">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Cs/>
                <w:color w:val="auto"/>
                <w:kern w:val="36"/>
                <w:sz w:val="24"/>
                <w:lang w:val="en-US" w:eastAsia="zh-CN"/>
              </w:rPr>
            </w:pPr>
            <w:r>
              <w:rPr>
                <w:rFonts w:hint="eastAsia" w:hAnsi="宋体"/>
                <w:bCs/>
                <w:color w:val="auto"/>
                <w:kern w:val="36"/>
                <w:sz w:val="24"/>
                <w:lang w:val="en-US" w:eastAsia="zh-CN"/>
              </w:rPr>
              <w:t>根据《建设项目环境影响评价分类管理名录》（2021年版）及相关地方环保管理规定，该类仅涉及简单分装、包装的销售类项目。因此，原项目被认定为环评豁免项目，无需办理环境影响评价审批手续，仅需在建设和运营过程中落实基本的环保管理要求即可。</w:t>
            </w:r>
          </w:p>
          <w:p w14:paraId="3599EF8B">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Cs/>
                <w:color w:val="auto"/>
                <w:kern w:val="36"/>
                <w:sz w:val="24"/>
                <w:lang w:val="en-US" w:eastAsia="zh-CN"/>
              </w:rPr>
            </w:pPr>
            <w:r>
              <w:rPr>
                <w:rFonts w:hint="eastAsia" w:hAnsi="宋体"/>
                <w:bCs/>
                <w:color w:val="auto"/>
                <w:kern w:val="36"/>
                <w:sz w:val="24"/>
                <w:lang w:val="en-US" w:eastAsia="zh-CN"/>
              </w:rPr>
              <w:t>本次申报的益生菌、运动营养及保健食品柔性生产线升级技改项目，是在原有场地内进行的改建项目，项目性质由包装销售变为生产制造。</w:t>
            </w:r>
          </w:p>
          <w:p w14:paraId="5E904C7C">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Cs/>
                <w:color w:val="auto"/>
                <w:kern w:val="36"/>
                <w:sz w:val="24"/>
                <w:lang w:val="en-US" w:eastAsia="zh-CN"/>
              </w:rPr>
            </w:pPr>
            <w:r>
              <w:rPr>
                <w:rFonts w:hint="eastAsia" w:hAnsi="宋体"/>
                <w:bCs/>
                <w:color w:val="auto"/>
                <w:kern w:val="36"/>
                <w:sz w:val="24"/>
                <w:lang w:val="en-US" w:eastAsia="zh-CN"/>
              </w:rPr>
              <w:t>位于宿州市高新技术开发区北三环泗山路数字星空8号厂房，项目改造标准化厂房约17000平方米，改造符合保健食品GMP标准的十万级净化车间约10000平方米。智能化生产设备购置、自动化柔性生产线搭建及智能工业互联网平台部署,全面构建标准化、智能化、高效化的保健食品生产体系。新增瞬时灭菌线、巴氏杀菌线、运动营养产品大瓶灌装线，自动化灌装线等四条生产线；新增自动包装设备、混合分离设备、成型设备、其他配套生产设备50套；新增液相实验器材、其他质量检测配套设备等20套。</w:t>
            </w:r>
          </w:p>
          <w:p w14:paraId="2CC4FA10">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sz w:val="24"/>
                <w:lang w:val="en-US" w:eastAsia="zh-CN"/>
              </w:rPr>
            </w:pPr>
            <w:r>
              <w:rPr>
                <w:rFonts w:hint="default"/>
                <w:color w:val="auto"/>
                <w:sz w:val="24"/>
              </w:rPr>
              <w:t>（2）项目</w:t>
            </w:r>
            <w:r>
              <w:rPr>
                <w:rFonts w:hint="eastAsia"/>
                <w:color w:val="auto"/>
                <w:sz w:val="24"/>
                <w:lang w:val="en-US" w:eastAsia="zh-CN"/>
              </w:rPr>
              <w:t>报告表类别判定</w:t>
            </w:r>
          </w:p>
          <w:p w14:paraId="0354A0D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根据《中华人民共和国环境影响评价法》、《建设项目环境保护管理条例》等有关规定，本项目需进行环境影响评价。依据《建设项目环境影响评价分类管理名录（2021年版）》中</w:t>
            </w:r>
            <w:r>
              <w:rPr>
                <w:rFonts w:hint="default" w:ascii="Times New Roman" w:hAnsi="Times New Roman" w:cs="Times New Roman"/>
                <w:color w:val="auto"/>
                <w:sz w:val="24"/>
                <w:lang w:val="en-US" w:eastAsia="zh-CN"/>
              </w:rPr>
              <w:t>的</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十一、食品制造业14-24 其他食品制造 149</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、营养食品制造、保健食品制造</w:t>
            </w:r>
            <w:r>
              <w:rPr>
                <w:rFonts w:hint="eastAsia" w:ascii="Times New Roman" w:hAnsi="Times New Roman" w:cs="Times New Roman"/>
                <w:color w:val="auto"/>
                <w:sz w:val="24"/>
                <w:lang w:val="en-US" w:eastAsia="zh-CN"/>
              </w:rPr>
              <w:t>；21 糖果、巧克力及蜜饯制造142*”、“十二、酒、饮料制造业15-26 饮料制造152*”，</w:t>
            </w:r>
            <w:r>
              <w:rPr>
                <w:rFonts w:hint="default" w:ascii="Times New Roman" w:hAnsi="Times New Roman" w:cs="Times New Roman"/>
                <w:color w:val="auto"/>
                <w:sz w:val="24"/>
                <w:lang w:val="en-US" w:eastAsia="zh-CN"/>
              </w:rPr>
              <w:t>环评类别应为“报告表”。</w:t>
            </w:r>
          </w:p>
          <w:p w14:paraId="430BF479">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环评类别对照表</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632"/>
              <w:gridCol w:w="1635"/>
              <w:gridCol w:w="2829"/>
              <w:gridCol w:w="983"/>
              <w:gridCol w:w="1006"/>
            </w:tblGrid>
            <w:tr w14:paraId="0F16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279" w:type="pct"/>
                  <w:gridSpan w:val="2"/>
                  <w:vMerge w:val="restart"/>
                  <w:vAlign w:val="center"/>
                </w:tcPr>
                <w:p w14:paraId="5093DF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0"/>
                      <w:sz w:val="21"/>
                      <w:szCs w:val="21"/>
                      <w:lang w:val="en-US" w:eastAsia="zh-CN" w:bidi="ar-SA"/>
                    </w:rPr>
                  </w:pPr>
                </w:p>
                <w:p w14:paraId="44B56E7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项目类别</w:t>
                  </w:r>
                </w:p>
                <w:p w14:paraId="45FE552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环评类别</w:t>
                  </w:r>
                </w:p>
              </w:tc>
              <w:tc>
                <w:tcPr>
                  <w:tcW w:w="3140" w:type="pct"/>
                  <w:gridSpan w:val="3"/>
                  <w:vAlign w:val="center"/>
                </w:tcPr>
                <w:p w14:paraId="38A90FD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环境影响评价类别</w:t>
                  </w:r>
                </w:p>
              </w:tc>
              <w:tc>
                <w:tcPr>
                  <w:tcW w:w="579" w:type="pct"/>
                  <w:vMerge w:val="restart"/>
                  <w:vAlign w:val="center"/>
                </w:tcPr>
                <w:p w14:paraId="0446FFB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项目环评类别判定</w:t>
                  </w:r>
                </w:p>
              </w:tc>
            </w:tr>
            <w:tr w14:paraId="331E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79" w:type="pct"/>
                  <w:gridSpan w:val="2"/>
                  <w:vMerge w:val="continue"/>
                  <w:vAlign w:val="center"/>
                </w:tcPr>
                <w:p w14:paraId="670EAA4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0"/>
                      <w:sz w:val="21"/>
                      <w:szCs w:val="21"/>
                      <w:lang w:val="en-US" w:eastAsia="zh-CN" w:bidi="ar-SA"/>
                    </w:rPr>
                  </w:pPr>
                </w:p>
              </w:tc>
              <w:tc>
                <w:tcPr>
                  <w:tcW w:w="942" w:type="pct"/>
                  <w:vAlign w:val="center"/>
                </w:tcPr>
                <w:p w14:paraId="5DEAF16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报告书</w:t>
                  </w:r>
                </w:p>
              </w:tc>
              <w:tc>
                <w:tcPr>
                  <w:tcW w:w="1630" w:type="pct"/>
                  <w:vAlign w:val="center"/>
                </w:tcPr>
                <w:p w14:paraId="14C9C12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报告表</w:t>
                  </w:r>
                </w:p>
              </w:tc>
              <w:tc>
                <w:tcPr>
                  <w:tcW w:w="566" w:type="pct"/>
                  <w:vAlign w:val="center"/>
                </w:tcPr>
                <w:p w14:paraId="5385DDA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登记表</w:t>
                  </w:r>
                </w:p>
              </w:tc>
              <w:tc>
                <w:tcPr>
                  <w:tcW w:w="579" w:type="pct"/>
                  <w:vMerge w:val="continue"/>
                  <w:vAlign w:val="center"/>
                </w:tcPr>
                <w:p w14:paraId="5D8C44A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r>
            <w:tr w14:paraId="5DAF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00" w:type="pct"/>
                  <w:gridSpan w:val="6"/>
                  <w:vAlign w:val="center"/>
                </w:tcPr>
                <w:p w14:paraId="182C34B9">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十一、食品制造业</w:t>
                  </w:r>
                  <w:r>
                    <w:rPr>
                      <w:rFonts w:hint="eastAsia" w:ascii="Times New Roman" w:hAnsi="Times New Roman" w:eastAsia="宋体" w:cs="Times New Roman"/>
                      <w:b/>
                      <w:bCs/>
                      <w:color w:val="auto"/>
                      <w:sz w:val="21"/>
                      <w:szCs w:val="21"/>
                      <w:vertAlign w:val="baseline"/>
                      <w:lang w:val="en-US" w:eastAsia="zh-CN"/>
                    </w:rPr>
                    <w:t>14</w:t>
                  </w:r>
                </w:p>
              </w:tc>
            </w:tr>
            <w:tr w14:paraId="6459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38" w:type="pct"/>
                  <w:vAlign w:val="center"/>
                </w:tcPr>
                <w:p w14:paraId="1E33B7C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21</w:t>
                  </w:r>
                </w:p>
              </w:tc>
              <w:tc>
                <w:tcPr>
                  <w:tcW w:w="940" w:type="pct"/>
                  <w:vAlign w:val="center"/>
                </w:tcPr>
                <w:p w14:paraId="1A947FF7">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糖果、巧克力及蜜饯制造142*</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方便食品制造143*</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罐头食品制造145*</w:t>
                  </w:r>
                </w:p>
              </w:tc>
              <w:tc>
                <w:tcPr>
                  <w:tcW w:w="942" w:type="pct"/>
                  <w:vAlign w:val="center"/>
                </w:tcPr>
                <w:p w14:paraId="19724921">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630" w:type="pct"/>
                  <w:shd w:val="clear" w:color="auto" w:fill="auto"/>
                  <w:vAlign w:val="center"/>
                </w:tcPr>
                <w:p w14:paraId="290AB31B">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除单纯分装外</w:t>
                  </w:r>
                </w:p>
              </w:tc>
              <w:tc>
                <w:tcPr>
                  <w:tcW w:w="566" w:type="pct"/>
                  <w:shd w:val="clear" w:color="auto" w:fill="auto"/>
                  <w:vAlign w:val="center"/>
                </w:tcPr>
                <w:p w14:paraId="49955A4C">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79" w:type="pct"/>
                  <w:vAlign w:val="center"/>
                </w:tcPr>
                <w:p w14:paraId="276A417B">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报告表</w:t>
                  </w:r>
                </w:p>
              </w:tc>
            </w:tr>
            <w:tr w14:paraId="3C4A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38" w:type="pct"/>
                  <w:vAlign w:val="center"/>
                </w:tcPr>
                <w:p w14:paraId="2FAD9F54">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rPr>
                    <w:t>24</w:t>
                  </w:r>
                </w:p>
              </w:tc>
              <w:tc>
                <w:tcPr>
                  <w:tcW w:w="940" w:type="pct"/>
                  <w:vAlign w:val="center"/>
                </w:tcPr>
                <w:p w14:paraId="74330BAE">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其他食品制造 149*</w:t>
                  </w:r>
                </w:p>
              </w:tc>
              <w:tc>
                <w:tcPr>
                  <w:tcW w:w="942" w:type="pct"/>
                  <w:vAlign w:val="center"/>
                </w:tcPr>
                <w:p w14:paraId="20E1A939">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有发酵工艺的食品添加剂制造；有发酵 </w:t>
                  </w:r>
                </w:p>
                <w:p w14:paraId="0833B3BC">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工艺的饲料添加剂制造</w:t>
                  </w:r>
                </w:p>
              </w:tc>
              <w:tc>
                <w:tcPr>
                  <w:tcW w:w="1630" w:type="pct"/>
                  <w:shd w:val="clear" w:color="auto" w:fill="auto"/>
                  <w:vAlign w:val="center"/>
                </w:tcPr>
                <w:p w14:paraId="1593BF5C">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盐加工；</w:t>
                  </w:r>
                  <w:r>
                    <w:rPr>
                      <w:rFonts w:hint="default" w:ascii="Times New Roman" w:hAnsi="Times New Roman" w:eastAsia="宋体" w:cs="Times New Roman"/>
                      <w:b/>
                      <w:bCs/>
                      <w:color w:val="auto"/>
                      <w:sz w:val="21"/>
                      <w:szCs w:val="21"/>
                      <w:highlight w:val="none"/>
                      <w:vertAlign w:val="baseline"/>
                      <w:lang w:val="en-US" w:eastAsia="zh-CN"/>
                    </w:rPr>
                    <w:t>营养食品制造、保健食品制造</w:t>
                  </w:r>
                  <w:r>
                    <w:rPr>
                      <w:rFonts w:hint="default" w:ascii="Times New Roman" w:hAnsi="Times New Roman" w:eastAsia="宋体" w:cs="Times New Roman"/>
                      <w:b w:val="0"/>
                      <w:bCs w:val="0"/>
                      <w:color w:val="auto"/>
                      <w:sz w:val="21"/>
                      <w:szCs w:val="21"/>
                      <w:highlight w:val="none"/>
                      <w:vertAlign w:val="baseline"/>
                      <w:lang w:val="en-US" w:eastAsia="zh-CN"/>
                    </w:rPr>
                    <w:t>、冷冻饮品及食用冰制造、无发酵工艺的食品及饲料添加剂制造、其他未列明食品制造以上均不含单纯混合、分装的</w:t>
                  </w:r>
                </w:p>
              </w:tc>
              <w:tc>
                <w:tcPr>
                  <w:tcW w:w="566" w:type="pct"/>
                  <w:shd w:val="clear" w:color="auto" w:fill="auto"/>
                  <w:vAlign w:val="center"/>
                </w:tcPr>
                <w:p w14:paraId="02A22C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w:t>
                  </w:r>
                </w:p>
              </w:tc>
              <w:tc>
                <w:tcPr>
                  <w:tcW w:w="579" w:type="pct"/>
                  <w:vAlign w:val="center"/>
                </w:tcPr>
                <w:p w14:paraId="50A49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rPr>
                    <w:t>报告表</w:t>
                  </w:r>
                </w:p>
              </w:tc>
            </w:tr>
            <w:tr w14:paraId="0322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000" w:type="pct"/>
                  <w:gridSpan w:val="6"/>
                  <w:vAlign w:val="center"/>
                </w:tcPr>
                <w:p w14:paraId="05F30FE2">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sz w:val="21"/>
                      <w:szCs w:val="21"/>
                      <w:vertAlign w:val="baseline"/>
                      <w:lang w:val="en-US" w:eastAsia="zh-CN"/>
                    </w:rPr>
                    <w:t>十二、酒、饮料制造业15</w:t>
                  </w:r>
                </w:p>
              </w:tc>
            </w:tr>
            <w:tr w14:paraId="54F2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vAlign w:val="center"/>
                </w:tcPr>
                <w:p w14:paraId="632BD743">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26</w:t>
                  </w:r>
                </w:p>
              </w:tc>
              <w:tc>
                <w:tcPr>
                  <w:tcW w:w="940" w:type="pct"/>
                  <w:vAlign w:val="center"/>
                </w:tcPr>
                <w:p w14:paraId="1E1F40F7">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饮料制造152*</w:t>
                  </w:r>
                </w:p>
              </w:tc>
              <w:tc>
                <w:tcPr>
                  <w:tcW w:w="942" w:type="pct"/>
                  <w:vAlign w:val="center"/>
                </w:tcPr>
                <w:p w14:paraId="5BC5DB45">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1630" w:type="pct"/>
                  <w:shd w:val="clear" w:color="auto" w:fill="auto"/>
                  <w:vAlign w:val="center"/>
                </w:tcPr>
                <w:p w14:paraId="78494AA8">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有发酵工艺、原汁生产的</w:t>
                  </w:r>
                </w:p>
              </w:tc>
              <w:tc>
                <w:tcPr>
                  <w:tcW w:w="566" w:type="pct"/>
                  <w:shd w:val="clear" w:color="auto" w:fill="auto"/>
                  <w:vAlign w:val="center"/>
                </w:tcPr>
                <w:p w14:paraId="565CB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w:t>
                  </w:r>
                </w:p>
              </w:tc>
              <w:tc>
                <w:tcPr>
                  <w:tcW w:w="579" w:type="pct"/>
                  <w:vAlign w:val="center"/>
                </w:tcPr>
                <w:p w14:paraId="782F9D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r>
          </w:tbl>
          <w:p w14:paraId="27F679BB">
            <w:pPr>
              <w:keepNext w:val="0"/>
              <w:keepLines w:val="0"/>
              <w:suppressLineNumbers w:val="0"/>
              <w:spacing w:before="0" w:beforeAutospacing="0" w:after="0" w:afterAutospacing="0" w:line="360" w:lineRule="auto"/>
              <w:ind w:left="0" w:right="0" w:firstLine="420" w:firstLineChars="200"/>
              <w:rPr>
                <w:rFonts w:hint="eastAsia"/>
                <w:color w:val="auto"/>
                <w:sz w:val="24"/>
                <w:lang w:val="en-US" w:eastAsia="zh-CN"/>
              </w:rPr>
            </w:pPr>
            <w:r>
              <w:rPr>
                <w:rFonts w:hint="eastAsia" w:cs="Times New Roman"/>
                <w:color w:val="auto"/>
                <w:kern w:val="0"/>
                <w:sz w:val="21"/>
                <w:szCs w:val="21"/>
                <w:lang w:val="en-US" w:eastAsia="zh-CN"/>
              </w:rPr>
              <w:t>注：名录中所标“*”号，指在工业建筑中生产的建设项目。工业建筑的定义参见《工程结构设计基本术语标准》（GB/T 50083-2014），指提供生产用的各种建筑物，如车间、厂前区建筑、生活间、动力站、库房和运输设施等。</w:t>
            </w:r>
          </w:p>
          <w:p w14:paraId="1CAF1146">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eastAsia"/>
                <w:color w:val="auto"/>
                <w:sz w:val="24"/>
                <w:lang w:val="en-US" w:eastAsia="zh-CN"/>
              </w:rPr>
              <w:t>受安徽数字星空生物科技有限公司</w:t>
            </w:r>
            <w:r>
              <w:rPr>
                <w:rFonts w:hint="default"/>
                <w:color w:val="auto"/>
                <w:sz w:val="24"/>
              </w:rPr>
              <w:t>委托</w:t>
            </w:r>
            <w:r>
              <w:rPr>
                <w:rFonts w:hint="eastAsia"/>
                <w:color w:val="auto"/>
                <w:sz w:val="24"/>
                <w:lang w:eastAsia="zh-CN"/>
              </w:rPr>
              <w:t>，</w:t>
            </w:r>
            <w:r>
              <w:rPr>
                <w:rFonts w:hint="default"/>
                <w:color w:val="auto"/>
                <w:sz w:val="24"/>
              </w:rPr>
              <w:t>我单位对该项目进行环境影响评价。在接受委托后，我公司评价人员赴现场踏勘、调研，并收集了有关资料。在此基础上，按照国家环保政策及技术规范</w:t>
            </w:r>
            <w:r>
              <w:rPr>
                <w:rFonts w:hint="default"/>
                <w:color w:val="auto"/>
                <w:kern w:val="0"/>
                <w:sz w:val="24"/>
              </w:rPr>
              <w:t>，编制了该项目的环境影响报告表</w:t>
            </w:r>
            <w:r>
              <w:rPr>
                <w:rFonts w:hint="default"/>
                <w:color w:val="auto"/>
                <w:sz w:val="24"/>
              </w:rPr>
              <w:t>，呈报</w:t>
            </w:r>
            <w:r>
              <w:rPr>
                <w:rFonts w:hint="eastAsia"/>
                <w:color w:val="auto"/>
                <w:sz w:val="24"/>
              </w:rPr>
              <w:t>生态环境</w:t>
            </w:r>
            <w:r>
              <w:rPr>
                <w:rFonts w:hint="default"/>
                <w:color w:val="auto"/>
                <w:sz w:val="24"/>
              </w:rPr>
              <w:t>主管部门审批</w:t>
            </w:r>
            <w:r>
              <w:rPr>
                <w:rFonts w:hint="default"/>
                <w:color w:val="auto"/>
                <w:kern w:val="0"/>
                <w:sz w:val="24"/>
              </w:rPr>
              <w:t>，</w:t>
            </w:r>
            <w:r>
              <w:rPr>
                <w:rFonts w:hint="eastAsia"/>
                <w:color w:val="auto"/>
                <w:kern w:val="0"/>
                <w:sz w:val="24"/>
              </w:rPr>
              <w:t>以此</w:t>
            </w:r>
            <w:r>
              <w:rPr>
                <w:rFonts w:hint="default"/>
                <w:color w:val="auto"/>
                <w:kern w:val="0"/>
                <w:sz w:val="24"/>
              </w:rPr>
              <w:t>为项目实施和管理提供参考依据。</w:t>
            </w:r>
          </w:p>
          <w:p w14:paraId="75BEF6E5">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w:t>
            </w:r>
            <w:r>
              <w:rPr>
                <w:rFonts w:hint="eastAsia"/>
                <w:bCs/>
                <w:color w:val="auto"/>
                <w:sz w:val="24"/>
                <w:lang w:val="en-US" w:eastAsia="zh-CN"/>
              </w:rPr>
              <w:t>3</w:t>
            </w:r>
            <w:r>
              <w:rPr>
                <w:rFonts w:hint="default"/>
                <w:bCs/>
                <w:color w:val="auto"/>
                <w:sz w:val="24"/>
              </w:rPr>
              <w:t>）项目概况</w:t>
            </w:r>
          </w:p>
          <w:p w14:paraId="74AB947D">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lang w:val="en-US" w:eastAsia="zh-CN"/>
              </w:rPr>
            </w:pPr>
            <w:r>
              <w:rPr>
                <w:rFonts w:hint="default"/>
                <w:bCs/>
                <w:color w:val="auto"/>
                <w:sz w:val="24"/>
              </w:rPr>
              <w:t>项目名称：</w:t>
            </w:r>
            <w:r>
              <w:rPr>
                <w:rFonts w:hint="default"/>
                <w:bCs/>
                <w:color w:val="auto"/>
                <w:sz w:val="24"/>
                <w:lang w:val="en-US" w:eastAsia="zh-CN"/>
              </w:rPr>
              <w:t>益生菌、运动营养及保健食品柔性生产线升级技改项目</w:t>
            </w:r>
          </w:p>
          <w:p w14:paraId="020785C0">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auto"/>
                <w:sz w:val="24"/>
                <w:lang w:val="en-US" w:eastAsia="zh-CN"/>
              </w:rPr>
            </w:pPr>
            <w:r>
              <w:rPr>
                <w:rFonts w:hint="default"/>
                <w:bCs/>
                <w:color w:val="auto"/>
                <w:sz w:val="24"/>
              </w:rPr>
              <w:t>建设单位：</w:t>
            </w:r>
            <w:r>
              <w:rPr>
                <w:rFonts w:hint="eastAsia"/>
                <w:bCs/>
                <w:color w:val="auto"/>
                <w:sz w:val="24"/>
                <w:lang w:val="en-US" w:eastAsia="zh-CN"/>
              </w:rPr>
              <w:t>安徽数字星空生物科技有限公司</w:t>
            </w:r>
          </w:p>
          <w:p w14:paraId="195DC9AF">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z w:val="24"/>
                <w:lang w:eastAsia="zh-CN"/>
              </w:rPr>
            </w:pPr>
            <w:r>
              <w:rPr>
                <w:rFonts w:hint="default"/>
                <w:bCs/>
                <w:color w:val="auto"/>
                <w:sz w:val="24"/>
              </w:rPr>
              <w:t>项目性质：</w:t>
            </w:r>
            <w:r>
              <w:rPr>
                <w:rFonts w:hint="eastAsia" w:ascii="Times New Roman" w:hAnsi="Times New Roman" w:eastAsia="宋体" w:cs="Times New Roman"/>
                <w:bCs/>
                <w:color w:val="auto"/>
                <w:sz w:val="24"/>
                <w:lang w:val="en-US" w:eastAsia="zh-CN"/>
              </w:rPr>
              <w:t>改建</w:t>
            </w:r>
          </w:p>
          <w:p w14:paraId="7F5160DA">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建设地点：</w:t>
            </w:r>
            <w:r>
              <w:rPr>
                <w:rFonts w:hint="default"/>
                <w:bCs/>
                <w:color w:val="auto"/>
                <w:sz w:val="24"/>
                <w:lang w:val="en-US" w:eastAsia="zh-CN"/>
              </w:rPr>
              <w:t>宿州市高新技术开发区北三环泗山路数字星空8号厂房</w:t>
            </w:r>
          </w:p>
          <w:p w14:paraId="53D55A16">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auto"/>
                <w:sz w:val="24"/>
                <w:lang w:val="en-US" w:eastAsia="zh-CN"/>
              </w:rPr>
            </w:pPr>
            <w:r>
              <w:rPr>
                <w:rFonts w:hint="default"/>
                <w:bCs/>
                <w:color w:val="auto"/>
                <w:sz w:val="24"/>
              </w:rPr>
              <w:t>投资总额：</w:t>
            </w:r>
            <w:r>
              <w:rPr>
                <w:rFonts w:hint="eastAsia"/>
                <w:bCs/>
                <w:color w:val="auto"/>
                <w:sz w:val="24"/>
                <w:lang w:val="en-US" w:eastAsia="zh-CN"/>
              </w:rPr>
              <w:t>项目总投资4500万元，其中环保投资70万元</w:t>
            </w:r>
          </w:p>
          <w:p w14:paraId="7AA26CBE">
            <w:pPr>
              <w:keepNext w:val="0"/>
              <w:keepLines w:val="0"/>
              <w:suppressLineNumbers w:val="0"/>
              <w:spacing w:before="0" w:beforeAutospacing="0" w:after="0" w:afterAutospacing="0" w:line="360" w:lineRule="auto"/>
              <w:ind w:left="0" w:right="0"/>
              <w:rPr>
                <w:rFonts w:hint="eastAsia"/>
                <w:color w:val="auto"/>
                <w:sz w:val="24"/>
                <w:lang w:val="en-US" w:eastAsia="zh-CN"/>
              </w:rPr>
            </w:pPr>
            <w:r>
              <w:rPr>
                <w:rFonts w:hint="default"/>
                <w:b/>
                <w:color w:val="auto"/>
                <w:sz w:val="24"/>
              </w:rPr>
              <w:t>2、</w:t>
            </w:r>
            <w:r>
              <w:rPr>
                <w:rFonts w:hint="eastAsia"/>
                <w:b/>
                <w:color w:val="auto"/>
                <w:sz w:val="24"/>
              </w:rPr>
              <w:t>本</w:t>
            </w:r>
            <w:r>
              <w:rPr>
                <w:rFonts w:hint="default"/>
                <w:b/>
                <w:color w:val="auto"/>
                <w:sz w:val="24"/>
              </w:rPr>
              <w:t>项目建设内容</w:t>
            </w:r>
          </w:p>
          <w:p w14:paraId="07AC441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lang w:val="en-US" w:eastAsia="zh-CN"/>
              </w:rPr>
            </w:pPr>
            <w:r>
              <w:rPr>
                <w:rFonts w:hint="eastAsia" w:hAnsi="宋体"/>
                <w:bCs/>
                <w:color w:val="auto"/>
                <w:kern w:val="36"/>
                <w:sz w:val="24"/>
                <w:lang w:val="en-US" w:eastAsia="zh-CN"/>
              </w:rPr>
              <w:t>项目标准化厂房约17000平方米，改造符合保健食品GMP标准的十万级净化车间约10000平方米。智能化生产设备购置、自动化柔性生产线搭建及智能工业互联网平台部署，全面构建标准化、智能化、高效化的保健食品生产体系。新增瞬时灭菌线、巴氏杀菌线、运动营养产品大瓶灌装线，自动化灌装线等四条生产线；新增自动包装设备、混合分离设备、成型设备、其他配套生产设备；新增液相实验器材、其他质量检测配套设备等。项目改建后，不再进行成品坚果的包装销售，</w:t>
            </w:r>
            <w:r>
              <w:rPr>
                <w:rFonts w:hint="eastAsia" w:hAnsi="宋体"/>
                <w:bCs/>
                <w:color w:val="auto"/>
                <w:kern w:val="36"/>
                <w:sz w:val="24"/>
                <w:lang w:val="en-US" w:eastAsia="zh-CN"/>
              </w:rPr>
              <w:t>预计年新增生产能力为1000万盒益生菌和120万瓶运动营养产品及配套保健产品。</w:t>
            </w:r>
          </w:p>
          <w:p w14:paraId="32C94295">
            <w:pPr>
              <w:pStyle w:val="18"/>
              <w:keepNext w:val="0"/>
              <w:keepLines w:val="0"/>
              <w:suppressLineNumbers w:val="0"/>
              <w:spacing w:before="0" w:beforeAutospacing="0" w:after="0" w:afterAutospacing="0" w:line="360" w:lineRule="auto"/>
              <w:ind w:left="0" w:leftChars="0" w:right="0" w:firstLine="480" w:firstLineChars="200"/>
              <w:rPr>
                <w:rFonts w:hint="default"/>
                <w:color w:val="auto"/>
              </w:rPr>
            </w:pPr>
            <w:r>
              <w:rPr>
                <w:rFonts w:hint="default"/>
                <w:color w:val="auto"/>
              </w:rPr>
              <w:t>本项目主要建设内容及工程组成见下表</w:t>
            </w:r>
            <w:r>
              <w:rPr>
                <w:rFonts w:hint="eastAsia"/>
                <w:color w:val="auto"/>
                <w:lang w:eastAsia="zh-CN"/>
              </w:rPr>
              <w:t>：</w:t>
            </w:r>
          </w:p>
          <w:p w14:paraId="788351DD">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b/>
                <w:color w:val="auto"/>
                <w:sz w:val="24"/>
              </w:rPr>
            </w:pPr>
            <w:r>
              <w:rPr>
                <w:rFonts w:hint="eastAsia" w:ascii="宋体" w:hAnsi="宋体" w:eastAsia="宋体" w:cs="宋体"/>
                <w:b/>
                <w:bCs/>
                <w:color w:val="auto"/>
                <w:kern w:val="0"/>
                <w:sz w:val="24"/>
                <w:szCs w:val="24"/>
                <w:lang w:val="en-US" w:eastAsia="zh-CN"/>
              </w:rPr>
              <w:t>建设项目主要建设内容及规模</w:t>
            </w:r>
          </w:p>
          <w:tbl>
            <w:tblPr>
              <w:tblStyle w:val="35"/>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485"/>
              <w:gridCol w:w="1155"/>
              <w:gridCol w:w="1875"/>
              <w:gridCol w:w="3285"/>
              <w:gridCol w:w="958"/>
            </w:tblGrid>
            <w:tr w14:paraId="73EC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blHeader/>
                <w:jc w:val="center"/>
              </w:trPr>
              <w:tc>
                <w:tcPr>
                  <w:tcW w:w="896" w:type="dxa"/>
                  <w:vAlign w:val="center"/>
                </w:tcPr>
                <w:p w14:paraId="16C5273D">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工程名称</w:t>
                  </w:r>
                </w:p>
              </w:tc>
              <w:tc>
                <w:tcPr>
                  <w:tcW w:w="1640" w:type="dxa"/>
                  <w:gridSpan w:val="2"/>
                  <w:vAlign w:val="center"/>
                </w:tcPr>
                <w:p w14:paraId="737B7B06">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工程名称</w:t>
                  </w:r>
                </w:p>
              </w:tc>
              <w:tc>
                <w:tcPr>
                  <w:tcW w:w="1875" w:type="dxa"/>
                  <w:vAlign w:val="center"/>
                </w:tcPr>
                <w:p w14:paraId="726E90AE">
                  <w:pPr>
                    <w:keepNext w:val="0"/>
                    <w:keepLines w:val="0"/>
                    <w:suppressLineNumbers w:val="0"/>
                    <w:spacing w:before="0" w:beforeAutospacing="0" w:after="0" w:afterAutospacing="0"/>
                    <w:ind w:left="-84" w:leftChars="-40" w:right="-84" w:rightChars="-40"/>
                    <w:jc w:val="center"/>
                    <w:rPr>
                      <w:rFonts w:hint="eastAsia"/>
                      <w:bCs/>
                      <w:color w:val="auto"/>
                      <w:szCs w:val="21"/>
                      <w:lang w:val="en-US" w:eastAsia="zh-CN"/>
                    </w:rPr>
                  </w:pPr>
                  <w:r>
                    <w:rPr>
                      <w:rFonts w:hint="eastAsia"/>
                      <w:bCs/>
                      <w:color w:val="auto"/>
                      <w:szCs w:val="21"/>
                      <w:lang w:val="en-US" w:eastAsia="zh-CN"/>
                    </w:rPr>
                    <w:t>改建前</w:t>
                  </w:r>
                </w:p>
                <w:p w14:paraId="38C31B4E">
                  <w:pPr>
                    <w:keepNext w:val="0"/>
                    <w:keepLines w:val="0"/>
                    <w:suppressLineNumbers w:val="0"/>
                    <w:spacing w:before="0" w:beforeAutospacing="0" w:after="0" w:afterAutospacing="0"/>
                    <w:ind w:left="-84" w:leftChars="-40" w:right="-84" w:rightChars="-40"/>
                    <w:jc w:val="center"/>
                    <w:rPr>
                      <w:rFonts w:hint="eastAsia" w:eastAsia="宋体"/>
                      <w:bCs/>
                      <w:color w:val="auto"/>
                      <w:szCs w:val="21"/>
                      <w:lang w:val="en-US" w:eastAsia="zh-CN"/>
                    </w:rPr>
                  </w:pPr>
                  <w:r>
                    <w:rPr>
                      <w:rFonts w:hint="default"/>
                      <w:bCs/>
                      <w:color w:val="auto"/>
                      <w:szCs w:val="21"/>
                    </w:rPr>
                    <w:t>工程内容及规模</w:t>
                  </w:r>
                </w:p>
              </w:tc>
              <w:tc>
                <w:tcPr>
                  <w:tcW w:w="3285" w:type="dxa"/>
                  <w:vAlign w:val="center"/>
                </w:tcPr>
                <w:p w14:paraId="2D526EE3">
                  <w:pPr>
                    <w:keepNext w:val="0"/>
                    <w:keepLines w:val="0"/>
                    <w:suppressLineNumbers w:val="0"/>
                    <w:spacing w:before="0" w:beforeAutospacing="0" w:after="0" w:afterAutospacing="0"/>
                    <w:ind w:left="-84" w:leftChars="-40" w:right="-84" w:rightChars="-40"/>
                    <w:jc w:val="center"/>
                    <w:rPr>
                      <w:rFonts w:hint="eastAsia"/>
                      <w:bCs/>
                      <w:color w:val="auto"/>
                      <w:szCs w:val="21"/>
                      <w:lang w:val="en-US" w:eastAsia="zh-CN"/>
                    </w:rPr>
                  </w:pPr>
                  <w:r>
                    <w:rPr>
                      <w:rFonts w:hint="eastAsia"/>
                      <w:bCs/>
                      <w:color w:val="auto"/>
                      <w:szCs w:val="21"/>
                      <w:lang w:val="en-US" w:eastAsia="zh-CN"/>
                    </w:rPr>
                    <w:t>改建后</w:t>
                  </w:r>
                </w:p>
                <w:p w14:paraId="7A66F04E">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工程内容及规模</w:t>
                  </w:r>
                </w:p>
              </w:tc>
              <w:tc>
                <w:tcPr>
                  <w:tcW w:w="958" w:type="dxa"/>
                  <w:vAlign w:val="center"/>
                </w:tcPr>
                <w:p w14:paraId="5DFE1F89">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备注</w:t>
                  </w:r>
                </w:p>
              </w:tc>
            </w:tr>
            <w:tr w14:paraId="6B14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96" w:type="dxa"/>
                  <w:vMerge w:val="restart"/>
                  <w:vAlign w:val="center"/>
                </w:tcPr>
                <w:p w14:paraId="56EBBC8C">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主体工程</w:t>
                  </w:r>
                </w:p>
              </w:tc>
              <w:tc>
                <w:tcPr>
                  <w:tcW w:w="1640" w:type="dxa"/>
                  <w:gridSpan w:val="2"/>
                  <w:vMerge w:val="restart"/>
                  <w:vAlign w:val="center"/>
                </w:tcPr>
                <w:p w14:paraId="2AFF2554">
                  <w:pPr>
                    <w:keepNext w:val="0"/>
                    <w:keepLines w:val="0"/>
                    <w:suppressLineNumbers w:val="0"/>
                    <w:spacing w:before="0" w:beforeAutospacing="0" w:after="0" w:afterAutospacing="0"/>
                    <w:ind w:left="-84" w:leftChars="-40" w:right="-84" w:rightChars="-40"/>
                    <w:jc w:val="center"/>
                    <w:rPr>
                      <w:rFonts w:hint="eastAsia"/>
                      <w:bCs/>
                      <w:color w:val="auto"/>
                      <w:szCs w:val="21"/>
                      <w:highlight w:val="none"/>
                      <w:lang w:val="en-US" w:eastAsia="zh-CN"/>
                    </w:rPr>
                  </w:pPr>
                  <w:r>
                    <w:rPr>
                      <w:rFonts w:hint="eastAsia"/>
                      <w:bCs/>
                      <w:color w:val="auto"/>
                      <w:szCs w:val="21"/>
                      <w:highlight w:val="none"/>
                      <w:lang w:val="en-US" w:eastAsia="zh-CN"/>
                    </w:rPr>
                    <w:t>标准化生产厂房（</w:t>
                  </w:r>
                  <w:r>
                    <w:rPr>
                      <w:rFonts w:hint="eastAsia"/>
                      <w:color w:val="auto"/>
                      <w:highlight w:val="none"/>
                      <w:lang w:val="en-US" w:eastAsia="zh-CN"/>
                    </w:rPr>
                    <w:t>3F，建筑面积</w:t>
                  </w:r>
                  <w:r>
                    <w:rPr>
                      <w:rFonts w:hint="default" w:eastAsia="宋体"/>
                      <w:color w:val="auto"/>
                      <w:highlight w:val="none"/>
                      <w:lang w:val="en-US" w:eastAsia="zh-CN"/>
                    </w:rPr>
                    <w:t>约170</w:t>
                  </w:r>
                  <w:r>
                    <w:rPr>
                      <w:rFonts w:hint="eastAsia"/>
                      <w:color w:val="auto"/>
                      <w:highlight w:val="none"/>
                      <w:lang w:val="en-US" w:eastAsia="zh-CN"/>
                    </w:rPr>
                    <w:t>0</w:t>
                  </w:r>
                  <w:r>
                    <w:rPr>
                      <w:rFonts w:hint="default" w:eastAsia="宋体"/>
                      <w:color w:val="auto"/>
                      <w:highlight w:val="none"/>
                      <w:lang w:val="en-US" w:eastAsia="zh-CN"/>
                    </w:rPr>
                    <w:t>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，厂房高度16.8m）</w:t>
                  </w:r>
                </w:p>
              </w:tc>
              <w:tc>
                <w:tcPr>
                  <w:tcW w:w="1875" w:type="dxa"/>
                  <w:vMerge w:val="restart"/>
                  <w:vAlign w:val="center"/>
                </w:tcPr>
                <w:p w14:paraId="564920AC">
                  <w:pPr>
                    <w:keepNext w:val="0"/>
                    <w:keepLines w:val="0"/>
                    <w:suppressLineNumbers w:val="0"/>
                    <w:spacing w:before="0" w:beforeAutospacing="0" w:after="0" w:afterAutospacing="0"/>
                    <w:ind w:left="0" w:right="0"/>
                    <w:jc w:val="center"/>
                    <w:rPr>
                      <w:rFonts w:hint="default"/>
                      <w:color w:val="auto"/>
                    </w:rPr>
                  </w:pPr>
                  <w:r>
                    <w:rPr>
                      <w:rFonts w:hint="eastAsia"/>
                      <w:bCs/>
                      <w:color w:val="auto"/>
                      <w:szCs w:val="21"/>
                      <w:highlight w:val="none"/>
                      <w:lang w:val="en-US" w:eastAsia="zh-CN"/>
                    </w:rPr>
                    <w:t>1-3F，布设包装机等设备进行成品坚果的包装销售</w:t>
                  </w:r>
                </w:p>
              </w:tc>
              <w:tc>
                <w:tcPr>
                  <w:tcW w:w="3285" w:type="dxa"/>
                  <w:vAlign w:val="center"/>
                </w:tcPr>
                <w:p w14:paraId="2C50F21B">
                  <w:pPr>
                    <w:keepNext w:val="0"/>
                    <w:keepLines w:val="0"/>
                    <w:suppressLineNumbers w:val="0"/>
                    <w:spacing w:before="0" w:beforeAutospacing="0" w:after="0" w:afterAutospacing="0"/>
                    <w:ind w:left="0" w:right="0"/>
                    <w:jc w:val="center"/>
                    <w:rPr>
                      <w:rFonts w:hint="default"/>
                      <w:color w:val="auto"/>
                      <w:highlight w:val="none"/>
                      <w:lang w:val="en-US" w:eastAsia="zh-CN"/>
                    </w:rPr>
                  </w:pPr>
                  <w:r>
                    <w:rPr>
                      <w:rFonts w:hint="eastAsia"/>
                      <w:color w:val="auto"/>
                      <w:lang w:val="en-US" w:eastAsia="zh-CN"/>
                    </w:rPr>
                    <w:t>1F，</w:t>
                  </w:r>
                  <w:r>
                    <w:rPr>
                      <w:rFonts w:hint="eastAsia"/>
                      <w:color w:val="auto"/>
                      <w:highlight w:val="none"/>
                      <w:lang w:val="en-US" w:eastAsia="zh-CN"/>
                    </w:rPr>
                    <w:t>布设调配车间、灌装车间、巴杀车间及外包车间等，主要进行特膳饮品和果冻产品的生产</w:t>
                  </w:r>
                </w:p>
              </w:tc>
              <w:tc>
                <w:tcPr>
                  <w:tcW w:w="958" w:type="dxa"/>
                  <w:vMerge w:val="restart"/>
                  <w:vAlign w:val="center"/>
                </w:tcPr>
                <w:p w14:paraId="14B751B2">
                  <w:pPr>
                    <w:keepNext w:val="0"/>
                    <w:keepLines w:val="0"/>
                    <w:suppressLineNumbers w:val="0"/>
                    <w:spacing w:before="0" w:beforeAutospacing="0" w:after="0" w:afterAutospacing="0"/>
                    <w:ind w:left="-84" w:leftChars="-40" w:right="-84" w:rightChars="-40"/>
                    <w:jc w:val="center"/>
                    <w:rPr>
                      <w:rFonts w:hint="default" w:eastAsia="宋体"/>
                      <w:bCs/>
                      <w:color w:val="auto"/>
                      <w:sz w:val="21"/>
                      <w:szCs w:val="21"/>
                      <w:lang w:val="en-US" w:eastAsia="zh-CN"/>
                    </w:rPr>
                  </w:pPr>
                  <w:r>
                    <w:rPr>
                      <w:rFonts w:hint="eastAsia"/>
                      <w:bCs/>
                      <w:color w:val="auto"/>
                      <w:szCs w:val="21"/>
                      <w:lang w:val="en-US" w:eastAsia="zh-CN"/>
                    </w:rPr>
                    <w:t>依托租赁</w:t>
                  </w:r>
                </w:p>
              </w:tc>
            </w:tr>
            <w:tr w14:paraId="2532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96" w:type="dxa"/>
                  <w:vMerge w:val="continue"/>
                  <w:vAlign w:val="center"/>
                </w:tcPr>
                <w:p w14:paraId="6BEECF2A">
                  <w:pPr>
                    <w:keepNext w:val="0"/>
                    <w:keepLines w:val="0"/>
                    <w:suppressLineNumbers w:val="0"/>
                    <w:spacing w:before="0" w:beforeAutospacing="0" w:after="0" w:afterAutospacing="0"/>
                    <w:ind w:left="0" w:right="0"/>
                    <w:jc w:val="center"/>
                    <w:rPr>
                      <w:rFonts w:hint="default"/>
                      <w:color w:val="auto"/>
                    </w:rPr>
                  </w:pPr>
                </w:p>
              </w:tc>
              <w:tc>
                <w:tcPr>
                  <w:tcW w:w="1640" w:type="dxa"/>
                  <w:gridSpan w:val="2"/>
                  <w:vMerge w:val="continue"/>
                  <w:vAlign w:val="center"/>
                </w:tcPr>
                <w:p w14:paraId="23231A51">
                  <w:pPr>
                    <w:keepNext w:val="0"/>
                    <w:keepLines w:val="0"/>
                    <w:suppressLineNumbers w:val="0"/>
                    <w:spacing w:before="0" w:beforeAutospacing="0" w:after="0" w:afterAutospacing="0"/>
                    <w:ind w:left="0" w:right="0"/>
                    <w:jc w:val="center"/>
                    <w:rPr>
                      <w:rFonts w:hint="default"/>
                      <w:color w:val="auto"/>
                    </w:rPr>
                  </w:pPr>
                </w:p>
              </w:tc>
              <w:tc>
                <w:tcPr>
                  <w:tcW w:w="1875" w:type="dxa"/>
                  <w:vMerge w:val="continue"/>
                  <w:vAlign w:val="center"/>
                </w:tcPr>
                <w:p w14:paraId="2F612F84">
                  <w:pPr>
                    <w:keepNext w:val="0"/>
                    <w:keepLines w:val="0"/>
                    <w:suppressLineNumbers w:val="0"/>
                    <w:spacing w:before="0" w:beforeAutospacing="0" w:after="0" w:afterAutospacing="0"/>
                    <w:ind w:left="0" w:right="0"/>
                    <w:jc w:val="center"/>
                    <w:rPr>
                      <w:rFonts w:hint="default"/>
                      <w:color w:val="auto"/>
                    </w:rPr>
                  </w:pPr>
                </w:p>
              </w:tc>
              <w:tc>
                <w:tcPr>
                  <w:tcW w:w="3285" w:type="dxa"/>
                  <w:vAlign w:val="center"/>
                </w:tcPr>
                <w:p w14:paraId="6FC4F17F">
                  <w:pPr>
                    <w:keepNext w:val="0"/>
                    <w:keepLines w:val="0"/>
                    <w:suppressLineNumbers w:val="0"/>
                    <w:spacing w:before="0" w:beforeAutospacing="0" w:after="0" w:afterAutospacing="0"/>
                    <w:ind w:left="0" w:right="0"/>
                    <w:jc w:val="center"/>
                    <w:rPr>
                      <w:rFonts w:hint="eastAsia"/>
                      <w:color w:val="auto"/>
                      <w:highlight w:val="none"/>
                      <w:lang w:val="en-US" w:eastAsia="zh-CN"/>
                    </w:rPr>
                  </w:pPr>
                  <w:r>
                    <w:rPr>
                      <w:rFonts w:hint="eastAsia"/>
                      <w:color w:val="auto"/>
                      <w:lang w:val="en-US" w:eastAsia="zh-CN"/>
                    </w:rPr>
                    <w:t>2F，</w:t>
                  </w:r>
                  <w:r>
                    <w:rPr>
                      <w:rFonts w:hint="eastAsia"/>
                      <w:color w:val="auto"/>
                      <w:highlight w:val="none"/>
                      <w:lang w:val="en-US" w:eastAsia="zh-CN"/>
                    </w:rPr>
                    <w:t>布设烘干间、混料间、压片间、数粒分装间、充填包装间等，主要进行固体饮料、压片糖果、方便食品及其他食品的生产</w:t>
                  </w:r>
                </w:p>
              </w:tc>
              <w:tc>
                <w:tcPr>
                  <w:tcW w:w="958" w:type="dxa"/>
                  <w:vMerge w:val="continue"/>
                  <w:vAlign w:val="center"/>
                </w:tcPr>
                <w:p w14:paraId="0E614A76">
                  <w:pPr>
                    <w:keepNext w:val="0"/>
                    <w:keepLines w:val="0"/>
                    <w:suppressLineNumbers w:val="0"/>
                    <w:spacing w:before="0" w:beforeAutospacing="0" w:after="0" w:afterAutospacing="0"/>
                    <w:ind w:left="0" w:right="0"/>
                    <w:jc w:val="center"/>
                    <w:rPr>
                      <w:rFonts w:hint="eastAsia"/>
                      <w:color w:val="auto"/>
                      <w:highlight w:val="none"/>
                      <w:lang w:val="en-US" w:eastAsia="zh-CN"/>
                    </w:rPr>
                  </w:pPr>
                </w:p>
              </w:tc>
            </w:tr>
            <w:tr w14:paraId="3688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vMerge w:val="continue"/>
                  <w:vAlign w:val="center"/>
                </w:tcPr>
                <w:p w14:paraId="1AA35B94">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1640" w:type="dxa"/>
                  <w:gridSpan w:val="2"/>
                  <w:vMerge w:val="continue"/>
                  <w:vAlign w:val="center"/>
                </w:tcPr>
                <w:p w14:paraId="30BED2E0">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1875" w:type="dxa"/>
                  <w:vMerge w:val="continue"/>
                  <w:vAlign w:val="center"/>
                </w:tcPr>
                <w:p w14:paraId="65542D88">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3285" w:type="dxa"/>
                  <w:vAlign w:val="center"/>
                </w:tcPr>
                <w:p w14:paraId="704FFD11">
                  <w:pPr>
                    <w:keepNext w:val="0"/>
                    <w:keepLines w:val="0"/>
                    <w:suppressLineNumbers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3F，主要为包装流水车间及装箱流水车间</w:t>
                  </w:r>
                </w:p>
              </w:tc>
              <w:tc>
                <w:tcPr>
                  <w:tcW w:w="958" w:type="dxa"/>
                  <w:vMerge w:val="continue"/>
                  <w:vAlign w:val="center"/>
                </w:tcPr>
                <w:p w14:paraId="38588ABD">
                  <w:pPr>
                    <w:keepNext w:val="0"/>
                    <w:keepLines w:val="0"/>
                    <w:suppressLineNumbers w:val="0"/>
                    <w:spacing w:before="0" w:beforeAutospacing="0" w:after="0" w:afterAutospacing="0"/>
                    <w:ind w:left="0" w:right="0"/>
                    <w:jc w:val="center"/>
                    <w:rPr>
                      <w:rFonts w:hint="eastAsia"/>
                      <w:color w:val="auto"/>
                      <w:highlight w:val="none"/>
                      <w:lang w:val="en-US" w:eastAsia="zh-CN"/>
                    </w:rPr>
                  </w:pPr>
                </w:p>
              </w:tc>
            </w:tr>
            <w:tr w14:paraId="4FE4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96" w:type="dxa"/>
                  <w:vMerge w:val="restart"/>
                  <w:vAlign w:val="center"/>
                </w:tcPr>
                <w:p w14:paraId="1727937A">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贮运工程</w:t>
                  </w:r>
                </w:p>
              </w:tc>
              <w:tc>
                <w:tcPr>
                  <w:tcW w:w="1640" w:type="dxa"/>
                  <w:gridSpan w:val="2"/>
                  <w:vAlign w:val="center"/>
                </w:tcPr>
                <w:p w14:paraId="0764B2F7">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default"/>
                      <w:bCs/>
                      <w:color w:val="auto"/>
                      <w:szCs w:val="21"/>
                    </w:rPr>
                    <w:t>原料区</w:t>
                  </w:r>
                </w:p>
              </w:tc>
              <w:tc>
                <w:tcPr>
                  <w:tcW w:w="1875" w:type="dxa"/>
                  <w:shd w:val="clear" w:color="auto" w:fill="auto"/>
                  <w:vAlign w:val="center"/>
                </w:tcPr>
                <w:p w14:paraId="4A23A7FE">
                  <w:pPr>
                    <w:keepNext w:val="0"/>
                    <w:keepLines w:val="0"/>
                    <w:suppressLineNumbers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位于2F，约500</w:t>
                  </w:r>
                  <w:r>
                    <w:rPr>
                      <w:rFonts w:hint="default"/>
                      <w:color w:val="auto"/>
                      <w:sz w:val="21"/>
                      <w:szCs w:val="21"/>
                      <w:highlight w:val="none"/>
                    </w:rPr>
                    <w:t>m</w:t>
                  </w:r>
                  <w:r>
                    <w:rPr>
                      <w:rFonts w:hint="default"/>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s="Times New Roman"/>
                      <w:bCs/>
                      <w:color w:val="auto"/>
                      <w:kern w:val="2"/>
                      <w:sz w:val="21"/>
                      <w:szCs w:val="21"/>
                      <w:highlight w:val="none"/>
                      <w:lang w:val="en-US" w:eastAsia="zh-CN" w:bidi="ar-SA"/>
                    </w:rPr>
                    <w:t>用于存放成品坚果</w:t>
                  </w:r>
                </w:p>
              </w:tc>
              <w:tc>
                <w:tcPr>
                  <w:tcW w:w="3285" w:type="dxa"/>
                  <w:shd w:val="clear" w:color="auto" w:fill="auto"/>
                  <w:vAlign w:val="center"/>
                </w:tcPr>
                <w:p w14:paraId="025026E9">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位于2F、3F，共约600</w:t>
                  </w:r>
                  <w:r>
                    <w:rPr>
                      <w:rFonts w:hint="default"/>
                      <w:color w:val="auto"/>
                      <w:sz w:val="21"/>
                      <w:szCs w:val="21"/>
                      <w:highlight w:val="none"/>
                    </w:rPr>
                    <w:t>m</w:t>
                  </w:r>
                  <w:r>
                    <w:rPr>
                      <w:rFonts w:hint="default"/>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s="Times New Roman"/>
                      <w:bCs/>
                      <w:color w:val="auto"/>
                      <w:kern w:val="2"/>
                      <w:sz w:val="21"/>
                      <w:szCs w:val="21"/>
                      <w:highlight w:val="none"/>
                      <w:lang w:val="en-US" w:eastAsia="zh-CN" w:bidi="ar-SA"/>
                    </w:rPr>
                    <w:t>用于存放原辅材料</w:t>
                  </w:r>
                </w:p>
              </w:tc>
              <w:tc>
                <w:tcPr>
                  <w:tcW w:w="958" w:type="dxa"/>
                  <w:vAlign w:val="center"/>
                </w:tcPr>
                <w:p w14:paraId="16D086A3">
                  <w:pPr>
                    <w:keepNext w:val="0"/>
                    <w:keepLines w:val="0"/>
                    <w:suppressLineNumbers w:val="0"/>
                    <w:spacing w:before="0" w:beforeAutospacing="0" w:after="0" w:afterAutospacing="0"/>
                    <w:ind w:left="-84" w:leftChars="-40" w:right="-84" w:rightChars="-40"/>
                    <w:jc w:val="center"/>
                    <w:rPr>
                      <w:rFonts w:hint="default"/>
                      <w:bCs/>
                      <w:color w:val="auto"/>
                      <w:szCs w:val="21"/>
                      <w:lang w:val="en-US"/>
                    </w:rPr>
                  </w:pPr>
                  <w:r>
                    <w:rPr>
                      <w:rFonts w:hint="eastAsia"/>
                      <w:bCs/>
                      <w:color w:val="auto"/>
                      <w:szCs w:val="21"/>
                      <w:lang w:val="en-US" w:eastAsia="zh-CN"/>
                    </w:rPr>
                    <w:t>依托租赁</w:t>
                  </w:r>
                </w:p>
              </w:tc>
            </w:tr>
            <w:tr w14:paraId="4C33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 w:type="dxa"/>
                  <w:vMerge w:val="continue"/>
                  <w:vAlign w:val="center"/>
                </w:tcPr>
                <w:p w14:paraId="7614B8D0">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Align w:val="center"/>
                </w:tcPr>
                <w:p w14:paraId="1FA2A036">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成品区</w:t>
                  </w:r>
                </w:p>
              </w:tc>
              <w:tc>
                <w:tcPr>
                  <w:tcW w:w="1875" w:type="dxa"/>
                  <w:shd w:val="clear" w:color="auto" w:fill="auto"/>
                  <w:vAlign w:val="center"/>
                </w:tcPr>
                <w:p w14:paraId="2EBB669E">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lang w:val="en-US" w:eastAsia="zh-CN"/>
                    </w:rPr>
                    <w:t>位于3F，约800</w:t>
                  </w:r>
                  <w:r>
                    <w:rPr>
                      <w:rFonts w:hint="default"/>
                      <w:color w:val="auto"/>
                      <w:sz w:val="21"/>
                      <w:szCs w:val="21"/>
                      <w:highlight w:val="none"/>
                    </w:rPr>
                    <w:t>m</w:t>
                  </w:r>
                  <w:r>
                    <w:rPr>
                      <w:rFonts w:hint="default"/>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s="Times New Roman"/>
                      <w:bCs/>
                      <w:color w:val="auto"/>
                      <w:kern w:val="2"/>
                      <w:sz w:val="21"/>
                      <w:szCs w:val="21"/>
                      <w:highlight w:val="none"/>
                      <w:lang w:val="en-US" w:eastAsia="zh-CN" w:bidi="ar-SA"/>
                    </w:rPr>
                    <w:t>用于存放包装后的成品坚果</w:t>
                  </w:r>
                </w:p>
              </w:tc>
              <w:tc>
                <w:tcPr>
                  <w:tcW w:w="3285" w:type="dxa"/>
                  <w:shd w:val="clear" w:color="auto" w:fill="auto"/>
                  <w:vAlign w:val="center"/>
                </w:tcPr>
                <w:p w14:paraId="129B44A7">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位于3F，约1400</w:t>
                  </w:r>
                  <w:r>
                    <w:rPr>
                      <w:rFonts w:hint="default"/>
                      <w:color w:val="auto"/>
                      <w:sz w:val="21"/>
                      <w:szCs w:val="21"/>
                      <w:highlight w:val="none"/>
                    </w:rPr>
                    <w:t>m</w:t>
                  </w:r>
                  <w:r>
                    <w:rPr>
                      <w:rFonts w:hint="default"/>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s="Times New Roman"/>
                      <w:bCs/>
                      <w:color w:val="auto"/>
                      <w:kern w:val="2"/>
                      <w:sz w:val="21"/>
                      <w:szCs w:val="21"/>
                      <w:highlight w:val="none"/>
                      <w:lang w:val="en-US" w:eastAsia="zh-CN" w:bidi="ar-SA"/>
                    </w:rPr>
                    <w:t>用于存放固体饮料、压片糖果等产品</w:t>
                  </w:r>
                </w:p>
              </w:tc>
              <w:tc>
                <w:tcPr>
                  <w:tcW w:w="958" w:type="dxa"/>
                  <w:vAlign w:val="center"/>
                </w:tcPr>
                <w:p w14:paraId="1C044FCE">
                  <w:pPr>
                    <w:keepNext w:val="0"/>
                    <w:keepLines w:val="0"/>
                    <w:suppressLineNumbers w:val="0"/>
                    <w:spacing w:before="0" w:beforeAutospacing="0" w:after="0" w:afterAutospacing="0"/>
                    <w:ind w:left="-84" w:leftChars="-40" w:right="-84" w:rightChars="-40"/>
                    <w:jc w:val="center"/>
                    <w:rPr>
                      <w:rFonts w:hint="eastAsia" w:eastAsia="宋体"/>
                      <w:bCs/>
                      <w:color w:val="auto"/>
                      <w:szCs w:val="21"/>
                      <w:lang w:val="en-US" w:eastAsia="zh-CN"/>
                    </w:rPr>
                  </w:pPr>
                  <w:r>
                    <w:rPr>
                      <w:rFonts w:hint="eastAsia"/>
                      <w:bCs/>
                      <w:color w:val="auto"/>
                      <w:szCs w:val="21"/>
                      <w:lang w:val="en-US" w:eastAsia="zh-CN"/>
                    </w:rPr>
                    <w:t>依托租赁</w:t>
                  </w:r>
                </w:p>
              </w:tc>
            </w:tr>
            <w:tr w14:paraId="1AE7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896" w:type="dxa"/>
                  <w:vMerge w:val="continue"/>
                  <w:vAlign w:val="center"/>
                </w:tcPr>
                <w:p w14:paraId="03831EE3">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Align w:val="center"/>
                </w:tcPr>
                <w:p w14:paraId="6A55B88C">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厂外运输</w:t>
                  </w:r>
                </w:p>
              </w:tc>
              <w:tc>
                <w:tcPr>
                  <w:tcW w:w="1875" w:type="dxa"/>
                  <w:vAlign w:val="center"/>
                </w:tcPr>
                <w:p w14:paraId="38C59077">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主要依托社会运输力量</w:t>
                  </w:r>
                </w:p>
              </w:tc>
              <w:tc>
                <w:tcPr>
                  <w:tcW w:w="3285" w:type="dxa"/>
                  <w:vAlign w:val="center"/>
                </w:tcPr>
                <w:p w14:paraId="4683F94D">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主要依托社会运输力量</w:t>
                  </w:r>
                </w:p>
              </w:tc>
              <w:tc>
                <w:tcPr>
                  <w:tcW w:w="958" w:type="dxa"/>
                  <w:vAlign w:val="center"/>
                </w:tcPr>
                <w:p w14:paraId="42EFCFD5">
                  <w:pPr>
                    <w:keepNext w:val="0"/>
                    <w:keepLines w:val="0"/>
                    <w:suppressLineNumbers w:val="0"/>
                    <w:spacing w:before="0" w:beforeAutospacing="0" w:after="0" w:afterAutospacing="0"/>
                    <w:ind w:left="-84" w:leftChars="-40" w:right="-84" w:rightChars="-40"/>
                    <w:jc w:val="center"/>
                    <w:rPr>
                      <w:rFonts w:hint="eastAsia" w:eastAsia="宋体"/>
                      <w:bCs/>
                      <w:color w:val="auto"/>
                      <w:szCs w:val="21"/>
                      <w:lang w:eastAsia="zh-CN"/>
                    </w:rPr>
                  </w:pPr>
                  <w:r>
                    <w:rPr>
                      <w:rFonts w:hint="eastAsia"/>
                      <w:bCs/>
                      <w:color w:val="auto"/>
                      <w:szCs w:val="21"/>
                      <w:lang w:val="en-US" w:eastAsia="zh-CN"/>
                    </w:rPr>
                    <w:t>/</w:t>
                  </w:r>
                </w:p>
              </w:tc>
            </w:tr>
            <w:tr w14:paraId="2C69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96" w:type="dxa"/>
                  <w:vMerge w:val="restart"/>
                  <w:vAlign w:val="center"/>
                </w:tcPr>
                <w:p w14:paraId="18818C93">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公用工程</w:t>
                  </w:r>
                </w:p>
              </w:tc>
              <w:tc>
                <w:tcPr>
                  <w:tcW w:w="1640" w:type="dxa"/>
                  <w:gridSpan w:val="2"/>
                  <w:vAlign w:val="center"/>
                </w:tcPr>
                <w:p w14:paraId="35D45127">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default"/>
                      <w:bCs/>
                      <w:color w:val="auto"/>
                      <w:szCs w:val="21"/>
                    </w:rPr>
                    <w:t>供电</w:t>
                  </w:r>
                </w:p>
              </w:tc>
              <w:tc>
                <w:tcPr>
                  <w:tcW w:w="1875" w:type="dxa"/>
                  <w:shd w:val="clear" w:color="auto" w:fill="auto"/>
                  <w:vAlign w:val="center"/>
                </w:tcPr>
                <w:p w14:paraId="7785E725">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由</w:t>
                  </w:r>
                  <w:r>
                    <w:rPr>
                      <w:rFonts w:hint="default"/>
                      <w:color w:val="auto"/>
                    </w:rPr>
                    <w:t>市政电网供电</w:t>
                  </w:r>
                </w:p>
              </w:tc>
              <w:tc>
                <w:tcPr>
                  <w:tcW w:w="3285" w:type="dxa"/>
                  <w:vAlign w:val="center"/>
                </w:tcPr>
                <w:p w14:paraId="5EB616DD">
                  <w:pPr>
                    <w:keepNext w:val="0"/>
                    <w:keepLines w:val="0"/>
                    <w:suppressLineNumbers w:val="0"/>
                    <w:bidi w:val="0"/>
                    <w:spacing w:before="0" w:beforeAutospacing="0" w:after="0" w:afterAutospacing="0"/>
                    <w:ind w:left="0" w:right="0"/>
                    <w:jc w:val="center"/>
                    <w:rPr>
                      <w:rFonts w:hint="eastAsia"/>
                      <w:color w:val="auto"/>
                    </w:rPr>
                  </w:pPr>
                  <w:r>
                    <w:rPr>
                      <w:rFonts w:hint="eastAsia"/>
                      <w:color w:val="auto"/>
                    </w:rPr>
                    <w:t>由</w:t>
                  </w:r>
                  <w:r>
                    <w:rPr>
                      <w:rFonts w:hint="default"/>
                      <w:color w:val="auto"/>
                    </w:rPr>
                    <w:t>市政电网供电</w:t>
                  </w:r>
                </w:p>
              </w:tc>
              <w:tc>
                <w:tcPr>
                  <w:tcW w:w="958" w:type="dxa"/>
                  <w:vAlign w:val="center"/>
                </w:tcPr>
                <w:p w14:paraId="1F035046">
                  <w:pPr>
                    <w:keepNext w:val="0"/>
                    <w:keepLines w:val="0"/>
                    <w:suppressLineNumbers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依托租赁</w:t>
                  </w:r>
                </w:p>
              </w:tc>
            </w:tr>
            <w:tr w14:paraId="306F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vAlign w:val="center"/>
                </w:tcPr>
                <w:p w14:paraId="2A45EC22">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shd w:val="clear" w:color="auto" w:fill="auto"/>
                  <w:vAlign w:val="center"/>
                </w:tcPr>
                <w:p w14:paraId="1C6AD455">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供气</w:t>
                  </w:r>
                </w:p>
              </w:tc>
              <w:tc>
                <w:tcPr>
                  <w:tcW w:w="1875" w:type="dxa"/>
                  <w:shd w:val="clear" w:color="auto" w:fill="auto"/>
                  <w:vAlign w:val="center"/>
                </w:tcPr>
                <w:p w14:paraId="49022122">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3285" w:type="dxa"/>
                  <w:shd w:val="clear" w:color="auto" w:fill="auto"/>
                  <w:vAlign w:val="center"/>
                </w:tcPr>
                <w:p w14:paraId="24E8F982">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color w:val="auto"/>
                      <w:szCs w:val="21"/>
                    </w:rPr>
                    <w:t>由区域</w:t>
                  </w:r>
                  <w:r>
                    <w:rPr>
                      <w:rFonts w:hint="eastAsia"/>
                      <w:color w:val="auto"/>
                      <w:szCs w:val="21"/>
                    </w:rPr>
                    <w:t>市政</w:t>
                  </w:r>
                  <w:r>
                    <w:rPr>
                      <w:rFonts w:hint="default"/>
                      <w:color w:val="auto"/>
                      <w:szCs w:val="21"/>
                    </w:rPr>
                    <w:t>供</w:t>
                  </w:r>
                  <w:r>
                    <w:rPr>
                      <w:rFonts w:hint="eastAsia"/>
                      <w:color w:val="auto"/>
                      <w:szCs w:val="21"/>
                      <w:lang w:val="en-US" w:eastAsia="zh-CN"/>
                    </w:rPr>
                    <w:t>气</w:t>
                  </w:r>
                  <w:r>
                    <w:rPr>
                      <w:rFonts w:hint="default"/>
                      <w:color w:val="auto"/>
                      <w:szCs w:val="21"/>
                    </w:rPr>
                    <w:t>系统提供</w:t>
                  </w:r>
                </w:p>
              </w:tc>
              <w:tc>
                <w:tcPr>
                  <w:tcW w:w="958" w:type="dxa"/>
                  <w:vAlign w:val="center"/>
                </w:tcPr>
                <w:p w14:paraId="33ED26D9">
                  <w:pPr>
                    <w:keepNext w:val="0"/>
                    <w:keepLines w:val="0"/>
                    <w:suppressLineNumbers w:val="0"/>
                    <w:spacing w:before="0" w:beforeAutospacing="0" w:after="0" w:afterAutospacing="0"/>
                    <w:ind w:left="-84" w:leftChars="-40" w:right="-84" w:rightChars="-40"/>
                    <w:jc w:val="center"/>
                    <w:rPr>
                      <w:rFonts w:hint="eastAsia" w:eastAsia="宋体"/>
                      <w:bCs/>
                      <w:color w:val="auto"/>
                      <w:szCs w:val="21"/>
                      <w:lang w:val="en-US" w:eastAsia="zh-CN"/>
                    </w:rPr>
                  </w:pPr>
                  <w:r>
                    <w:rPr>
                      <w:rFonts w:hint="eastAsia"/>
                      <w:bCs/>
                      <w:color w:val="auto"/>
                      <w:szCs w:val="21"/>
                      <w:lang w:val="en-US" w:eastAsia="zh-CN"/>
                    </w:rPr>
                    <w:t>依托租赁</w:t>
                  </w:r>
                </w:p>
              </w:tc>
            </w:tr>
            <w:tr w14:paraId="2106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vAlign w:val="center"/>
                </w:tcPr>
                <w:p w14:paraId="2217F8D5">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shd w:val="clear" w:color="auto" w:fill="auto"/>
                  <w:vAlign w:val="center"/>
                </w:tcPr>
                <w:p w14:paraId="3D6A3585">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给</w:t>
                  </w:r>
                  <w:r>
                    <w:rPr>
                      <w:rFonts w:hint="default"/>
                      <w:bCs/>
                      <w:color w:val="auto"/>
                      <w:szCs w:val="21"/>
                    </w:rPr>
                    <w:t>水</w:t>
                  </w:r>
                </w:p>
              </w:tc>
              <w:tc>
                <w:tcPr>
                  <w:tcW w:w="1875" w:type="dxa"/>
                  <w:shd w:val="clear" w:color="auto" w:fill="auto"/>
                  <w:vAlign w:val="center"/>
                </w:tcPr>
                <w:p w14:paraId="1014F951">
                  <w:pPr>
                    <w:keepNext w:val="0"/>
                    <w:keepLines w:val="0"/>
                    <w:suppressLineNumbers w:val="0"/>
                    <w:spacing w:before="0" w:beforeAutospacing="0" w:after="0" w:afterAutospacing="0"/>
                    <w:ind w:left="-84" w:leftChars="-40" w:right="-84" w:rightChars="-40"/>
                    <w:jc w:val="center"/>
                    <w:rPr>
                      <w:rFonts w:hint="default"/>
                      <w:bCs/>
                      <w:color w:val="auto"/>
                      <w:szCs w:val="21"/>
                      <w:lang w:val="en-US" w:eastAsia="zh-CN"/>
                    </w:rPr>
                  </w:pPr>
                  <w:r>
                    <w:rPr>
                      <w:rFonts w:hint="default"/>
                      <w:color w:val="auto"/>
                      <w:szCs w:val="21"/>
                    </w:rPr>
                    <w:t>由区域</w:t>
                  </w:r>
                  <w:r>
                    <w:rPr>
                      <w:rFonts w:hint="eastAsia"/>
                      <w:color w:val="auto"/>
                      <w:szCs w:val="21"/>
                    </w:rPr>
                    <w:t>市政</w:t>
                  </w:r>
                  <w:r>
                    <w:rPr>
                      <w:rFonts w:hint="default"/>
                      <w:color w:val="auto"/>
                      <w:szCs w:val="21"/>
                    </w:rPr>
                    <w:t>供</w:t>
                  </w:r>
                  <w:r>
                    <w:rPr>
                      <w:rFonts w:hint="eastAsia"/>
                      <w:color w:val="auto"/>
                      <w:szCs w:val="21"/>
                      <w:lang w:val="en-US" w:eastAsia="zh-CN"/>
                    </w:rPr>
                    <w:t>水</w:t>
                  </w:r>
                  <w:r>
                    <w:rPr>
                      <w:rFonts w:hint="default"/>
                      <w:color w:val="auto"/>
                      <w:szCs w:val="21"/>
                    </w:rPr>
                    <w:t>系统提供</w:t>
                  </w:r>
                </w:p>
              </w:tc>
              <w:tc>
                <w:tcPr>
                  <w:tcW w:w="3285" w:type="dxa"/>
                  <w:shd w:val="clear" w:color="auto" w:fill="auto"/>
                  <w:vAlign w:val="center"/>
                </w:tcPr>
                <w:p w14:paraId="7B202CA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default"/>
                      <w:color w:val="auto"/>
                      <w:szCs w:val="21"/>
                    </w:rPr>
                    <w:t>由区域</w:t>
                  </w:r>
                  <w:r>
                    <w:rPr>
                      <w:rFonts w:hint="eastAsia"/>
                      <w:color w:val="auto"/>
                      <w:szCs w:val="21"/>
                    </w:rPr>
                    <w:t>市政</w:t>
                  </w:r>
                  <w:r>
                    <w:rPr>
                      <w:rFonts w:hint="default"/>
                      <w:color w:val="auto"/>
                      <w:szCs w:val="21"/>
                    </w:rPr>
                    <w:t>供</w:t>
                  </w:r>
                  <w:r>
                    <w:rPr>
                      <w:rFonts w:hint="eastAsia"/>
                      <w:color w:val="auto"/>
                      <w:szCs w:val="21"/>
                      <w:lang w:val="en-US" w:eastAsia="zh-CN"/>
                    </w:rPr>
                    <w:t>水</w:t>
                  </w:r>
                  <w:r>
                    <w:rPr>
                      <w:rFonts w:hint="default"/>
                      <w:color w:val="auto"/>
                      <w:szCs w:val="21"/>
                    </w:rPr>
                    <w:t>系统提供</w:t>
                  </w:r>
                  <w:r>
                    <w:rPr>
                      <w:rFonts w:hint="eastAsia"/>
                      <w:color w:val="auto"/>
                      <w:szCs w:val="21"/>
                      <w:lang w:eastAsia="zh-CN"/>
                    </w:rPr>
                    <w:t>，</w:t>
                  </w:r>
                  <w:r>
                    <w:rPr>
                      <w:rFonts w:hint="eastAsia"/>
                      <w:color w:val="auto"/>
                      <w:szCs w:val="21"/>
                      <w:lang w:val="en-US" w:eastAsia="zh-CN"/>
                    </w:rPr>
                    <w:t>项目设置1套纯水制备系统，采用RO反渗透工艺，制备能力为4t/h，用于制备纯水供产品生产、生产设备清洗及实验室清洗</w:t>
                  </w:r>
                </w:p>
              </w:tc>
              <w:tc>
                <w:tcPr>
                  <w:tcW w:w="958" w:type="dxa"/>
                  <w:vAlign w:val="center"/>
                </w:tcPr>
                <w:p w14:paraId="33F5E892">
                  <w:pPr>
                    <w:keepNext w:val="0"/>
                    <w:keepLines w:val="0"/>
                    <w:suppressLineNumbers w:val="0"/>
                    <w:spacing w:before="0" w:beforeAutospacing="0" w:after="0" w:afterAutospacing="0"/>
                    <w:ind w:left="-84" w:leftChars="-40" w:right="-84" w:rightChars="-40"/>
                    <w:jc w:val="center"/>
                    <w:rPr>
                      <w:rFonts w:hint="eastAsia"/>
                      <w:bCs/>
                      <w:color w:val="auto"/>
                      <w:szCs w:val="21"/>
                      <w:lang w:val="en-US" w:eastAsia="zh-CN"/>
                    </w:rPr>
                  </w:pPr>
                  <w:r>
                    <w:rPr>
                      <w:rFonts w:hint="eastAsia"/>
                      <w:bCs/>
                      <w:color w:val="auto"/>
                      <w:szCs w:val="21"/>
                      <w:lang w:val="en-US" w:eastAsia="zh-CN"/>
                    </w:rPr>
                    <w:t>依托租赁</w:t>
                  </w:r>
                </w:p>
              </w:tc>
            </w:tr>
            <w:tr w14:paraId="53FD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vAlign w:val="center"/>
                </w:tcPr>
                <w:p w14:paraId="0BA77B65">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shd w:val="clear" w:color="auto" w:fill="auto"/>
                  <w:vAlign w:val="center"/>
                </w:tcPr>
                <w:p w14:paraId="2BD5E2F5">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bCs/>
                      <w:color w:val="auto"/>
                      <w:kern w:val="2"/>
                      <w:sz w:val="21"/>
                      <w:szCs w:val="21"/>
                      <w:lang w:val="en-US" w:eastAsia="zh-CN" w:bidi="ar-SA"/>
                    </w:rPr>
                  </w:pPr>
                  <w:r>
                    <w:rPr>
                      <w:rFonts w:hint="default"/>
                      <w:bCs/>
                      <w:color w:val="auto"/>
                      <w:szCs w:val="21"/>
                    </w:rPr>
                    <w:t>排水</w:t>
                  </w:r>
                </w:p>
              </w:tc>
              <w:tc>
                <w:tcPr>
                  <w:tcW w:w="1875" w:type="dxa"/>
                  <w:shd w:val="clear" w:color="auto" w:fill="auto"/>
                  <w:vAlign w:val="center"/>
                </w:tcPr>
                <w:p w14:paraId="38689CA2">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eastAsia"/>
                      <w:color w:val="auto"/>
                      <w:szCs w:val="21"/>
                      <w:lang w:val="en-US" w:eastAsia="zh-CN"/>
                    </w:rPr>
                    <w:t>雨污分流</w:t>
                  </w:r>
                </w:p>
              </w:tc>
              <w:tc>
                <w:tcPr>
                  <w:tcW w:w="3285" w:type="dxa"/>
                  <w:shd w:val="clear" w:color="auto" w:fill="auto"/>
                  <w:vAlign w:val="center"/>
                </w:tcPr>
                <w:p w14:paraId="0517D197">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szCs w:val="21"/>
                      <w:lang w:val="en-US" w:eastAsia="zh-CN"/>
                    </w:rPr>
                    <w:t>雨污分流</w:t>
                  </w:r>
                </w:p>
              </w:tc>
              <w:tc>
                <w:tcPr>
                  <w:tcW w:w="958" w:type="dxa"/>
                  <w:vAlign w:val="center"/>
                </w:tcPr>
                <w:p w14:paraId="6085EFEF">
                  <w:pPr>
                    <w:keepNext w:val="0"/>
                    <w:keepLines w:val="0"/>
                    <w:suppressLineNumbers w:val="0"/>
                    <w:spacing w:before="0" w:beforeAutospacing="0" w:after="0" w:afterAutospacing="0"/>
                    <w:ind w:left="-84" w:leftChars="-40" w:right="-84" w:rightChars="-40"/>
                    <w:jc w:val="center"/>
                    <w:rPr>
                      <w:rFonts w:hint="eastAsia"/>
                      <w:bCs/>
                      <w:color w:val="auto"/>
                      <w:szCs w:val="21"/>
                      <w:lang w:val="en-US" w:eastAsia="zh-CN"/>
                    </w:rPr>
                  </w:pPr>
                  <w:r>
                    <w:rPr>
                      <w:rFonts w:hint="eastAsia"/>
                      <w:bCs/>
                      <w:color w:val="auto"/>
                      <w:szCs w:val="21"/>
                      <w:lang w:val="en-US" w:eastAsia="zh-CN"/>
                    </w:rPr>
                    <w:t>依托租赁</w:t>
                  </w:r>
                </w:p>
              </w:tc>
            </w:tr>
            <w:tr w14:paraId="42F3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Align w:val="center"/>
                </w:tcPr>
                <w:p w14:paraId="60E1647B">
                  <w:pPr>
                    <w:keepNext w:val="0"/>
                    <w:keepLines w:val="0"/>
                    <w:suppressLineNumbers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辅助工程</w:t>
                  </w:r>
                </w:p>
              </w:tc>
              <w:tc>
                <w:tcPr>
                  <w:tcW w:w="1640" w:type="dxa"/>
                  <w:gridSpan w:val="2"/>
                  <w:shd w:val="clear" w:color="auto" w:fill="auto"/>
                  <w:vAlign w:val="center"/>
                </w:tcPr>
                <w:p w14:paraId="7FA36827">
                  <w:pPr>
                    <w:keepNext w:val="0"/>
                    <w:keepLines w:val="0"/>
                    <w:suppressLineNumbers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循环冷却水系统</w:t>
                  </w:r>
                </w:p>
              </w:tc>
              <w:tc>
                <w:tcPr>
                  <w:tcW w:w="1875" w:type="dxa"/>
                  <w:shd w:val="clear" w:color="auto" w:fill="auto"/>
                  <w:vAlign w:val="center"/>
                </w:tcPr>
                <w:p w14:paraId="747E7FC7">
                  <w:pPr>
                    <w:keepNext w:val="0"/>
                    <w:keepLines w:val="0"/>
                    <w:suppressLineNumbers w:val="0"/>
                    <w:spacing w:before="0" w:beforeAutospacing="0" w:after="0" w:afterAutospacing="0"/>
                    <w:ind w:left="-84" w:leftChars="-40" w:right="-84" w:rightChars="-40"/>
                    <w:jc w:val="center"/>
                    <w:rPr>
                      <w:rFonts w:hint="default"/>
                      <w:color w:val="auto"/>
                      <w:szCs w:val="21"/>
                      <w:lang w:val="en-US" w:eastAsia="zh-CN"/>
                    </w:rPr>
                  </w:pPr>
                  <w:r>
                    <w:rPr>
                      <w:rFonts w:hint="eastAsia"/>
                      <w:color w:val="auto"/>
                      <w:szCs w:val="21"/>
                      <w:lang w:val="en-US" w:eastAsia="zh-CN"/>
                    </w:rPr>
                    <w:t>/</w:t>
                  </w:r>
                </w:p>
              </w:tc>
              <w:tc>
                <w:tcPr>
                  <w:tcW w:w="3285" w:type="dxa"/>
                  <w:shd w:val="clear" w:color="auto" w:fill="auto"/>
                  <w:vAlign w:val="center"/>
                </w:tcPr>
                <w:p w14:paraId="57CBF897">
                  <w:pPr>
                    <w:keepNext w:val="0"/>
                    <w:keepLines w:val="0"/>
                    <w:suppressLineNumbers w:val="0"/>
                    <w:bidi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杀菌线自带冷却装置，循环水量25m</w:t>
                  </w:r>
                  <w:r>
                    <w:rPr>
                      <w:rFonts w:hint="eastAsia"/>
                      <w:color w:val="auto"/>
                      <w:szCs w:val="21"/>
                      <w:vertAlign w:val="superscript"/>
                      <w:lang w:val="en-US" w:eastAsia="zh-CN"/>
                    </w:rPr>
                    <w:t>3</w:t>
                  </w:r>
                  <w:r>
                    <w:rPr>
                      <w:rFonts w:hint="eastAsia"/>
                      <w:color w:val="auto"/>
                      <w:szCs w:val="21"/>
                      <w:lang w:val="en-US" w:eastAsia="zh-CN"/>
                    </w:rPr>
                    <w:t>/h，冷却水循环使用，不外排</w:t>
                  </w:r>
                </w:p>
              </w:tc>
              <w:tc>
                <w:tcPr>
                  <w:tcW w:w="958" w:type="dxa"/>
                  <w:vAlign w:val="center"/>
                </w:tcPr>
                <w:p w14:paraId="30E0CA34">
                  <w:pPr>
                    <w:keepNext w:val="0"/>
                    <w:keepLines w:val="0"/>
                    <w:suppressLineNumbers w:val="0"/>
                    <w:spacing w:before="0" w:beforeAutospacing="0" w:after="0" w:afterAutospacing="0"/>
                    <w:ind w:left="-84" w:leftChars="-40" w:right="-84" w:rightChars="-40"/>
                    <w:jc w:val="center"/>
                    <w:rPr>
                      <w:rFonts w:hint="default"/>
                      <w:bCs/>
                      <w:color w:val="auto"/>
                      <w:szCs w:val="21"/>
                      <w:lang w:val="en-US" w:eastAsia="zh-CN"/>
                    </w:rPr>
                  </w:pPr>
                  <w:r>
                    <w:rPr>
                      <w:rFonts w:hint="eastAsia"/>
                      <w:bCs/>
                      <w:color w:val="auto"/>
                      <w:szCs w:val="21"/>
                      <w:lang w:val="en-US" w:eastAsia="zh-CN"/>
                    </w:rPr>
                    <w:t>新建</w:t>
                  </w:r>
                </w:p>
              </w:tc>
            </w:tr>
            <w:tr w14:paraId="6EAC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896" w:type="dxa"/>
                  <w:vMerge w:val="restart"/>
                  <w:vAlign w:val="center"/>
                </w:tcPr>
                <w:p w14:paraId="3057BEC7">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环保工程</w:t>
                  </w:r>
                </w:p>
              </w:tc>
              <w:tc>
                <w:tcPr>
                  <w:tcW w:w="485" w:type="dxa"/>
                  <w:vMerge w:val="restart"/>
                  <w:vAlign w:val="center"/>
                </w:tcPr>
                <w:p w14:paraId="0E2B28A0">
                  <w:pPr>
                    <w:keepNext w:val="0"/>
                    <w:keepLines w:val="0"/>
                    <w:suppressLineNumbers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废气治理</w:t>
                  </w:r>
                </w:p>
              </w:tc>
              <w:tc>
                <w:tcPr>
                  <w:tcW w:w="1155" w:type="dxa"/>
                  <w:shd w:val="clear" w:color="auto" w:fill="auto"/>
                  <w:vAlign w:val="center"/>
                </w:tcPr>
                <w:p w14:paraId="7468D30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投料混合粉尘</w:t>
                  </w:r>
                </w:p>
              </w:tc>
              <w:tc>
                <w:tcPr>
                  <w:tcW w:w="1875" w:type="dxa"/>
                  <w:shd w:val="clear" w:color="auto" w:fill="auto"/>
                  <w:vAlign w:val="center"/>
                </w:tcPr>
                <w:p w14:paraId="0F2F26AB">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w:t>
                  </w:r>
                </w:p>
              </w:tc>
              <w:tc>
                <w:tcPr>
                  <w:tcW w:w="3285" w:type="dxa"/>
                  <w:shd w:val="clear" w:color="auto" w:fill="auto"/>
                  <w:vAlign w:val="center"/>
                </w:tcPr>
                <w:p w14:paraId="0E25E82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集气罩收集</w:t>
                  </w:r>
                  <w:r>
                    <w:rPr>
                      <w:rFonts w:hint="default" w:ascii="Times New Roman" w:hAnsi="Times New Roman" w:eastAsia="宋体" w:cs="Times New Roman"/>
                      <w:color w:val="auto"/>
                      <w:kern w:val="2"/>
                      <w:sz w:val="21"/>
                      <w:szCs w:val="24"/>
                      <w:highlight w:val="none"/>
                      <w:lang w:val="en-US" w:eastAsia="zh-CN" w:bidi="ar-SA"/>
                    </w:rPr>
                    <w:t>，废气收集后引入1套布袋除尘器进行处理，处理达标后通过1根15m高排气筒排放</w:t>
                  </w:r>
                </w:p>
              </w:tc>
              <w:tc>
                <w:tcPr>
                  <w:tcW w:w="958" w:type="dxa"/>
                  <w:vMerge w:val="restart"/>
                  <w:vAlign w:val="center"/>
                </w:tcPr>
                <w:p w14:paraId="0A1AF3ED">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lang w:val="en-US" w:eastAsia="zh-CN"/>
                    </w:rPr>
                    <w:t>新建</w:t>
                  </w:r>
                </w:p>
              </w:tc>
            </w:tr>
            <w:tr w14:paraId="2954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896" w:type="dxa"/>
                  <w:vMerge w:val="continue"/>
                  <w:vAlign w:val="center"/>
                </w:tcPr>
                <w:p w14:paraId="637C5B1E">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485" w:type="dxa"/>
                  <w:vMerge w:val="continue"/>
                  <w:vAlign w:val="center"/>
                </w:tcPr>
                <w:p w14:paraId="36BF48B6">
                  <w:pPr>
                    <w:keepNext w:val="0"/>
                    <w:keepLines w:val="0"/>
                    <w:suppressLineNumbers w:val="0"/>
                    <w:spacing w:before="0" w:beforeAutospacing="0" w:after="0" w:afterAutospacing="0"/>
                    <w:ind w:left="-84" w:leftChars="-40" w:right="-84" w:rightChars="-40"/>
                    <w:jc w:val="center"/>
                    <w:rPr>
                      <w:rFonts w:hint="eastAsia"/>
                      <w:bCs/>
                      <w:color w:val="auto"/>
                      <w:szCs w:val="21"/>
                      <w:lang w:val="en-US" w:eastAsia="zh-CN"/>
                    </w:rPr>
                  </w:pPr>
                </w:p>
              </w:tc>
              <w:tc>
                <w:tcPr>
                  <w:tcW w:w="1155" w:type="dxa"/>
                  <w:shd w:val="clear" w:color="auto" w:fill="auto"/>
                  <w:vAlign w:val="center"/>
                </w:tcPr>
                <w:p w14:paraId="22D7F4CF">
                  <w:pPr>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天然气燃烧废气</w:t>
                  </w:r>
                </w:p>
              </w:tc>
              <w:tc>
                <w:tcPr>
                  <w:tcW w:w="1875" w:type="dxa"/>
                  <w:shd w:val="clear" w:color="auto" w:fill="auto"/>
                  <w:vAlign w:val="center"/>
                </w:tcPr>
                <w:p w14:paraId="0D6A2202">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w:t>
                  </w:r>
                </w:p>
              </w:tc>
              <w:tc>
                <w:tcPr>
                  <w:tcW w:w="3285" w:type="dxa"/>
                  <w:shd w:val="clear" w:color="auto" w:fill="auto"/>
                  <w:vAlign w:val="center"/>
                </w:tcPr>
                <w:p w14:paraId="455363A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采取低氮燃烧方式，燃烧废气经管道引入1根</w:t>
                  </w:r>
                  <w:r>
                    <w:rPr>
                      <w:rFonts w:hint="eastAsia" w:cs="Times New Roman"/>
                      <w:color w:val="auto"/>
                      <w:kern w:val="2"/>
                      <w:sz w:val="21"/>
                      <w:szCs w:val="24"/>
                      <w:lang w:val="en-US" w:eastAsia="zh-CN" w:bidi="ar-SA"/>
                    </w:rPr>
                    <w:t>不低于8m</w:t>
                  </w:r>
                  <w:r>
                    <w:rPr>
                      <w:rFonts w:hint="default" w:ascii="Times New Roman" w:hAnsi="Times New Roman" w:eastAsia="宋体" w:cs="Times New Roman"/>
                      <w:color w:val="auto"/>
                      <w:kern w:val="2"/>
                      <w:sz w:val="21"/>
                      <w:szCs w:val="24"/>
                      <w:lang w:val="en-US" w:eastAsia="zh-CN" w:bidi="ar-SA"/>
                    </w:rPr>
                    <w:t>高的排气筒排放</w:t>
                  </w:r>
                </w:p>
              </w:tc>
              <w:tc>
                <w:tcPr>
                  <w:tcW w:w="958" w:type="dxa"/>
                  <w:vMerge w:val="continue"/>
                  <w:vAlign w:val="center"/>
                </w:tcPr>
                <w:p w14:paraId="3AE4DDD9">
                  <w:pPr>
                    <w:keepNext w:val="0"/>
                    <w:keepLines w:val="0"/>
                    <w:suppressLineNumbers w:val="0"/>
                    <w:spacing w:before="0" w:beforeAutospacing="0" w:after="0" w:afterAutospacing="0"/>
                    <w:ind w:left="-84" w:leftChars="-40" w:right="-84" w:rightChars="-40"/>
                    <w:jc w:val="center"/>
                    <w:rPr>
                      <w:rFonts w:hint="eastAsia"/>
                      <w:bCs/>
                      <w:color w:val="auto"/>
                      <w:szCs w:val="21"/>
                      <w:lang w:val="en-US" w:eastAsia="zh-CN"/>
                    </w:rPr>
                  </w:pPr>
                </w:p>
              </w:tc>
            </w:tr>
            <w:tr w14:paraId="0D4D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96" w:type="dxa"/>
                  <w:vMerge w:val="continue"/>
                  <w:vAlign w:val="center"/>
                </w:tcPr>
                <w:p w14:paraId="3EA74C72">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Align w:val="center"/>
                </w:tcPr>
                <w:p w14:paraId="5107239D">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废水治理</w:t>
                  </w:r>
                </w:p>
              </w:tc>
              <w:tc>
                <w:tcPr>
                  <w:tcW w:w="1875" w:type="dxa"/>
                  <w:vAlign w:val="center"/>
                </w:tcPr>
                <w:p w14:paraId="57D5A990">
                  <w:pPr>
                    <w:keepNext w:val="0"/>
                    <w:keepLines w:val="0"/>
                    <w:suppressLineNumbers w:val="0"/>
                    <w:spacing w:before="0" w:beforeAutospacing="0" w:after="0" w:afterAutospacing="0"/>
                    <w:ind w:left="-84" w:leftChars="-40" w:right="-84" w:rightChars="-40"/>
                    <w:jc w:val="center"/>
                    <w:rPr>
                      <w:rFonts w:hint="default" w:ascii="Times New Roman" w:hAnsi="Times New Roman" w:cs="Times New Roman"/>
                      <w:bCs/>
                      <w:color w:val="auto"/>
                      <w:szCs w:val="21"/>
                      <w:lang w:val="en-US" w:eastAsia="zh-CN"/>
                    </w:rPr>
                  </w:pPr>
                  <w:r>
                    <w:rPr>
                      <w:rFonts w:hint="default" w:ascii="Times New Roman" w:hAnsi="Times New Roman" w:cs="Times New Roman"/>
                      <w:color w:val="auto"/>
                      <w:szCs w:val="21"/>
                      <w:highlight w:val="none"/>
                      <w:lang w:val="en-US" w:eastAsia="zh-CN"/>
                    </w:rPr>
                    <w:t>生活污水经隔油池+化粪池处理</w:t>
                  </w:r>
                </w:p>
              </w:tc>
              <w:tc>
                <w:tcPr>
                  <w:tcW w:w="3285" w:type="dxa"/>
                  <w:vAlign w:val="center"/>
                </w:tcPr>
                <w:p w14:paraId="6494715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highlight w:val="none"/>
                      <w:lang w:val="en-US" w:eastAsia="zh-CN"/>
                    </w:rPr>
                    <w:t>项</w:t>
                  </w:r>
                  <w:r>
                    <w:rPr>
                      <w:rFonts w:hint="default" w:ascii="Times New Roman" w:hAnsi="Times New Roman" w:cs="Times New Roman"/>
                      <w:color w:val="auto"/>
                      <w:szCs w:val="21"/>
                      <w:highlight w:val="none"/>
                    </w:rPr>
                    <w:t>目区实行雨污分流，雨水进入区域雨水管网；</w:t>
                  </w:r>
                  <w:r>
                    <w:rPr>
                      <w:rFonts w:hint="default" w:ascii="Times New Roman" w:hAnsi="Times New Roman" w:cs="Times New Roman"/>
                      <w:color w:val="auto"/>
                      <w:szCs w:val="21"/>
                      <w:highlight w:val="none"/>
                      <w:lang w:val="en-US" w:eastAsia="zh-CN"/>
                    </w:rPr>
                    <w:t>生活污水经隔油池+化粪池处理；设备清洗废水、保洁废水</w:t>
                  </w:r>
                  <w:r>
                    <w:rPr>
                      <w:rFonts w:hint="eastAsia" w:cs="Times New Roman"/>
                      <w:color w:val="auto"/>
                      <w:szCs w:val="21"/>
                      <w:highlight w:val="none"/>
                      <w:lang w:val="en-US" w:eastAsia="zh-CN"/>
                    </w:rPr>
                    <w:t>、实验室清洗废水</w:t>
                  </w:r>
                  <w:r>
                    <w:rPr>
                      <w:rFonts w:hint="default" w:ascii="Times New Roman" w:hAnsi="Times New Roman" w:cs="Times New Roman"/>
                      <w:color w:val="auto"/>
                      <w:szCs w:val="21"/>
                      <w:highlight w:val="none"/>
                      <w:lang w:val="en-US" w:eastAsia="zh-CN"/>
                    </w:rPr>
                    <w:t>经调节池+水解酸化池+接触氧化池+沉淀池处理后与纯水制备</w:t>
                  </w:r>
                  <w:r>
                    <w:rPr>
                      <w:rFonts w:hint="eastAsia" w:cs="Times New Roman"/>
                      <w:color w:val="auto"/>
                      <w:szCs w:val="21"/>
                      <w:highlight w:val="none"/>
                      <w:lang w:val="en-US" w:eastAsia="zh-CN"/>
                    </w:rPr>
                    <w:t>废</w:t>
                  </w:r>
                  <w:r>
                    <w:rPr>
                      <w:rFonts w:hint="default" w:ascii="Times New Roman" w:hAnsi="Times New Roman" w:cs="Times New Roman"/>
                      <w:color w:val="auto"/>
                      <w:szCs w:val="21"/>
                      <w:highlight w:val="none"/>
                      <w:lang w:val="en-US" w:eastAsia="zh-CN"/>
                    </w:rPr>
                    <w:t>水、</w:t>
                  </w:r>
                  <w:r>
                    <w:rPr>
                      <w:rFonts w:hint="eastAsia" w:cs="Times New Roman"/>
                      <w:color w:val="auto"/>
                      <w:szCs w:val="21"/>
                      <w:highlight w:val="none"/>
                      <w:lang w:val="en-US" w:eastAsia="zh-CN"/>
                    </w:rPr>
                    <w:t>处理后的</w:t>
                  </w:r>
                  <w:r>
                    <w:rPr>
                      <w:rFonts w:hint="default" w:ascii="Times New Roman" w:hAnsi="Times New Roman" w:cs="Times New Roman"/>
                      <w:color w:val="auto"/>
                      <w:szCs w:val="21"/>
                      <w:highlight w:val="none"/>
                      <w:lang w:val="en-US" w:eastAsia="zh-CN"/>
                    </w:rPr>
                    <w:t>生活污水一起接管排放</w:t>
                  </w:r>
                  <w:r>
                    <w:rPr>
                      <w:rFonts w:hint="eastAsia" w:cs="Times New Roman"/>
                      <w:color w:val="auto"/>
                      <w:szCs w:val="21"/>
                      <w:highlight w:val="none"/>
                      <w:lang w:val="en-US" w:eastAsia="zh-CN"/>
                    </w:rPr>
                    <w:t>至汴北污水处理厂</w:t>
                  </w:r>
                </w:p>
              </w:tc>
              <w:tc>
                <w:tcPr>
                  <w:tcW w:w="958" w:type="dxa"/>
                  <w:vAlign w:val="center"/>
                </w:tcPr>
                <w:p w14:paraId="45F0AA25">
                  <w:pPr>
                    <w:keepNext w:val="0"/>
                    <w:keepLines w:val="0"/>
                    <w:suppressLineNumbers w:val="0"/>
                    <w:spacing w:before="0" w:beforeAutospacing="0" w:after="0" w:afterAutospacing="0"/>
                    <w:ind w:left="-84" w:leftChars="-40" w:right="-84" w:rightChars="-40"/>
                    <w:jc w:val="center"/>
                    <w:rPr>
                      <w:rFonts w:hint="eastAsia" w:ascii="宋体" w:hAnsi="宋体" w:cs="宋体"/>
                      <w:color w:val="auto"/>
                      <w:szCs w:val="21"/>
                    </w:rPr>
                  </w:pPr>
                  <w:r>
                    <w:rPr>
                      <w:rFonts w:hint="eastAsia" w:ascii="宋体" w:hAnsi="宋体" w:cs="宋体"/>
                      <w:color w:val="auto"/>
                      <w:szCs w:val="21"/>
                    </w:rPr>
                    <w:t>新建</w:t>
                  </w:r>
                </w:p>
              </w:tc>
            </w:tr>
            <w:tr w14:paraId="2964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vAlign w:val="center"/>
                </w:tcPr>
                <w:p w14:paraId="35CB812E">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Merge w:val="restart"/>
                  <w:vAlign w:val="center"/>
                </w:tcPr>
                <w:p w14:paraId="01000053">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default"/>
                      <w:bCs/>
                      <w:color w:val="auto"/>
                      <w:szCs w:val="21"/>
                    </w:rPr>
                    <w:t>固废处理</w:t>
                  </w:r>
                </w:p>
              </w:tc>
              <w:tc>
                <w:tcPr>
                  <w:tcW w:w="1875" w:type="dxa"/>
                  <w:vAlign w:val="center"/>
                </w:tcPr>
                <w:p w14:paraId="5F5A0D85">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color w:val="auto"/>
                    </w:rPr>
                    <w:t>生活垃圾经袋装或桶装分类收集</w:t>
                  </w:r>
                  <w:r>
                    <w:rPr>
                      <w:rFonts w:hint="eastAsia"/>
                      <w:color w:val="auto"/>
                      <w:lang w:val="en-US" w:eastAsia="zh-CN"/>
                    </w:rPr>
                    <w:t>后</w:t>
                  </w:r>
                  <w:r>
                    <w:rPr>
                      <w:rFonts w:hint="default"/>
                      <w:color w:val="auto"/>
                    </w:rPr>
                    <w:t>委托环卫部门统一处理</w:t>
                  </w:r>
                </w:p>
              </w:tc>
              <w:tc>
                <w:tcPr>
                  <w:tcW w:w="3285" w:type="dxa"/>
                  <w:vAlign w:val="center"/>
                </w:tcPr>
                <w:p w14:paraId="2AE4E084">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color w:val="auto"/>
                    </w:rPr>
                    <w:t>生活垃圾经袋装或桶装分类收集</w:t>
                  </w:r>
                  <w:r>
                    <w:rPr>
                      <w:rFonts w:hint="eastAsia"/>
                      <w:color w:val="auto"/>
                      <w:lang w:val="en-US" w:eastAsia="zh-CN"/>
                    </w:rPr>
                    <w:t>后</w:t>
                  </w:r>
                  <w:r>
                    <w:rPr>
                      <w:rFonts w:hint="default"/>
                      <w:color w:val="auto"/>
                    </w:rPr>
                    <w:t>委托环卫部门统一处理</w:t>
                  </w:r>
                </w:p>
              </w:tc>
              <w:tc>
                <w:tcPr>
                  <w:tcW w:w="958" w:type="dxa"/>
                  <w:vAlign w:val="center"/>
                </w:tcPr>
                <w:p w14:paraId="52AEDC06">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新建</w:t>
                  </w:r>
                </w:p>
              </w:tc>
            </w:tr>
            <w:tr w14:paraId="3329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vAlign w:val="center"/>
                </w:tcPr>
                <w:p w14:paraId="36340CE1">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Merge w:val="continue"/>
                  <w:vAlign w:val="center"/>
                </w:tcPr>
                <w:p w14:paraId="308E0185">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875" w:type="dxa"/>
                  <w:vAlign w:val="center"/>
                </w:tcPr>
                <w:p w14:paraId="2FC0D4DB">
                  <w:pPr>
                    <w:keepNext w:val="0"/>
                    <w:keepLines w:val="0"/>
                    <w:suppressLineNumbers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废包装材料收集后外售综合利用</w:t>
                  </w:r>
                </w:p>
              </w:tc>
              <w:tc>
                <w:tcPr>
                  <w:tcW w:w="3285" w:type="dxa"/>
                  <w:vAlign w:val="center"/>
                </w:tcPr>
                <w:p w14:paraId="7DA030C2">
                  <w:pPr>
                    <w:keepNext w:val="0"/>
                    <w:keepLines w:val="0"/>
                    <w:suppressLineNumbers w:val="0"/>
                    <w:snapToGrid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在厂房2F设置一</w:t>
                  </w:r>
                  <w:r>
                    <w:rPr>
                      <w:rFonts w:hint="default" w:ascii="Times New Roman" w:hAnsi="Times New Roman" w:eastAsia="宋体" w:cs="Times New Roman"/>
                      <w:color w:val="auto"/>
                      <w:szCs w:val="21"/>
                      <w:highlight w:val="none"/>
                    </w:rPr>
                    <w:t>个面积约为</w:t>
                  </w:r>
                  <w:r>
                    <w:rPr>
                      <w:rFonts w:hint="eastAsia"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r>
                    <w:rPr>
                      <w:rFonts w:hint="default" w:ascii="Times New Roman" w:hAnsi="Times New Roman" w:eastAsia="宋体" w:cs="Times New Roman"/>
                      <w:color w:val="auto"/>
                      <w:szCs w:val="21"/>
                      <w:highlight w:val="none"/>
                      <w:lang w:val="zh-CN"/>
                    </w:rPr>
                    <w:t>的</w:t>
                  </w:r>
                  <w:r>
                    <w:rPr>
                      <w:rFonts w:hint="default" w:ascii="Times New Roman" w:hAnsi="Times New Roman" w:eastAsia="宋体" w:cs="Times New Roman"/>
                      <w:color w:val="auto"/>
                      <w:szCs w:val="21"/>
                      <w:highlight w:val="none"/>
                    </w:rPr>
                    <w:t>一般固废暂存间</w:t>
                  </w:r>
                  <w:r>
                    <w:rPr>
                      <w:rFonts w:hint="eastAsia" w:eastAsia="宋体" w:cs="Times New Roman"/>
                      <w:color w:val="auto"/>
                      <w:szCs w:val="21"/>
                      <w:highlight w:val="none"/>
                      <w:lang w:eastAsia="zh-CN"/>
                    </w:rPr>
                    <w:t>，</w:t>
                  </w:r>
                  <w:r>
                    <w:rPr>
                      <w:rFonts w:hint="default" w:eastAsia="宋体"/>
                      <w:bCs/>
                      <w:color w:val="auto"/>
                      <w:szCs w:val="21"/>
                      <w:lang w:val="en-US" w:eastAsia="zh-CN"/>
                    </w:rPr>
                    <w:t>废包装材料、除尘器收集粉尘分类收集后外售综合利用；金检不合格品收集后由回收公司处置；</w:t>
                  </w:r>
                  <w:r>
                    <w:rPr>
                      <w:rFonts w:hint="eastAsia"/>
                      <w:bCs/>
                      <w:color w:val="auto"/>
                      <w:szCs w:val="21"/>
                      <w:lang w:val="en-US" w:eastAsia="zh-CN"/>
                    </w:rPr>
                    <w:t>粉状类</w:t>
                  </w:r>
                  <w:r>
                    <w:rPr>
                      <w:rFonts w:hint="default" w:eastAsia="宋体"/>
                      <w:bCs/>
                      <w:color w:val="auto"/>
                      <w:szCs w:val="21"/>
                      <w:lang w:val="en-US" w:eastAsia="zh-CN"/>
                    </w:rPr>
                    <w:t>包装不合格品回用于生产工序</w:t>
                  </w:r>
                  <w:r>
                    <w:rPr>
                      <w:rFonts w:hint="eastAsia"/>
                      <w:bCs/>
                      <w:color w:val="auto"/>
                      <w:szCs w:val="21"/>
                      <w:lang w:val="en-US" w:eastAsia="zh-CN"/>
                    </w:rPr>
                    <w:t>，饮品及果冻类产品集中收集后交由回收公司处理</w:t>
                  </w:r>
                  <w:r>
                    <w:rPr>
                      <w:rFonts w:hint="default" w:eastAsia="宋体"/>
                      <w:bCs/>
                      <w:color w:val="auto"/>
                      <w:szCs w:val="21"/>
                      <w:lang w:val="en-US" w:eastAsia="zh-CN"/>
                    </w:rPr>
                    <w:t>；废滤芯由厂家回收利用；污水站污泥委托处理</w:t>
                  </w:r>
                  <w:r>
                    <w:rPr>
                      <w:rFonts w:hint="eastAsia"/>
                      <w:bCs/>
                      <w:color w:val="auto"/>
                      <w:szCs w:val="21"/>
                      <w:lang w:val="en-US" w:eastAsia="zh-CN"/>
                    </w:rPr>
                    <w:t>；实验室废液厂区暂存后委托有资质单位处置</w:t>
                  </w:r>
                </w:p>
              </w:tc>
              <w:tc>
                <w:tcPr>
                  <w:tcW w:w="958" w:type="dxa"/>
                  <w:vAlign w:val="center"/>
                </w:tcPr>
                <w:p w14:paraId="1E5663C9">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新建</w:t>
                  </w:r>
                </w:p>
              </w:tc>
            </w:tr>
            <w:tr w14:paraId="4148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6" w:type="dxa"/>
                  <w:vMerge w:val="continue"/>
                  <w:vAlign w:val="center"/>
                </w:tcPr>
                <w:p w14:paraId="60D59D06">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Align w:val="center"/>
                </w:tcPr>
                <w:p w14:paraId="5332B229">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default"/>
                      <w:bCs/>
                      <w:color w:val="auto"/>
                      <w:szCs w:val="21"/>
                    </w:rPr>
                    <w:t>噪声治理</w:t>
                  </w:r>
                </w:p>
              </w:tc>
              <w:tc>
                <w:tcPr>
                  <w:tcW w:w="1875" w:type="dxa"/>
                  <w:vAlign w:val="center"/>
                </w:tcPr>
                <w:p w14:paraId="6E54B4A0">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color w:val="auto"/>
                    </w:rPr>
                    <w:t>机械噪声通过合理布局、隔声、降噪、减振处理</w:t>
                  </w:r>
                </w:p>
              </w:tc>
              <w:tc>
                <w:tcPr>
                  <w:tcW w:w="3285" w:type="dxa"/>
                  <w:vAlign w:val="center"/>
                </w:tcPr>
                <w:p w14:paraId="04FAC7F6">
                  <w:pPr>
                    <w:keepNext w:val="0"/>
                    <w:keepLines w:val="0"/>
                    <w:suppressLineNumbers w:val="0"/>
                    <w:bidi w:val="0"/>
                    <w:spacing w:before="0" w:beforeAutospacing="0" w:after="0" w:afterAutospacing="0"/>
                    <w:ind w:left="0" w:right="0"/>
                    <w:jc w:val="center"/>
                    <w:rPr>
                      <w:rFonts w:hint="eastAsia"/>
                      <w:color w:val="auto"/>
                    </w:rPr>
                  </w:pPr>
                  <w:r>
                    <w:rPr>
                      <w:rFonts w:hint="default"/>
                      <w:color w:val="auto"/>
                    </w:rPr>
                    <w:t>机械噪声通过合理布局、隔声、降噪、减振处理</w:t>
                  </w:r>
                </w:p>
              </w:tc>
              <w:tc>
                <w:tcPr>
                  <w:tcW w:w="958" w:type="dxa"/>
                  <w:vAlign w:val="center"/>
                </w:tcPr>
                <w:p w14:paraId="733ADFD7">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新建</w:t>
                  </w:r>
                </w:p>
              </w:tc>
            </w:tr>
            <w:tr w14:paraId="396D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vAlign w:val="center"/>
                </w:tcPr>
                <w:p w14:paraId="28EE6B3A">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Align w:val="center"/>
                </w:tcPr>
                <w:p w14:paraId="154E26CF">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default"/>
                      <w:color w:val="auto"/>
                      <w:szCs w:val="21"/>
                    </w:rPr>
                    <w:t>地下水污染防治</w:t>
                  </w:r>
                </w:p>
              </w:tc>
              <w:tc>
                <w:tcPr>
                  <w:tcW w:w="1875" w:type="dxa"/>
                  <w:vAlign w:val="center"/>
                </w:tcPr>
                <w:p w14:paraId="78853B19">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eastAsia"/>
                      <w:bCs/>
                      <w:color w:val="auto"/>
                      <w:szCs w:val="21"/>
                      <w:lang w:val="en-US" w:eastAsia="zh-CN"/>
                    </w:rPr>
                    <w:t>/</w:t>
                  </w:r>
                </w:p>
              </w:tc>
              <w:tc>
                <w:tcPr>
                  <w:tcW w:w="3285" w:type="dxa"/>
                  <w:vAlign w:val="center"/>
                </w:tcPr>
                <w:p w14:paraId="2A37AC62">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lang w:val="en-US" w:eastAsia="zh-CN"/>
                    </w:rPr>
                    <w:t>污水处理设施</w:t>
                  </w:r>
                  <w:r>
                    <w:rPr>
                      <w:rFonts w:hint="eastAsia"/>
                      <w:bCs/>
                      <w:color w:val="auto"/>
                      <w:szCs w:val="21"/>
                    </w:rPr>
                    <w:t>等进行重点防渗；</w:t>
                  </w:r>
                  <w:r>
                    <w:rPr>
                      <w:rFonts w:hint="eastAsia"/>
                      <w:bCs/>
                      <w:color w:val="auto"/>
                      <w:szCs w:val="21"/>
                      <w:lang w:val="en-US" w:eastAsia="zh-CN"/>
                    </w:rPr>
                    <w:t>其他生产区域</w:t>
                  </w:r>
                  <w:r>
                    <w:rPr>
                      <w:rFonts w:hint="eastAsia"/>
                      <w:bCs/>
                      <w:color w:val="auto"/>
                      <w:szCs w:val="21"/>
                    </w:rPr>
                    <w:t>进行一般防渗</w:t>
                  </w:r>
                  <w:r>
                    <w:rPr>
                      <w:rFonts w:hint="eastAsia"/>
                      <w:bCs/>
                      <w:color w:val="auto"/>
                      <w:szCs w:val="21"/>
                      <w:lang w:eastAsia="zh-CN"/>
                    </w:rPr>
                    <w:t>，</w:t>
                  </w:r>
                  <w:r>
                    <w:rPr>
                      <w:rFonts w:hint="eastAsia"/>
                      <w:bCs/>
                      <w:color w:val="auto"/>
                      <w:szCs w:val="21"/>
                      <w:lang w:val="en-US" w:eastAsia="zh-CN"/>
                    </w:rPr>
                    <w:t>办公区域和厂区道路进行简单防渗</w:t>
                  </w:r>
                </w:p>
              </w:tc>
              <w:tc>
                <w:tcPr>
                  <w:tcW w:w="958" w:type="dxa"/>
                  <w:vAlign w:val="center"/>
                </w:tcPr>
                <w:p w14:paraId="1FEF919E">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新建</w:t>
                  </w:r>
                </w:p>
              </w:tc>
            </w:tr>
            <w:tr w14:paraId="74A1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896" w:type="dxa"/>
                  <w:vMerge w:val="continue"/>
                  <w:vAlign w:val="center"/>
                </w:tcPr>
                <w:p w14:paraId="23927963">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Align w:val="center"/>
                </w:tcPr>
                <w:p w14:paraId="2B79D815">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风险防范</w:t>
                  </w:r>
                </w:p>
              </w:tc>
              <w:tc>
                <w:tcPr>
                  <w:tcW w:w="1875" w:type="dxa"/>
                  <w:vAlign w:val="center"/>
                </w:tcPr>
                <w:p w14:paraId="739E4E8D">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lang w:val="en-US" w:eastAsia="zh-CN"/>
                    </w:rPr>
                    <w:t>/</w:t>
                  </w:r>
                </w:p>
              </w:tc>
              <w:tc>
                <w:tcPr>
                  <w:tcW w:w="3285" w:type="dxa"/>
                  <w:vAlign w:val="center"/>
                </w:tcPr>
                <w:p w14:paraId="10C335D5">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分区防渗，设置消防系统，加强环保设施巡查及危废管理</w:t>
                  </w:r>
                </w:p>
              </w:tc>
              <w:tc>
                <w:tcPr>
                  <w:tcW w:w="958" w:type="dxa"/>
                  <w:vAlign w:val="center"/>
                </w:tcPr>
                <w:p w14:paraId="7349EEAE">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新建</w:t>
                  </w:r>
                </w:p>
              </w:tc>
            </w:tr>
          </w:tbl>
          <w:p w14:paraId="2E512F9D">
            <w:pPr>
              <w:keepNext w:val="0"/>
              <w:keepLines w:val="0"/>
              <w:suppressLineNumbers w:val="0"/>
              <w:adjustRightInd w:val="0"/>
              <w:snapToGrid w:val="0"/>
              <w:spacing w:before="0" w:beforeAutospacing="0" w:after="0" w:afterAutospacing="0" w:line="360" w:lineRule="auto"/>
              <w:ind w:left="0" w:right="0"/>
              <w:jc w:val="left"/>
              <w:rPr>
                <w:rFonts w:hint="eastAsia"/>
                <w:b/>
                <w:bCs/>
                <w:color w:val="auto"/>
                <w:sz w:val="24"/>
              </w:rPr>
            </w:pPr>
            <w:r>
              <w:rPr>
                <w:rFonts w:hint="eastAsia"/>
                <w:b/>
                <w:bCs/>
                <w:color w:val="auto"/>
                <w:sz w:val="24"/>
              </w:rPr>
              <w:t>依托可行性分析：</w:t>
            </w:r>
          </w:p>
          <w:p w14:paraId="03F8E0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auto"/>
                <w:kern w:val="0"/>
                <w:sz w:val="24"/>
              </w:rPr>
            </w:pPr>
            <w:r>
              <w:rPr>
                <w:rFonts w:hint="default"/>
                <w:color w:val="auto"/>
                <w:kern w:val="0"/>
                <w:sz w:val="24"/>
              </w:rPr>
              <w:t>本项目</w:t>
            </w:r>
            <w:r>
              <w:rPr>
                <w:rFonts w:hint="eastAsia"/>
                <w:color w:val="auto"/>
                <w:kern w:val="0"/>
                <w:sz w:val="24"/>
              </w:rPr>
              <w:t>生产车间、</w:t>
            </w:r>
            <w:r>
              <w:rPr>
                <w:rFonts w:hint="default"/>
                <w:color w:val="auto"/>
                <w:kern w:val="0"/>
                <w:sz w:val="24"/>
              </w:rPr>
              <w:t>供水系统、供电系统</w:t>
            </w:r>
            <w:r>
              <w:rPr>
                <w:rFonts w:hint="eastAsia"/>
                <w:color w:val="auto"/>
                <w:kern w:val="0"/>
                <w:sz w:val="24"/>
              </w:rPr>
              <w:t>等</w:t>
            </w:r>
            <w:r>
              <w:rPr>
                <w:rFonts w:hint="default"/>
                <w:color w:val="auto"/>
                <w:kern w:val="0"/>
                <w:sz w:val="24"/>
              </w:rPr>
              <w:t>均</w:t>
            </w:r>
            <w:r>
              <w:rPr>
                <w:rFonts w:hint="eastAsia"/>
                <w:color w:val="auto"/>
                <w:kern w:val="0"/>
                <w:sz w:val="24"/>
              </w:rPr>
              <w:t>依托租赁厂区</w:t>
            </w:r>
            <w:r>
              <w:rPr>
                <w:rFonts w:hint="default"/>
                <w:color w:val="auto"/>
                <w:kern w:val="0"/>
                <w:sz w:val="24"/>
              </w:rPr>
              <w:t>，本项目依托</w:t>
            </w:r>
            <w:r>
              <w:rPr>
                <w:rFonts w:hint="eastAsia"/>
                <w:color w:val="auto"/>
                <w:kern w:val="0"/>
                <w:sz w:val="24"/>
              </w:rPr>
              <w:t>租赁厂区</w:t>
            </w:r>
            <w:r>
              <w:rPr>
                <w:rFonts w:hint="default"/>
                <w:color w:val="auto"/>
                <w:kern w:val="0"/>
                <w:sz w:val="24"/>
              </w:rPr>
              <w:t>的可行性如下：</w:t>
            </w:r>
          </w:p>
          <w:p w14:paraId="50901DFB">
            <w:pPr>
              <w:keepNext w:val="0"/>
              <w:keepLines w:val="0"/>
              <w:numPr>
                <w:ilvl w:val="0"/>
                <w:numId w:val="9"/>
              </w:numPr>
              <w:suppressLineNumbers w:val="0"/>
              <w:autoSpaceDE w:val="0"/>
              <w:autoSpaceDN w:val="0"/>
              <w:adjustRightInd w:val="0"/>
              <w:spacing w:before="0" w:beforeAutospacing="0" w:after="0" w:afterAutospacing="0" w:line="360" w:lineRule="auto"/>
              <w:ind w:left="0" w:right="0" w:firstLine="480" w:firstLineChars="200"/>
              <w:jc w:val="left"/>
              <w:textAlignment w:val="baseline"/>
              <w:rPr>
                <w:rFonts w:hint="default"/>
                <w:color w:val="auto"/>
                <w:kern w:val="0"/>
                <w:sz w:val="24"/>
              </w:rPr>
            </w:pPr>
            <w:r>
              <w:rPr>
                <w:rFonts w:hint="eastAsia"/>
                <w:color w:val="auto"/>
                <w:kern w:val="0"/>
                <w:sz w:val="24"/>
              </w:rPr>
              <w:t>生产车间</w:t>
            </w:r>
          </w:p>
          <w:p w14:paraId="3F36F778">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sz w:val="24"/>
              </w:rPr>
            </w:pPr>
            <w:r>
              <w:rPr>
                <w:rFonts w:hint="eastAsia"/>
                <w:color w:val="auto"/>
                <w:sz w:val="24"/>
              </w:rPr>
              <w:t>本项目租用</w:t>
            </w:r>
            <w:r>
              <w:rPr>
                <w:rFonts w:hint="eastAsia" w:eastAsia="宋体"/>
                <w:color w:val="auto"/>
                <w:sz w:val="24"/>
                <w:szCs w:val="32"/>
                <w:lang w:val="en-US" w:eastAsia="zh-CN"/>
              </w:rPr>
              <w:t>安徽数字星空工业技术有限公司厂房</w:t>
            </w:r>
            <w:r>
              <w:rPr>
                <w:rFonts w:hint="eastAsia"/>
                <w:color w:val="auto"/>
                <w:sz w:val="24"/>
              </w:rPr>
              <w:t>，</w:t>
            </w:r>
            <w:r>
              <w:rPr>
                <w:rFonts w:hint="default"/>
                <w:color w:val="auto"/>
                <w:sz w:val="24"/>
              </w:rPr>
              <w:t>厂房</w:t>
            </w:r>
            <w:r>
              <w:rPr>
                <w:rFonts w:hint="eastAsia"/>
                <w:color w:val="auto"/>
                <w:sz w:val="24"/>
              </w:rPr>
              <w:t>目前</w:t>
            </w:r>
            <w:r>
              <w:rPr>
                <w:rFonts w:hint="default"/>
                <w:color w:val="auto"/>
                <w:sz w:val="24"/>
              </w:rPr>
              <w:t>已建</w:t>
            </w:r>
            <w:r>
              <w:rPr>
                <w:rFonts w:hint="eastAsia"/>
                <w:color w:val="auto"/>
                <w:sz w:val="24"/>
              </w:rPr>
              <w:t>成</w:t>
            </w:r>
            <w:r>
              <w:rPr>
                <w:rFonts w:hint="default"/>
                <w:color w:val="auto"/>
                <w:sz w:val="24"/>
              </w:rPr>
              <w:t>，</w:t>
            </w:r>
            <w:r>
              <w:rPr>
                <w:rFonts w:hint="eastAsia"/>
                <w:color w:val="auto"/>
                <w:sz w:val="24"/>
              </w:rPr>
              <w:t>地面已进行硬化处理</w:t>
            </w:r>
            <w:r>
              <w:rPr>
                <w:rFonts w:hint="eastAsia"/>
                <w:color w:val="auto"/>
                <w:sz w:val="24"/>
                <w:lang w:eastAsia="zh-CN"/>
              </w:rPr>
              <w:t>。</w:t>
            </w:r>
            <w:r>
              <w:rPr>
                <w:rFonts w:hint="eastAsia"/>
                <w:color w:val="auto"/>
                <w:sz w:val="24"/>
              </w:rPr>
              <w:t>因此，本项目依托</w:t>
            </w:r>
            <w:r>
              <w:rPr>
                <w:rFonts w:hint="eastAsia" w:eastAsia="宋体"/>
                <w:color w:val="auto"/>
                <w:sz w:val="24"/>
                <w:szCs w:val="32"/>
                <w:lang w:val="en-US" w:eastAsia="zh-CN"/>
              </w:rPr>
              <w:t>安徽数字星空工业技术有限公司</w:t>
            </w:r>
            <w:r>
              <w:rPr>
                <w:rFonts w:hint="eastAsia"/>
                <w:color w:val="auto"/>
                <w:sz w:val="24"/>
              </w:rPr>
              <w:t>厂房可行。</w:t>
            </w:r>
          </w:p>
          <w:p w14:paraId="4A1DA41D">
            <w:pPr>
              <w:keepNext w:val="0"/>
              <w:keepLines w:val="0"/>
              <w:numPr>
                <w:ilvl w:val="0"/>
                <w:numId w:val="9"/>
              </w:numPr>
              <w:suppressLineNumbers w:val="0"/>
              <w:autoSpaceDE w:val="0"/>
              <w:autoSpaceDN w:val="0"/>
              <w:adjustRightInd w:val="0"/>
              <w:spacing w:before="0" w:beforeAutospacing="0" w:after="0" w:afterAutospacing="0" w:line="360" w:lineRule="auto"/>
              <w:ind w:left="0" w:right="0" w:firstLine="480" w:firstLineChars="200"/>
              <w:jc w:val="left"/>
              <w:textAlignment w:val="baseline"/>
              <w:rPr>
                <w:rFonts w:hint="default"/>
                <w:color w:val="auto"/>
                <w:kern w:val="0"/>
                <w:sz w:val="24"/>
              </w:rPr>
            </w:pPr>
            <w:r>
              <w:rPr>
                <w:rFonts w:hint="default"/>
                <w:color w:val="auto"/>
                <w:kern w:val="0"/>
                <w:sz w:val="24"/>
              </w:rPr>
              <w:t>供水系统、供电系统</w:t>
            </w:r>
          </w:p>
          <w:p w14:paraId="586662C7">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textAlignment w:val="baseline"/>
              <w:rPr>
                <w:rFonts w:hint="default"/>
                <w:color w:val="auto"/>
                <w:kern w:val="0"/>
                <w:sz w:val="24"/>
              </w:rPr>
            </w:pPr>
            <w:r>
              <w:rPr>
                <w:rFonts w:hint="eastAsia" w:eastAsia="宋体"/>
                <w:color w:val="auto"/>
                <w:sz w:val="24"/>
                <w:szCs w:val="32"/>
                <w:lang w:val="en-US" w:eastAsia="zh-CN"/>
              </w:rPr>
              <w:t>安徽数字星空工业技术有限公司</w:t>
            </w:r>
            <w:r>
              <w:rPr>
                <w:rFonts w:hint="eastAsia"/>
                <w:color w:val="auto"/>
                <w:kern w:val="0"/>
                <w:sz w:val="24"/>
              </w:rPr>
              <w:t>厂区</w:t>
            </w:r>
            <w:r>
              <w:rPr>
                <w:rFonts w:hint="default"/>
                <w:color w:val="auto"/>
                <w:kern w:val="0"/>
                <w:sz w:val="24"/>
              </w:rPr>
              <w:t>供水管网、配电设施均已建成，</w:t>
            </w:r>
            <w:r>
              <w:rPr>
                <w:rFonts w:hint="eastAsia"/>
                <w:color w:val="auto"/>
                <w:kern w:val="0"/>
                <w:sz w:val="24"/>
              </w:rPr>
              <w:t>配套完善，</w:t>
            </w:r>
            <w:r>
              <w:rPr>
                <w:rFonts w:hint="default"/>
                <w:color w:val="auto"/>
                <w:kern w:val="0"/>
                <w:sz w:val="24"/>
              </w:rPr>
              <w:t>用水、用电等</w:t>
            </w:r>
            <w:r>
              <w:rPr>
                <w:rFonts w:hint="eastAsia"/>
                <w:color w:val="auto"/>
                <w:kern w:val="0"/>
                <w:sz w:val="24"/>
              </w:rPr>
              <w:t>均</w:t>
            </w:r>
            <w:r>
              <w:rPr>
                <w:rFonts w:hint="default"/>
                <w:color w:val="auto"/>
                <w:kern w:val="0"/>
                <w:sz w:val="24"/>
              </w:rPr>
              <w:t>可以依托</w:t>
            </w:r>
            <w:r>
              <w:rPr>
                <w:rFonts w:hint="eastAsia"/>
                <w:color w:val="auto"/>
                <w:kern w:val="0"/>
                <w:sz w:val="24"/>
              </w:rPr>
              <w:t>租赁厂区</w:t>
            </w:r>
            <w:r>
              <w:rPr>
                <w:rFonts w:hint="default"/>
                <w:color w:val="auto"/>
                <w:kern w:val="0"/>
                <w:sz w:val="24"/>
              </w:rPr>
              <w:t>。</w:t>
            </w:r>
          </w:p>
          <w:p w14:paraId="0242AABC">
            <w:pPr>
              <w:keepNext w:val="0"/>
              <w:keepLines w:val="0"/>
              <w:numPr>
                <w:ilvl w:val="0"/>
                <w:numId w:val="9"/>
              </w:numPr>
              <w:suppressLineNumbers w:val="0"/>
              <w:autoSpaceDE w:val="0"/>
              <w:autoSpaceDN w:val="0"/>
              <w:adjustRightInd w:val="0"/>
              <w:spacing w:before="0" w:beforeAutospacing="0" w:after="0" w:afterAutospacing="0" w:line="360" w:lineRule="auto"/>
              <w:ind w:left="0" w:right="0" w:firstLine="480" w:firstLineChars="200"/>
              <w:jc w:val="left"/>
              <w:textAlignment w:val="baseline"/>
              <w:rPr>
                <w:rFonts w:hint="default"/>
                <w:color w:val="auto"/>
                <w:kern w:val="0"/>
                <w:sz w:val="24"/>
              </w:rPr>
            </w:pPr>
            <w:r>
              <w:rPr>
                <w:rFonts w:hint="eastAsia"/>
                <w:color w:val="auto"/>
                <w:kern w:val="0"/>
                <w:sz w:val="24"/>
              </w:rPr>
              <w:t>排水系统</w:t>
            </w:r>
          </w:p>
          <w:p w14:paraId="4A2DFB79">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textAlignment w:val="baseline"/>
              <w:rPr>
                <w:rFonts w:hint="eastAsia" w:ascii="Times New Roman" w:hAnsi="Times New Roman" w:eastAsia="宋体" w:cs="宋体"/>
                <w:b w:val="0"/>
                <w:bCs w:val="0"/>
                <w:color w:val="auto"/>
                <w:sz w:val="24"/>
                <w:highlight w:val="none"/>
                <w:lang w:val="en-US" w:eastAsia="zh-CN" w:bidi="ar-SA"/>
              </w:rPr>
            </w:pPr>
            <w:r>
              <w:rPr>
                <w:rFonts w:hint="eastAsia" w:eastAsia="宋体"/>
                <w:color w:val="auto"/>
                <w:kern w:val="0"/>
                <w:sz w:val="24"/>
                <w:highlight w:val="none"/>
                <w:lang w:eastAsia="zh-CN"/>
              </w:rPr>
              <w:t>项目</w:t>
            </w:r>
            <w:r>
              <w:rPr>
                <w:rFonts w:hint="eastAsia" w:eastAsia="宋体"/>
                <w:color w:val="auto"/>
                <w:kern w:val="0"/>
                <w:sz w:val="24"/>
                <w:highlight w:val="none"/>
                <w:lang w:val="en-US" w:eastAsia="zh-CN"/>
              </w:rPr>
              <w:t>生产废水经污水处理设施处理后</w:t>
            </w:r>
            <w:r>
              <w:rPr>
                <w:rFonts w:hint="eastAsia"/>
                <w:color w:val="auto"/>
                <w:kern w:val="0"/>
                <w:sz w:val="24"/>
                <w:highlight w:val="none"/>
              </w:rPr>
              <w:t>，</w:t>
            </w:r>
            <w:r>
              <w:rPr>
                <w:rFonts w:hint="eastAsia" w:ascii="Times New Roman" w:hAnsi="Times New Roman" w:eastAsia="宋体" w:cs="宋体"/>
                <w:b w:val="0"/>
                <w:bCs w:val="0"/>
                <w:color w:val="auto"/>
                <w:sz w:val="24"/>
                <w:highlight w:val="none"/>
                <w:lang w:val="en-US" w:eastAsia="zh-CN" w:bidi="ar-SA"/>
              </w:rPr>
              <w:t>由污水管网排入宿州市汴北污水处理厂，目前厂区污水管网已接通，具备排入污水厂条件。</w:t>
            </w:r>
          </w:p>
          <w:p w14:paraId="26557056">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textAlignment w:val="baseline"/>
              <w:rPr>
                <w:rFonts w:hint="default"/>
                <w:b/>
                <w:iCs/>
                <w:color w:val="auto"/>
                <w:sz w:val="24"/>
              </w:rPr>
            </w:pPr>
            <w:r>
              <w:rPr>
                <w:rFonts w:hint="eastAsia" w:eastAsia="宋体"/>
                <w:color w:val="auto"/>
                <w:kern w:val="0"/>
                <w:sz w:val="24"/>
                <w:lang w:eastAsia="zh-CN"/>
              </w:rPr>
              <w:t>本项目</w:t>
            </w:r>
            <w:r>
              <w:rPr>
                <w:rFonts w:hint="eastAsia"/>
                <w:color w:val="auto"/>
                <w:kern w:val="0"/>
                <w:sz w:val="24"/>
              </w:rPr>
              <w:t>生活污水</w:t>
            </w:r>
            <w:r>
              <w:rPr>
                <w:rFonts w:hint="eastAsia"/>
                <w:color w:val="auto"/>
                <w:kern w:val="0"/>
                <w:sz w:val="24"/>
                <w:lang w:val="en-US" w:eastAsia="zh-CN"/>
              </w:rPr>
              <w:t>依托租赁厂区的隔油池+</w:t>
            </w:r>
            <w:r>
              <w:rPr>
                <w:rFonts w:hint="eastAsia"/>
                <w:color w:val="auto"/>
                <w:kern w:val="0"/>
                <w:sz w:val="24"/>
              </w:rPr>
              <w:t>化粪池处理后排入污水管网，</w:t>
            </w:r>
            <w:r>
              <w:rPr>
                <w:rFonts w:hint="eastAsia" w:ascii="Times New Roman" w:eastAsia="宋体"/>
                <w:color w:val="auto"/>
                <w:sz w:val="24"/>
                <w:szCs w:val="32"/>
                <w:lang w:val="en-US" w:eastAsia="zh-CN"/>
              </w:rPr>
              <w:t>所在</w:t>
            </w:r>
            <w:r>
              <w:rPr>
                <w:rFonts w:hint="eastAsia"/>
                <w:color w:val="auto"/>
                <w:kern w:val="0"/>
                <w:sz w:val="24"/>
              </w:rPr>
              <w:t>厂</w:t>
            </w:r>
            <w:r>
              <w:rPr>
                <w:rFonts w:hint="eastAsia"/>
                <w:color w:val="auto"/>
                <w:kern w:val="0"/>
                <w:sz w:val="24"/>
                <w:lang w:val="en-US" w:eastAsia="zh-CN"/>
              </w:rPr>
              <w:t>区</w:t>
            </w:r>
            <w:r>
              <w:rPr>
                <w:rFonts w:hint="eastAsia"/>
                <w:color w:val="auto"/>
                <w:kern w:val="0"/>
                <w:sz w:val="24"/>
              </w:rPr>
              <w:t>已接入污水管网，本项目建成后排水系统处理能力不会超过设计值，排水系统依托租赁厂区可行。</w:t>
            </w:r>
          </w:p>
          <w:p w14:paraId="48E43AAE">
            <w:pPr>
              <w:keepNext w:val="0"/>
              <w:keepLines w:val="0"/>
              <w:suppressLineNumbers w:val="0"/>
              <w:spacing w:before="0" w:beforeAutospacing="0" w:after="0" w:afterAutospacing="0" w:line="360" w:lineRule="auto"/>
              <w:ind w:left="0" w:right="0"/>
              <w:rPr>
                <w:rFonts w:hint="default"/>
                <w:color w:val="auto"/>
                <w:sz w:val="24"/>
              </w:rPr>
            </w:pPr>
            <w:r>
              <w:rPr>
                <w:rFonts w:hint="default"/>
                <w:b/>
                <w:iCs/>
                <w:color w:val="auto"/>
                <w:sz w:val="24"/>
              </w:rPr>
              <w:t>3、产品方案</w:t>
            </w:r>
          </w:p>
          <w:p w14:paraId="368E76B6">
            <w:pPr>
              <w:keepNext w:val="0"/>
              <w:keepLines w:val="0"/>
              <w:suppressLineNumbers w:val="0"/>
              <w:spacing w:before="0" w:beforeAutospacing="0" w:after="0" w:afterAutospacing="0" w:line="360" w:lineRule="auto"/>
              <w:ind w:left="0" w:right="27" w:rightChars="13" w:firstLine="480" w:firstLineChars="200"/>
              <w:rPr>
                <w:rFonts w:hint="eastAsia"/>
                <w:b/>
                <w:color w:val="auto"/>
                <w:sz w:val="24"/>
                <w:lang w:val="en-US" w:eastAsia="zh-CN"/>
              </w:rPr>
            </w:pPr>
            <w:bookmarkStart w:id="1" w:name="_Hlk106010732"/>
            <w:r>
              <w:rPr>
                <w:rFonts w:hint="eastAsia"/>
                <w:color w:val="auto"/>
                <w:sz w:val="24"/>
              </w:rPr>
              <w:t>本项目</w:t>
            </w:r>
            <w:r>
              <w:rPr>
                <w:rFonts w:hint="default"/>
                <w:color w:val="auto"/>
                <w:sz w:val="24"/>
              </w:rPr>
              <w:t>产品方案如下。</w:t>
            </w:r>
          </w:p>
          <w:bookmarkEnd w:id="1"/>
          <w:p w14:paraId="738D0647">
            <w:pPr>
              <w:keepNext w:val="0"/>
              <w:keepLines w:val="0"/>
              <w:numPr>
                <w:ilvl w:val="0"/>
                <w:numId w:val="8"/>
              </w:numPr>
              <w:suppressLineNumbers w:val="0"/>
              <w:spacing w:before="0" w:beforeAutospacing="0" w:after="0" w:afterAutospacing="0" w:line="360" w:lineRule="auto"/>
              <w:ind w:left="0" w:leftChars="0" w:right="0" w:firstLine="0" w:firstLineChars="0"/>
              <w:jc w:val="center"/>
              <w:rPr>
                <w:rFonts w:hint="default"/>
                <w:b/>
                <w:color w:val="auto"/>
                <w:sz w:val="24"/>
              </w:rPr>
            </w:pPr>
            <w:r>
              <w:rPr>
                <w:rFonts w:hint="eastAsia"/>
                <w:b/>
                <w:color w:val="auto"/>
                <w:sz w:val="24"/>
              </w:rPr>
              <w:t>本</w:t>
            </w:r>
            <w:r>
              <w:rPr>
                <w:rFonts w:hint="default"/>
                <w:b/>
                <w:color w:val="auto"/>
                <w:sz w:val="24"/>
              </w:rPr>
              <w:t>项目产品方案一览表</w:t>
            </w:r>
          </w:p>
          <w:tbl>
            <w:tblPr>
              <w:tblStyle w:val="35"/>
              <w:tblW w:w="49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170"/>
              <w:gridCol w:w="900"/>
              <w:gridCol w:w="900"/>
              <w:gridCol w:w="1320"/>
              <w:gridCol w:w="1080"/>
              <w:gridCol w:w="2745"/>
            </w:tblGrid>
            <w:tr w14:paraId="41FB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95" w:type="pct"/>
                  <w:vAlign w:val="center"/>
                </w:tcPr>
                <w:p w14:paraId="42D29294">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序号</w:t>
                  </w:r>
                </w:p>
              </w:tc>
              <w:tc>
                <w:tcPr>
                  <w:tcW w:w="678" w:type="pct"/>
                  <w:vAlign w:val="center"/>
                </w:tcPr>
                <w:p w14:paraId="5CBF41B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产品种类</w:t>
                  </w:r>
                </w:p>
              </w:tc>
              <w:tc>
                <w:tcPr>
                  <w:tcW w:w="521" w:type="pct"/>
                  <w:vAlign w:val="center"/>
                </w:tcPr>
                <w:p w14:paraId="72A2122F">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改建前年产量</w:t>
                  </w:r>
                </w:p>
              </w:tc>
              <w:tc>
                <w:tcPr>
                  <w:tcW w:w="521" w:type="pct"/>
                  <w:vAlign w:val="center"/>
                </w:tcPr>
                <w:p w14:paraId="79A4B0BA">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改建后年产量</w:t>
                  </w:r>
                </w:p>
              </w:tc>
              <w:tc>
                <w:tcPr>
                  <w:tcW w:w="765" w:type="pct"/>
                  <w:vAlign w:val="center"/>
                </w:tcPr>
                <w:p w14:paraId="054BAB4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产品规格</w:t>
                  </w:r>
                </w:p>
              </w:tc>
              <w:tc>
                <w:tcPr>
                  <w:tcW w:w="626" w:type="pct"/>
                  <w:vAlign w:val="center"/>
                </w:tcPr>
                <w:p w14:paraId="6C07AD31">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包装方式</w:t>
                  </w:r>
                </w:p>
              </w:tc>
              <w:tc>
                <w:tcPr>
                  <w:tcW w:w="1591" w:type="pct"/>
                  <w:vAlign w:val="center"/>
                </w:tcPr>
                <w:p w14:paraId="56CF5042">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执行标准</w:t>
                  </w:r>
                </w:p>
              </w:tc>
            </w:tr>
            <w:tr w14:paraId="31F8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Align w:val="center"/>
                </w:tcPr>
                <w:p w14:paraId="16CC959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678" w:type="pct"/>
                  <w:vAlign w:val="center"/>
                </w:tcPr>
                <w:p w14:paraId="30612C24">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固体饮料</w:t>
                  </w:r>
                </w:p>
              </w:tc>
              <w:tc>
                <w:tcPr>
                  <w:tcW w:w="521" w:type="pct"/>
                  <w:vAlign w:val="center"/>
                </w:tcPr>
                <w:p w14:paraId="3A586335">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21" w:type="pct"/>
                  <w:vAlign w:val="center"/>
                </w:tcPr>
                <w:p w14:paraId="6545BA40">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900吨</w:t>
                  </w:r>
                </w:p>
              </w:tc>
              <w:tc>
                <w:tcPr>
                  <w:tcW w:w="765" w:type="pct"/>
                  <w:vAlign w:val="center"/>
                </w:tcPr>
                <w:p w14:paraId="66805585">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2~15g/条</w:t>
                  </w:r>
                </w:p>
              </w:tc>
              <w:tc>
                <w:tcPr>
                  <w:tcW w:w="626" w:type="pct"/>
                  <w:vAlign w:val="center"/>
                </w:tcPr>
                <w:p w14:paraId="22EDDA5D">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盒装</w:t>
                  </w:r>
                </w:p>
              </w:tc>
              <w:tc>
                <w:tcPr>
                  <w:tcW w:w="1591" w:type="pct"/>
                  <w:vAlign w:val="center"/>
                </w:tcPr>
                <w:p w14:paraId="72DF631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《固体饮料》</w:t>
                  </w:r>
                </w:p>
                <w:p w14:paraId="3A8D11CF">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GB/T 29602-2013</w:t>
                  </w:r>
                </w:p>
              </w:tc>
            </w:tr>
            <w:tr w14:paraId="26C0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Align w:val="center"/>
                </w:tcPr>
                <w:p w14:paraId="250CF970">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678" w:type="pct"/>
                  <w:vAlign w:val="center"/>
                </w:tcPr>
                <w:p w14:paraId="190E43A5">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压片糖果</w:t>
                  </w:r>
                </w:p>
              </w:tc>
              <w:tc>
                <w:tcPr>
                  <w:tcW w:w="521" w:type="pct"/>
                  <w:vAlign w:val="center"/>
                </w:tcPr>
                <w:p w14:paraId="2C9C53C7">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21" w:type="pct"/>
                  <w:vAlign w:val="center"/>
                </w:tcPr>
                <w:p w14:paraId="61428C34">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800吨</w:t>
                  </w:r>
                </w:p>
              </w:tc>
              <w:tc>
                <w:tcPr>
                  <w:tcW w:w="765" w:type="pct"/>
                  <w:vAlign w:val="center"/>
                </w:tcPr>
                <w:p w14:paraId="298F89C8">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1~2g/粒</w:t>
                  </w:r>
                </w:p>
              </w:tc>
              <w:tc>
                <w:tcPr>
                  <w:tcW w:w="626" w:type="pct"/>
                  <w:vAlign w:val="center"/>
                </w:tcPr>
                <w:p w14:paraId="26F3164C">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盒装</w:t>
                  </w:r>
                </w:p>
              </w:tc>
              <w:tc>
                <w:tcPr>
                  <w:tcW w:w="1591" w:type="pct"/>
                  <w:vAlign w:val="center"/>
                </w:tcPr>
                <w:p w14:paraId="098D285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《糖果 压片糖果》</w:t>
                  </w:r>
                </w:p>
                <w:p w14:paraId="24DF15F8">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lang w:val="en-US" w:eastAsia="zh-CN"/>
                    </w:rPr>
                  </w:pPr>
                  <w:r>
                    <w:rPr>
                      <w:rFonts w:hint="eastAsia" w:ascii="Times New Roman" w:hAnsi="Times New Roman" w:eastAsia="宋体" w:cs="Times New Roman"/>
                      <w:color w:val="auto"/>
                      <w:sz w:val="21"/>
                      <w:szCs w:val="21"/>
                      <w:highlight w:val="none"/>
                      <w:lang w:val="en-US" w:eastAsia="zh-CN"/>
                    </w:rPr>
                    <w:t>SB/T 10347-2017</w:t>
                  </w:r>
                </w:p>
              </w:tc>
            </w:tr>
            <w:tr w14:paraId="1221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Align w:val="center"/>
                </w:tcPr>
                <w:p w14:paraId="68EBD2A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678" w:type="pct"/>
                  <w:vAlign w:val="center"/>
                </w:tcPr>
                <w:p w14:paraId="5832DE8F">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特膳饮品</w:t>
                  </w:r>
                </w:p>
              </w:tc>
              <w:tc>
                <w:tcPr>
                  <w:tcW w:w="521" w:type="pct"/>
                  <w:vAlign w:val="center"/>
                </w:tcPr>
                <w:p w14:paraId="371157FC">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21" w:type="pct"/>
                  <w:vAlign w:val="center"/>
                </w:tcPr>
                <w:p w14:paraId="56458DBD">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800吨</w:t>
                  </w:r>
                </w:p>
              </w:tc>
              <w:tc>
                <w:tcPr>
                  <w:tcW w:w="765" w:type="pct"/>
                  <w:vAlign w:val="center"/>
                </w:tcPr>
                <w:p w14:paraId="21E7CA81">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10~50g/袋</w:t>
                  </w:r>
                </w:p>
              </w:tc>
              <w:tc>
                <w:tcPr>
                  <w:tcW w:w="626" w:type="pct"/>
                  <w:vAlign w:val="center"/>
                </w:tcPr>
                <w:p w14:paraId="3AFD37F8">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盒装</w:t>
                  </w:r>
                </w:p>
              </w:tc>
              <w:tc>
                <w:tcPr>
                  <w:tcW w:w="1591" w:type="pct"/>
                  <w:vAlign w:val="center"/>
                </w:tcPr>
                <w:p w14:paraId="308169BB">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《食品安全国家标准》</w:t>
                  </w:r>
                </w:p>
                <w:p w14:paraId="5F845DB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GB 24154-2015</w:t>
                  </w:r>
                </w:p>
              </w:tc>
            </w:tr>
            <w:tr w14:paraId="2F0F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Align w:val="center"/>
                </w:tcPr>
                <w:p w14:paraId="689B0AA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678" w:type="pct"/>
                  <w:vAlign w:val="center"/>
                </w:tcPr>
                <w:p w14:paraId="1C534BC4">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果冻</w:t>
                  </w:r>
                </w:p>
              </w:tc>
              <w:tc>
                <w:tcPr>
                  <w:tcW w:w="521" w:type="pct"/>
                  <w:vAlign w:val="center"/>
                </w:tcPr>
                <w:p w14:paraId="6D9F0C57">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21" w:type="pct"/>
                  <w:vAlign w:val="center"/>
                </w:tcPr>
                <w:p w14:paraId="16C72AC2">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300吨</w:t>
                  </w:r>
                </w:p>
              </w:tc>
              <w:tc>
                <w:tcPr>
                  <w:tcW w:w="765" w:type="pct"/>
                  <w:vAlign w:val="center"/>
                </w:tcPr>
                <w:p w14:paraId="0B39AA0A">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15~30g/个</w:t>
                  </w:r>
                </w:p>
              </w:tc>
              <w:tc>
                <w:tcPr>
                  <w:tcW w:w="626" w:type="pct"/>
                  <w:vAlign w:val="center"/>
                </w:tcPr>
                <w:p w14:paraId="04B3230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袋装</w:t>
                  </w:r>
                </w:p>
              </w:tc>
              <w:tc>
                <w:tcPr>
                  <w:tcW w:w="1591" w:type="pct"/>
                  <w:vAlign w:val="center"/>
                </w:tcPr>
                <w:p w14:paraId="7E61A78F">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《食品安全国家标准 果冻》</w:t>
                  </w:r>
                </w:p>
                <w:p w14:paraId="6CA837B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GB 19299-2015 </w:t>
                  </w:r>
                </w:p>
              </w:tc>
            </w:tr>
            <w:tr w14:paraId="5DCE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Align w:val="center"/>
                </w:tcPr>
                <w:p w14:paraId="1568BEC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678" w:type="pct"/>
                  <w:vAlign w:val="center"/>
                </w:tcPr>
                <w:p w14:paraId="47BC317A">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方便食品</w:t>
                  </w:r>
                </w:p>
              </w:tc>
              <w:tc>
                <w:tcPr>
                  <w:tcW w:w="521" w:type="pct"/>
                  <w:vAlign w:val="center"/>
                </w:tcPr>
                <w:p w14:paraId="2C0A22A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21" w:type="pct"/>
                  <w:vAlign w:val="center"/>
                </w:tcPr>
                <w:p w14:paraId="020D9BE2">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500吨</w:t>
                  </w:r>
                </w:p>
              </w:tc>
              <w:tc>
                <w:tcPr>
                  <w:tcW w:w="765" w:type="pct"/>
                  <w:vAlign w:val="center"/>
                </w:tcPr>
                <w:p w14:paraId="67487937">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2~600g/袋</w:t>
                  </w:r>
                </w:p>
              </w:tc>
              <w:tc>
                <w:tcPr>
                  <w:tcW w:w="626" w:type="pct"/>
                  <w:vAlign w:val="center"/>
                </w:tcPr>
                <w:p w14:paraId="4D4C2F4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袋装</w:t>
                  </w:r>
                </w:p>
              </w:tc>
              <w:tc>
                <w:tcPr>
                  <w:tcW w:w="1591" w:type="pct"/>
                  <w:vMerge w:val="restart"/>
                  <w:vAlign w:val="center"/>
                </w:tcPr>
                <w:p w14:paraId="3D2A68F9">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企业标准</w:t>
                  </w:r>
                </w:p>
              </w:tc>
            </w:tr>
            <w:tr w14:paraId="6562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Align w:val="center"/>
                </w:tcPr>
                <w:p w14:paraId="0205DC30">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678" w:type="pct"/>
                  <w:vAlign w:val="center"/>
                </w:tcPr>
                <w:p w14:paraId="5E60D36A">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其他食品</w:t>
                  </w:r>
                </w:p>
              </w:tc>
              <w:tc>
                <w:tcPr>
                  <w:tcW w:w="521" w:type="pct"/>
                  <w:vAlign w:val="center"/>
                </w:tcPr>
                <w:p w14:paraId="09AAB30A">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21" w:type="pct"/>
                  <w:vAlign w:val="center"/>
                </w:tcPr>
                <w:p w14:paraId="7481AC98">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800吨</w:t>
                  </w:r>
                </w:p>
              </w:tc>
              <w:tc>
                <w:tcPr>
                  <w:tcW w:w="765" w:type="pct"/>
                  <w:vAlign w:val="center"/>
                </w:tcPr>
                <w:p w14:paraId="5CBE1DC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2~15g/条</w:t>
                  </w:r>
                </w:p>
              </w:tc>
              <w:tc>
                <w:tcPr>
                  <w:tcW w:w="626" w:type="pct"/>
                  <w:vAlign w:val="center"/>
                </w:tcPr>
                <w:p w14:paraId="538E1DEE">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盒装</w:t>
                  </w:r>
                </w:p>
              </w:tc>
              <w:tc>
                <w:tcPr>
                  <w:tcW w:w="1591" w:type="pct"/>
                  <w:vMerge w:val="continue"/>
                  <w:vAlign w:val="center"/>
                </w:tcPr>
                <w:p w14:paraId="614F9F4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p>
              </w:tc>
            </w:tr>
            <w:tr w14:paraId="769E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Align w:val="center"/>
                </w:tcPr>
                <w:p w14:paraId="66BDBCAE">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678" w:type="pct"/>
                  <w:vAlign w:val="center"/>
                </w:tcPr>
                <w:p w14:paraId="494B98E5">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坚果成品</w:t>
                  </w:r>
                  <w:r>
                    <w:rPr>
                      <w:rFonts w:hint="eastAsia" w:ascii="Times New Roman" w:hAnsi="Times New Roman" w:eastAsia="宋体" w:cs="Times New Roman"/>
                      <w:color w:val="auto"/>
                      <w:kern w:val="2"/>
                      <w:sz w:val="21"/>
                      <w:szCs w:val="21"/>
                      <w:highlight w:val="none"/>
                      <w:lang w:val="en-US" w:eastAsia="zh-CN" w:bidi="ar-SA"/>
                    </w:rPr>
                    <w:t>包装销售</w:t>
                  </w:r>
                </w:p>
              </w:tc>
              <w:tc>
                <w:tcPr>
                  <w:tcW w:w="521" w:type="pct"/>
                  <w:vAlign w:val="center"/>
                </w:tcPr>
                <w:p w14:paraId="5433C9CF">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500吨</w:t>
                  </w:r>
                </w:p>
              </w:tc>
              <w:tc>
                <w:tcPr>
                  <w:tcW w:w="521" w:type="pct"/>
                  <w:vAlign w:val="center"/>
                </w:tcPr>
                <w:p w14:paraId="1A2FEE37">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65" w:type="pct"/>
                  <w:vAlign w:val="center"/>
                </w:tcPr>
                <w:p w14:paraId="5D15F7CC">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626" w:type="pct"/>
                  <w:vAlign w:val="center"/>
                </w:tcPr>
                <w:p w14:paraId="6CA00458">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盒装</w:t>
                  </w:r>
                </w:p>
              </w:tc>
              <w:tc>
                <w:tcPr>
                  <w:tcW w:w="1591" w:type="pct"/>
                  <w:vAlign w:val="center"/>
                </w:tcPr>
                <w:p w14:paraId="48B5B4D4">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w:t>
                  </w:r>
                </w:p>
              </w:tc>
            </w:tr>
          </w:tbl>
          <w:p w14:paraId="2BA126BD">
            <w:pPr>
              <w:keepNext w:val="0"/>
              <w:keepLines w:val="0"/>
              <w:suppressLineNumbers w:val="0"/>
              <w:spacing w:before="0" w:beforeAutospacing="0" w:after="0" w:afterAutospacing="0" w:line="360" w:lineRule="auto"/>
              <w:ind w:left="0" w:right="0"/>
              <w:rPr>
                <w:rFonts w:hint="eastAsia"/>
                <w:b w:val="0"/>
                <w:bCs/>
                <w:iCs/>
                <w:color w:val="auto"/>
                <w:sz w:val="21"/>
                <w:szCs w:val="21"/>
                <w:lang w:val="en-US" w:eastAsia="zh-CN"/>
              </w:rPr>
            </w:pPr>
            <w:r>
              <w:rPr>
                <w:rFonts w:hint="eastAsia"/>
                <w:b w:val="0"/>
                <w:bCs/>
                <w:iCs/>
                <w:color w:val="auto"/>
                <w:sz w:val="21"/>
                <w:szCs w:val="21"/>
                <w:lang w:val="en-US" w:eastAsia="zh-CN"/>
              </w:rPr>
              <w:t>注：本项目中的方便食品和其他食品为营养粉类产品。</w:t>
            </w:r>
          </w:p>
          <w:p w14:paraId="77DD24A0">
            <w:pPr>
              <w:keepNext w:val="0"/>
              <w:keepLines w:val="0"/>
              <w:suppressLineNumbers w:val="0"/>
              <w:spacing w:before="0" w:beforeAutospacing="0" w:after="0" w:afterAutospacing="0" w:line="360" w:lineRule="auto"/>
              <w:ind w:left="0" w:right="0"/>
              <w:rPr>
                <w:rFonts w:hint="default"/>
                <w:b/>
                <w:iCs/>
                <w:color w:val="auto"/>
                <w:sz w:val="24"/>
              </w:rPr>
            </w:pPr>
            <w:r>
              <w:rPr>
                <w:rFonts w:hint="default"/>
                <w:b/>
                <w:iCs/>
                <w:color w:val="auto"/>
                <w:sz w:val="24"/>
              </w:rPr>
              <w:t>4、原辅材料及能源消耗</w:t>
            </w:r>
          </w:p>
          <w:p w14:paraId="6FF76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rPr>
            </w:pPr>
            <w:r>
              <w:rPr>
                <w:rFonts w:hint="eastAsia"/>
                <w:color w:val="auto"/>
                <w:sz w:val="24"/>
              </w:rPr>
              <w:t>（1）原辅料及能源消耗</w:t>
            </w:r>
          </w:p>
          <w:p w14:paraId="0FAE7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lang w:eastAsia="zh-CN"/>
              </w:rPr>
            </w:pPr>
            <w:r>
              <w:rPr>
                <w:rFonts w:hint="default"/>
                <w:color w:val="auto"/>
                <w:sz w:val="24"/>
              </w:rPr>
              <w:t>项目原辅材料及能源消耗情况见下表</w:t>
            </w:r>
            <w:r>
              <w:rPr>
                <w:rFonts w:hint="eastAsia"/>
                <w:color w:val="auto"/>
                <w:sz w:val="24"/>
                <w:lang w:eastAsia="zh-CN"/>
              </w:rPr>
              <w:t>：</w:t>
            </w:r>
          </w:p>
          <w:p w14:paraId="0E6E1D58">
            <w:pPr>
              <w:keepNext w:val="0"/>
              <w:keepLines w:val="0"/>
              <w:numPr>
                <w:ilvl w:val="0"/>
                <w:numId w:val="8"/>
              </w:numPr>
              <w:suppressLineNumbers w:val="0"/>
              <w:spacing w:before="0" w:beforeAutospacing="0" w:after="0" w:afterAutospacing="0" w:line="360" w:lineRule="auto"/>
              <w:ind w:left="0" w:leftChars="0" w:right="0" w:firstLine="0" w:firstLineChars="0"/>
              <w:jc w:val="center"/>
              <w:rPr>
                <w:rFonts w:hint="default"/>
                <w:b/>
                <w:color w:val="auto"/>
                <w:sz w:val="24"/>
              </w:rPr>
            </w:pPr>
            <w:r>
              <w:rPr>
                <w:rFonts w:hint="eastAsia"/>
                <w:b/>
                <w:color w:val="auto"/>
                <w:sz w:val="24"/>
              </w:rPr>
              <w:t>本项目</w:t>
            </w:r>
            <w:r>
              <w:rPr>
                <w:rFonts w:hint="default"/>
                <w:b/>
                <w:color w:val="auto"/>
                <w:sz w:val="24"/>
              </w:rPr>
              <w:t>主要原辅材料及能耗情况表</w:t>
            </w:r>
          </w:p>
          <w:tbl>
            <w:tblPr>
              <w:tblStyle w:val="36"/>
              <w:tblW w:w="867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306"/>
              <w:gridCol w:w="1335"/>
              <w:gridCol w:w="1290"/>
              <w:gridCol w:w="1125"/>
              <w:gridCol w:w="1305"/>
              <w:gridCol w:w="1350"/>
            </w:tblGrid>
            <w:tr w14:paraId="60A3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021E32EF">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原辅料名称</w:t>
                  </w:r>
                </w:p>
              </w:tc>
              <w:tc>
                <w:tcPr>
                  <w:tcW w:w="1306" w:type="dxa"/>
                  <w:vAlign w:val="center"/>
                </w:tcPr>
                <w:p w14:paraId="69F89F1E">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名称</w:t>
                  </w:r>
                </w:p>
              </w:tc>
              <w:tc>
                <w:tcPr>
                  <w:tcW w:w="1335" w:type="dxa"/>
                  <w:vAlign w:val="center"/>
                </w:tcPr>
                <w:p w14:paraId="611A4DAC">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改建前用量（t/a）</w:t>
                  </w:r>
                </w:p>
              </w:tc>
              <w:tc>
                <w:tcPr>
                  <w:tcW w:w="1290" w:type="dxa"/>
                  <w:vAlign w:val="center"/>
                </w:tcPr>
                <w:p w14:paraId="6E1691D3">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改建后用量（t/a）</w:t>
                  </w:r>
                </w:p>
              </w:tc>
              <w:tc>
                <w:tcPr>
                  <w:tcW w:w="1125" w:type="dxa"/>
                  <w:vAlign w:val="center"/>
                </w:tcPr>
                <w:p w14:paraId="0B978002">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规格</w:t>
                  </w:r>
                </w:p>
              </w:tc>
              <w:tc>
                <w:tcPr>
                  <w:tcW w:w="1305" w:type="dxa"/>
                  <w:vAlign w:val="center"/>
                </w:tcPr>
                <w:p w14:paraId="45D26B28">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最大储存量（t）</w:t>
                  </w:r>
                </w:p>
              </w:tc>
              <w:tc>
                <w:tcPr>
                  <w:tcW w:w="1350" w:type="dxa"/>
                  <w:vAlign w:val="center"/>
                </w:tcPr>
                <w:p w14:paraId="40A27368">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备注</w:t>
                  </w:r>
                </w:p>
              </w:tc>
            </w:tr>
            <w:tr w14:paraId="50ED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restart"/>
                  <w:vAlign w:val="center"/>
                </w:tcPr>
                <w:p w14:paraId="5EC95B05">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原料</w:t>
                  </w:r>
                </w:p>
              </w:tc>
              <w:tc>
                <w:tcPr>
                  <w:tcW w:w="1306" w:type="dxa"/>
                  <w:shd w:val="clear" w:color="auto" w:fill="auto"/>
                  <w:vAlign w:val="center"/>
                </w:tcPr>
                <w:p w14:paraId="0210CFF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乳酸菌粉</w:t>
                  </w:r>
                </w:p>
              </w:tc>
              <w:tc>
                <w:tcPr>
                  <w:tcW w:w="1335" w:type="dxa"/>
                  <w:shd w:val="clear" w:color="auto" w:fill="auto"/>
                  <w:vAlign w:val="center"/>
                </w:tcPr>
                <w:p w14:paraId="101AE0D1">
                  <w:pPr>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shd w:val="clear" w:color="auto" w:fill="auto"/>
                  <w:vAlign w:val="center"/>
                </w:tcPr>
                <w:p w14:paraId="1C068E0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w:t>
                  </w:r>
                </w:p>
              </w:tc>
              <w:tc>
                <w:tcPr>
                  <w:tcW w:w="1125" w:type="dxa"/>
                  <w:vAlign w:val="center"/>
                </w:tcPr>
                <w:p w14:paraId="7C0C1C3F">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1FD04A3C">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1350" w:type="dxa"/>
                  <w:vAlign w:val="center"/>
                </w:tcPr>
                <w:p w14:paraId="19EE7440">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外购，粉状</w:t>
                  </w:r>
                </w:p>
              </w:tc>
            </w:tr>
            <w:tr w14:paraId="650B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4" w:type="dxa"/>
                  <w:vMerge w:val="continue"/>
                  <w:vAlign w:val="center"/>
                </w:tcPr>
                <w:p w14:paraId="283DEB80">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737F93C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抗性糊精</w:t>
                  </w:r>
                </w:p>
              </w:tc>
              <w:tc>
                <w:tcPr>
                  <w:tcW w:w="1335" w:type="dxa"/>
                  <w:shd w:val="clear" w:color="auto" w:fill="auto"/>
                  <w:vAlign w:val="center"/>
                </w:tcPr>
                <w:p w14:paraId="58BDE841">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shd w:val="clear" w:color="auto" w:fill="auto"/>
                  <w:vAlign w:val="center"/>
                </w:tcPr>
                <w:p w14:paraId="0154DC8B">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600</w:t>
                  </w:r>
                </w:p>
              </w:tc>
              <w:tc>
                <w:tcPr>
                  <w:tcW w:w="1125" w:type="dxa"/>
                  <w:vAlign w:val="center"/>
                </w:tcPr>
                <w:p w14:paraId="58F97CC4">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20</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19107119">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77A6BF38">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11D8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2EE280D8">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0BFA566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乳糖醇</w:t>
                  </w:r>
                </w:p>
              </w:tc>
              <w:tc>
                <w:tcPr>
                  <w:tcW w:w="1335" w:type="dxa"/>
                  <w:shd w:val="clear" w:color="auto" w:fill="auto"/>
                  <w:vAlign w:val="center"/>
                </w:tcPr>
                <w:p w14:paraId="3D860E82">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shd w:val="clear" w:color="auto" w:fill="auto"/>
                  <w:vAlign w:val="center"/>
                </w:tcPr>
                <w:p w14:paraId="54E6250D">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300</w:t>
                  </w:r>
                </w:p>
              </w:tc>
              <w:tc>
                <w:tcPr>
                  <w:tcW w:w="1125" w:type="dxa"/>
                  <w:vAlign w:val="center"/>
                </w:tcPr>
                <w:p w14:paraId="5C833449">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5BDDBB9C">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10</w:t>
                  </w:r>
                </w:p>
              </w:tc>
              <w:tc>
                <w:tcPr>
                  <w:tcW w:w="1350" w:type="dxa"/>
                  <w:vAlign w:val="center"/>
                </w:tcPr>
                <w:p w14:paraId="70EBC254">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0016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106BC0DD">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44F3727A">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山梨糖醇</w:t>
                  </w:r>
                </w:p>
              </w:tc>
              <w:tc>
                <w:tcPr>
                  <w:tcW w:w="1335" w:type="dxa"/>
                  <w:shd w:val="clear" w:color="auto" w:fill="auto"/>
                  <w:vAlign w:val="center"/>
                </w:tcPr>
                <w:p w14:paraId="1AE1ECB4">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124490FF">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1125" w:type="dxa"/>
                  <w:vAlign w:val="center"/>
                </w:tcPr>
                <w:p w14:paraId="1E4C2FDB">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19C0D377">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55901464">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5AF2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70E73612">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06DE79C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全脂乳粉</w:t>
                  </w:r>
                </w:p>
              </w:tc>
              <w:tc>
                <w:tcPr>
                  <w:tcW w:w="1335" w:type="dxa"/>
                  <w:shd w:val="clear" w:color="auto" w:fill="auto"/>
                  <w:vAlign w:val="center"/>
                </w:tcPr>
                <w:p w14:paraId="408D36D0">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28AEB713">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1125" w:type="dxa"/>
                  <w:vAlign w:val="center"/>
                </w:tcPr>
                <w:p w14:paraId="5E4EC390">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05C56142">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1350" w:type="dxa"/>
                  <w:vAlign w:val="center"/>
                </w:tcPr>
                <w:p w14:paraId="023AB268">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27AE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738A63ED">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04631C28">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麦芽糊精</w:t>
                  </w:r>
                </w:p>
              </w:tc>
              <w:tc>
                <w:tcPr>
                  <w:tcW w:w="1335" w:type="dxa"/>
                  <w:shd w:val="clear" w:color="auto" w:fill="auto"/>
                  <w:vAlign w:val="center"/>
                </w:tcPr>
                <w:p w14:paraId="03EBF8FC">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0AB89E3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1125" w:type="dxa"/>
                  <w:vAlign w:val="center"/>
                </w:tcPr>
                <w:p w14:paraId="5E53FA38">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20682CEB">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28454CDB">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4B8C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77A4BAA3">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64278FD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赤藓糖醇</w:t>
                  </w:r>
                </w:p>
              </w:tc>
              <w:tc>
                <w:tcPr>
                  <w:tcW w:w="1335" w:type="dxa"/>
                  <w:shd w:val="clear" w:color="auto" w:fill="auto"/>
                  <w:vAlign w:val="center"/>
                </w:tcPr>
                <w:p w14:paraId="1B91524A">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4995796E">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1125" w:type="dxa"/>
                  <w:vAlign w:val="center"/>
                </w:tcPr>
                <w:p w14:paraId="5400D2AE">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5A16B853">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1350" w:type="dxa"/>
                  <w:vAlign w:val="center"/>
                </w:tcPr>
                <w:p w14:paraId="653914A0">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422B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37A5E06E">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671CFAA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松花粉</w:t>
                  </w:r>
                </w:p>
              </w:tc>
              <w:tc>
                <w:tcPr>
                  <w:tcW w:w="1335" w:type="dxa"/>
                  <w:shd w:val="clear" w:color="auto" w:fill="auto"/>
                  <w:vAlign w:val="center"/>
                </w:tcPr>
                <w:p w14:paraId="75416686">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75F446F1">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1125" w:type="dxa"/>
                  <w:vAlign w:val="center"/>
                </w:tcPr>
                <w:p w14:paraId="42F41347">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5933CDF5">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60F4B280">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7168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31DE74C8">
                  <w:pPr>
                    <w:keepNext w:val="0"/>
                    <w:keepLines w:val="0"/>
                    <w:numPr>
                      <w:ilvl w:val="0"/>
                      <w:numId w:val="0"/>
                    </w:numPr>
                    <w:suppressLineNumbers w:val="0"/>
                    <w:spacing w:before="0" w:beforeAutospacing="0" w:after="0" w:afterAutospacing="0"/>
                    <w:ind w:left="0" w:right="0"/>
                    <w:jc w:val="center"/>
                    <w:rPr>
                      <w:rFonts w:hint="eastAsia"/>
                      <w:color w:val="auto"/>
                      <w:sz w:val="21"/>
                      <w:szCs w:val="21"/>
                      <w:highlight w:val="none"/>
                      <w:vertAlign w:val="baseline"/>
                      <w:lang w:val="en-US" w:eastAsia="zh-CN"/>
                    </w:rPr>
                  </w:pPr>
                </w:p>
              </w:tc>
              <w:tc>
                <w:tcPr>
                  <w:tcW w:w="1306" w:type="dxa"/>
                  <w:shd w:val="clear" w:color="auto" w:fill="auto"/>
                  <w:vAlign w:val="center"/>
                </w:tcPr>
                <w:p w14:paraId="457696A6">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蛋白粉</w:t>
                  </w:r>
                </w:p>
              </w:tc>
              <w:tc>
                <w:tcPr>
                  <w:tcW w:w="1335" w:type="dxa"/>
                  <w:shd w:val="clear" w:color="auto" w:fill="auto"/>
                  <w:vAlign w:val="center"/>
                </w:tcPr>
                <w:p w14:paraId="5BA8BDC1">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54766EE2">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1125" w:type="dxa"/>
                  <w:vAlign w:val="center"/>
                </w:tcPr>
                <w:p w14:paraId="01156CF3">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3462F709">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52ECBA5A">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6B86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01FE48D2">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339B02BA">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柠檬酸钙</w:t>
                  </w:r>
                </w:p>
              </w:tc>
              <w:tc>
                <w:tcPr>
                  <w:tcW w:w="1335" w:type="dxa"/>
                  <w:shd w:val="clear" w:color="auto" w:fill="auto"/>
                  <w:vAlign w:val="center"/>
                </w:tcPr>
                <w:p w14:paraId="3617AB8A">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269F97CA">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w:t>
                  </w:r>
                </w:p>
              </w:tc>
              <w:tc>
                <w:tcPr>
                  <w:tcW w:w="1125" w:type="dxa"/>
                  <w:vAlign w:val="center"/>
                </w:tcPr>
                <w:p w14:paraId="0E433135">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3BB04743">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25BAC45E">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0BA5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36D51488">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623EBF06">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凝胶剂</w:t>
                  </w:r>
                </w:p>
              </w:tc>
              <w:tc>
                <w:tcPr>
                  <w:tcW w:w="1335" w:type="dxa"/>
                  <w:shd w:val="clear" w:color="auto" w:fill="auto"/>
                  <w:vAlign w:val="center"/>
                </w:tcPr>
                <w:p w14:paraId="249ED629">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163B55CC">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1125" w:type="dxa"/>
                  <w:vAlign w:val="center"/>
                </w:tcPr>
                <w:p w14:paraId="35971D70">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691383E3">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1350" w:type="dxa"/>
                  <w:vAlign w:val="center"/>
                </w:tcPr>
                <w:p w14:paraId="77D8DA92">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外购，粉状</w:t>
                  </w:r>
                </w:p>
              </w:tc>
            </w:tr>
            <w:tr w14:paraId="4912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3AEEDD7A">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12815D10">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坚果成品</w:t>
                  </w:r>
                </w:p>
              </w:tc>
              <w:tc>
                <w:tcPr>
                  <w:tcW w:w="1335" w:type="dxa"/>
                  <w:shd w:val="clear" w:color="auto" w:fill="auto"/>
                  <w:vAlign w:val="center"/>
                </w:tcPr>
                <w:p w14:paraId="7C5C1688">
                  <w:pPr>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500</w:t>
                  </w:r>
                </w:p>
              </w:tc>
              <w:tc>
                <w:tcPr>
                  <w:tcW w:w="1290" w:type="dxa"/>
                  <w:vAlign w:val="center"/>
                </w:tcPr>
                <w:p w14:paraId="40F7F3D4">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125" w:type="dxa"/>
                  <w:vAlign w:val="center"/>
                </w:tcPr>
                <w:p w14:paraId="27FF62A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05" w:type="dxa"/>
                  <w:vAlign w:val="center"/>
                </w:tcPr>
                <w:p w14:paraId="50B432B3">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350" w:type="dxa"/>
                  <w:vAlign w:val="center"/>
                </w:tcPr>
                <w:p w14:paraId="7DC1349E">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外购成品</w:t>
                  </w:r>
                </w:p>
              </w:tc>
            </w:tr>
            <w:tr w14:paraId="7816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restart"/>
                  <w:vAlign w:val="center"/>
                </w:tcPr>
                <w:p w14:paraId="3117C8C6">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包装填充材料</w:t>
                  </w:r>
                </w:p>
              </w:tc>
              <w:tc>
                <w:tcPr>
                  <w:tcW w:w="1306" w:type="dxa"/>
                  <w:shd w:val="clear" w:color="auto" w:fill="auto"/>
                  <w:vAlign w:val="center"/>
                </w:tcPr>
                <w:p w14:paraId="6C857994">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彩盒类</w:t>
                  </w:r>
                </w:p>
              </w:tc>
              <w:tc>
                <w:tcPr>
                  <w:tcW w:w="1335" w:type="dxa"/>
                  <w:shd w:val="clear" w:color="auto" w:fill="auto"/>
                  <w:vAlign w:val="center"/>
                </w:tcPr>
                <w:p w14:paraId="057D801F">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500万个</w:t>
                  </w:r>
                </w:p>
              </w:tc>
              <w:tc>
                <w:tcPr>
                  <w:tcW w:w="1290" w:type="dxa"/>
                  <w:shd w:val="clear" w:color="auto" w:fill="auto"/>
                  <w:vAlign w:val="center"/>
                </w:tcPr>
                <w:p w14:paraId="73DF4A61">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800万个</w:t>
                  </w:r>
                </w:p>
              </w:tc>
              <w:tc>
                <w:tcPr>
                  <w:tcW w:w="1125" w:type="dxa"/>
                  <w:shd w:val="clear" w:color="auto" w:fill="auto"/>
                  <w:vAlign w:val="center"/>
                </w:tcPr>
                <w:p w14:paraId="59107D32">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05" w:type="dxa"/>
                  <w:vAlign w:val="center"/>
                </w:tcPr>
                <w:p w14:paraId="2DCB2C9F">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纸箱</w:t>
                  </w:r>
                </w:p>
              </w:tc>
              <w:tc>
                <w:tcPr>
                  <w:tcW w:w="1350" w:type="dxa"/>
                  <w:vAlign w:val="center"/>
                </w:tcPr>
                <w:p w14:paraId="58E9E2BD">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外购</w:t>
                  </w:r>
                </w:p>
              </w:tc>
            </w:tr>
            <w:tr w14:paraId="2A81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12E310D0">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p>
              </w:tc>
              <w:tc>
                <w:tcPr>
                  <w:tcW w:w="1306" w:type="dxa"/>
                  <w:shd w:val="clear" w:color="auto" w:fill="auto"/>
                  <w:vAlign w:val="center"/>
                </w:tcPr>
                <w:p w14:paraId="4BD197D0">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卷膜类</w:t>
                  </w:r>
                </w:p>
              </w:tc>
              <w:tc>
                <w:tcPr>
                  <w:tcW w:w="1335" w:type="dxa"/>
                  <w:shd w:val="clear" w:color="auto" w:fill="auto"/>
                  <w:vAlign w:val="center"/>
                </w:tcPr>
                <w:p w14:paraId="0848FD08">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100吨</w:t>
                  </w:r>
                </w:p>
              </w:tc>
              <w:tc>
                <w:tcPr>
                  <w:tcW w:w="1290" w:type="dxa"/>
                  <w:shd w:val="clear" w:color="auto" w:fill="auto"/>
                  <w:vAlign w:val="center"/>
                </w:tcPr>
                <w:p w14:paraId="07C9F3B1">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300吨</w:t>
                  </w:r>
                </w:p>
              </w:tc>
              <w:tc>
                <w:tcPr>
                  <w:tcW w:w="1125" w:type="dxa"/>
                  <w:shd w:val="clear" w:color="auto" w:fill="auto"/>
                  <w:vAlign w:val="center"/>
                </w:tcPr>
                <w:p w14:paraId="0D2AF750">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05" w:type="dxa"/>
                  <w:vAlign w:val="center"/>
                </w:tcPr>
                <w:p w14:paraId="06459D4D">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纸箱</w:t>
                  </w:r>
                </w:p>
              </w:tc>
              <w:tc>
                <w:tcPr>
                  <w:tcW w:w="1350" w:type="dxa"/>
                  <w:vAlign w:val="center"/>
                </w:tcPr>
                <w:p w14:paraId="1DDA6F99">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外购</w:t>
                  </w:r>
                </w:p>
              </w:tc>
            </w:tr>
            <w:tr w14:paraId="13CD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tcPr>
                <w:p w14:paraId="39164D84">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p>
              </w:tc>
              <w:tc>
                <w:tcPr>
                  <w:tcW w:w="1306" w:type="dxa"/>
                  <w:shd w:val="clear" w:color="auto" w:fill="auto"/>
                  <w:vAlign w:val="center"/>
                </w:tcPr>
                <w:p w14:paraId="2A9EA6E9">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纸筒类</w:t>
                  </w:r>
                </w:p>
              </w:tc>
              <w:tc>
                <w:tcPr>
                  <w:tcW w:w="1335" w:type="dxa"/>
                  <w:shd w:val="clear" w:color="auto" w:fill="auto"/>
                  <w:vAlign w:val="center"/>
                </w:tcPr>
                <w:p w14:paraId="3E1D016D">
                  <w:pPr>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15万个</w:t>
                  </w:r>
                </w:p>
              </w:tc>
              <w:tc>
                <w:tcPr>
                  <w:tcW w:w="1290" w:type="dxa"/>
                  <w:shd w:val="clear" w:color="auto" w:fill="auto"/>
                  <w:vAlign w:val="center"/>
                </w:tcPr>
                <w:p w14:paraId="0F000E9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20万个</w:t>
                  </w:r>
                </w:p>
              </w:tc>
              <w:tc>
                <w:tcPr>
                  <w:tcW w:w="1125" w:type="dxa"/>
                  <w:shd w:val="clear" w:color="auto" w:fill="auto"/>
                  <w:vAlign w:val="center"/>
                </w:tcPr>
                <w:p w14:paraId="28A18B1B">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05" w:type="dxa"/>
                  <w:vAlign w:val="center"/>
                </w:tcPr>
                <w:p w14:paraId="524E0ED2">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纸箱</w:t>
                  </w:r>
                </w:p>
              </w:tc>
              <w:tc>
                <w:tcPr>
                  <w:tcW w:w="1350" w:type="dxa"/>
                  <w:vAlign w:val="center"/>
                </w:tcPr>
                <w:p w14:paraId="51477D45">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外购</w:t>
                  </w:r>
                </w:p>
              </w:tc>
            </w:tr>
            <w:tr w14:paraId="59A7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restart"/>
                </w:tcPr>
                <w:p w14:paraId="695581C2">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实验室原辅材料</w:t>
                  </w:r>
                </w:p>
              </w:tc>
              <w:tc>
                <w:tcPr>
                  <w:tcW w:w="1306" w:type="dxa"/>
                  <w:shd w:val="clear" w:color="auto" w:fill="auto"/>
                  <w:vAlign w:val="center"/>
                </w:tcPr>
                <w:p w14:paraId="79E17283">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NaOH溶液</w:t>
                  </w:r>
                </w:p>
              </w:tc>
              <w:tc>
                <w:tcPr>
                  <w:tcW w:w="1335" w:type="dxa"/>
                  <w:shd w:val="clear" w:color="auto" w:fill="auto"/>
                  <w:vAlign w:val="center"/>
                </w:tcPr>
                <w:p w14:paraId="450DA0FB">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290" w:type="dxa"/>
                  <w:shd w:val="clear" w:color="auto" w:fill="auto"/>
                  <w:vAlign w:val="center"/>
                </w:tcPr>
                <w:p w14:paraId="544C01E0">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1125" w:type="dxa"/>
                  <w:shd w:val="clear" w:color="auto" w:fill="auto"/>
                  <w:vAlign w:val="center"/>
                </w:tcPr>
                <w:p w14:paraId="627E4C30">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500m</w:t>
                  </w:r>
                  <w:r>
                    <w:rPr>
                      <w:rFonts w:hint="eastAsia" w:cs="Times New Roman"/>
                      <w:color w:val="auto"/>
                      <w:sz w:val="21"/>
                      <w:szCs w:val="21"/>
                      <w:highlight w:val="none"/>
                      <w:lang w:val="en-US" w:eastAsia="zh-CN"/>
                    </w:rPr>
                    <w:t>L</w:t>
                  </w:r>
                  <w:r>
                    <w:rPr>
                      <w:rFonts w:hint="eastAsia" w:ascii="Times New Roman" w:hAnsi="Times New Roman" w:eastAsia="宋体" w:cs="Times New Roman"/>
                      <w:color w:val="auto"/>
                      <w:sz w:val="21"/>
                      <w:szCs w:val="21"/>
                      <w:highlight w:val="none"/>
                      <w:lang w:val="en-US" w:eastAsia="zh-CN"/>
                    </w:rPr>
                    <w:t>瓶</w:t>
                  </w:r>
                </w:p>
              </w:tc>
              <w:tc>
                <w:tcPr>
                  <w:tcW w:w="1305" w:type="dxa"/>
                  <w:vAlign w:val="center"/>
                </w:tcPr>
                <w:p w14:paraId="6B078F70">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350" w:type="dxa"/>
                  <w:vAlign w:val="center"/>
                </w:tcPr>
                <w:p w14:paraId="1DE91B7D">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外购</w:t>
                  </w:r>
                </w:p>
              </w:tc>
            </w:tr>
            <w:tr w14:paraId="20E5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tcPr>
                <w:p w14:paraId="08ED4C17">
                  <w:pPr>
                    <w:keepNext w:val="0"/>
                    <w:keepLines w:val="0"/>
                    <w:numPr>
                      <w:ilvl w:val="0"/>
                      <w:numId w:val="0"/>
                    </w:numPr>
                    <w:suppressLineNumbers w:val="0"/>
                    <w:spacing w:before="0" w:beforeAutospacing="0" w:after="0" w:afterAutospacing="0"/>
                    <w:ind w:left="0" w:right="0"/>
                    <w:jc w:val="center"/>
                    <w:rPr>
                      <w:rFonts w:hint="eastAsia" w:cs="Times New Roman"/>
                      <w:color w:val="auto"/>
                      <w:sz w:val="21"/>
                      <w:szCs w:val="21"/>
                      <w:highlight w:val="none"/>
                      <w:lang w:val="en-US" w:eastAsia="zh-CN"/>
                    </w:rPr>
                  </w:pPr>
                </w:p>
              </w:tc>
              <w:tc>
                <w:tcPr>
                  <w:tcW w:w="1306" w:type="dxa"/>
                  <w:shd w:val="clear" w:color="auto" w:fill="auto"/>
                  <w:vAlign w:val="center"/>
                </w:tcPr>
                <w:p w14:paraId="7D9F849F">
                  <w:pPr>
                    <w:keepNext w:val="0"/>
                    <w:keepLines w:val="0"/>
                    <w:numPr>
                      <w:ilvl w:val="0"/>
                      <w:numId w:val="0"/>
                    </w:numPr>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HCl溶液</w:t>
                  </w:r>
                </w:p>
              </w:tc>
              <w:tc>
                <w:tcPr>
                  <w:tcW w:w="1335" w:type="dxa"/>
                  <w:shd w:val="clear" w:color="auto" w:fill="auto"/>
                  <w:vAlign w:val="center"/>
                </w:tcPr>
                <w:p w14:paraId="636556F6">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290" w:type="dxa"/>
                  <w:shd w:val="clear" w:color="auto" w:fill="auto"/>
                  <w:vAlign w:val="center"/>
                </w:tcPr>
                <w:p w14:paraId="1DE67EF9">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1125" w:type="dxa"/>
                  <w:shd w:val="clear" w:color="auto" w:fill="auto"/>
                  <w:vAlign w:val="center"/>
                </w:tcPr>
                <w:p w14:paraId="5FF6C9B3">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500m</w:t>
                  </w:r>
                  <w:r>
                    <w:rPr>
                      <w:rFonts w:hint="eastAsia" w:cs="Times New Roman"/>
                      <w:color w:val="auto"/>
                      <w:sz w:val="21"/>
                      <w:szCs w:val="21"/>
                      <w:highlight w:val="none"/>
                      <w:lang w:val="en-US" w:eastAsia="zh-CN"/>
                    </w:rPr>
                    <w:t>L</w:t>
                  </w:r>
                  <w:r>
                    <w:rPr>
                      <w:rFonts w:hint="eastAsia" w:ascii="Times New Roman" w:hAnsi="Times New Roman" w:eastAsia="宋体" w:cs="Times New Roman"/>
                      <w:color w:val="auto"/>
                      <w:sz w:val="21"/>
                      <w:szCs w:val="21"/>
                      <w:highlight w:val="none"/>
                      <w:lang w:val="en-US" w:eastAsia="zh-CN"/>
                    </w:rPr>
                    <w:t>/瓶</w:t>
                  </w:r>
                </w:p>
              </w:tc>
              <w:tc>
                <w:tcPr>
                  <w:tcW w:w="1305" w:type="dxa"/>
                  <w:vAlign w:val="center"/>
                </w:tcPr>
                <w:p w14:paraId="7A31FD17">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350" w:type="dxa"/>
                  <w:vAlign w:val="center"/>
                </w:tcPr>
                <w:p w14:paraId="23007DAA">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w:t>
                  </w:r>
                </w:p>
              </w:tc>
            </w:tr>
          </w:tbl>
          <w:p w14:paraId="23F480FF">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rPr>
              <w:t>2）主要原辅料理化性质</w:t>
            </w:r>
          </w:p>
          <w:p w14:paraId="400F549F">
            <w:pPr>
              <w:keepNext w:val="0"/>
              <w:keepLines w:val="0"/>
              <w:numPr>
                <w:ilvl w:val="0"/>
                <w:numId w:val="8"/>
              </w:numPr>
              <w:suppressLineNumbers w:val="0"/>
              <w:spacing w:before="0" w:beforeAutospacing="0" w:after="0" w:afterAutospacing="0" w:line="360" w:lineRule="auto"/>
              <w:ind w:left="0" w:leftChars="0" w:right="0" w:firstLine="0" w:firstLineChars="0"/>
              <w:jc w:val="center"/>
              <w:rPr>
                <w:rFonts w:hint="default"/>
                <w:b/>
                <w:color w:val="auto"/>
                <w:sz w:val="24"/>
              </w:rPr>
            </w:pPr>
            <w:r>
              <w:rPr>
                <w:rFonts w:hint="default"/>
                <w:b/>
                <w:color w:val="auto"/>
                <w:sz w:val="24"/>
              </w:rPr>
              <w:t>项目主要原辅料理化性质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7408"/>
            </w:tblGrid>
            <w:tr w14:paraId="65AC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pct"/>
                  <w:vAlign w:val="center"/>
                </w:tcPr>
                <w:p w14:paraId="1EC87713">
                  <w:pPr>
                    <w:pStyle w:val="114"/>
                    <w:keepNext w:val="0"/>
                    <w:keepLines w:val="0"/>
                    <w:suppressLineNumbers w:val="0"/>
                    <w:spacing w:before="0" w:beforeAutospacing="0" w:after="0" w:afterAutospacing="0"/>
                    <w:ind w:left="-84" w:leftChars="-40" w:right="-84" w:rightChars="-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物料名称</w:t>
                  </w:r>
                </w:p>
              </w:tc>
              <w:tc>
                <w:tcPr>
                  <w:tcW w:w="4270" w:type="pct"/>
                  <w:vAlign w:val="center"/>
                </w:tcPr>
                <w:p w14:paraId="1E29BAC3">
                  <w:pPr>
                    <w:pStyle w:val="114"/>
                    <w:keepNext w:val="0"/>
                    <w:keepLines w:val="0"/>
                    <w:suppressLineNumbers w:val="0"/>
                    <w:spacing w:before="0" w:beforeAutospacing="0" w:after="0" w:afterAutospacing="0"/>
                    <w:ind w:left="-84" w:leftChars="-40" w:right="-84" w:rightChars="-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r>
            <w:tr w14:paraId="75C8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pct"/>
                  <w:vAlign w:val="center"/>
                </w:tcPr>
                <w:p w14:paraId="2676A65C">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乳酸菌粉</w:t>
                  </w:r>
                </w:p>
              </w:tc>
              <w:tc>
                <w:tcPr>
                  <w:tcW w:w="4270" w:type="pct"/>
                  <w:vAlign w:val="center"/>
                </w:tcPr>
                <w:p w14:paraId="4C2F323D">
                  <w:pPr>
                    <w:pStyle w:val="1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乳酸菌粉是一种粉剂型微生物菌剂，主要应用于畜牧养殖、有机肥料生产及水产养殖等领域，通过代谢产生氨基酸（赖氨酸、蛋氨酸）和维生素（B族、K、H），促进动物营养吸收与生长，并能酸化肠道环境以抑制腐败菌繁殖。</w:t>
                  </w:r>
                </w:p>
              </w:tc>
            </w:tr>
            <w:tr w14:paraId="225F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29" w:type="pct"/>
                  <w:vAlign w:val="center"/>
                </w:tcPr>
                <w:p w14:paraId="5A96EEC9">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抗性糊精</w:t>
                  </w:r>
                </w:p>
              </w:tc>
              <w:tc>
                <w:tcPr>
                  <w:tcW w:w="4270" w:type="pct"/>
                  <w:vAlign w:val="center"/>
                </w:tcPr>
                <w:p w14:paraId="05F3526C">
                  <w:pPr>
                    <w:pStyle w:val="1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抗性糊精由淀粉加工而成，是将焙烤糊精的难消化成分用工业技术提取处理并精炼而成的一.种低热量葡聚糖，属于低分子水溶性膳食纤维。抗性糊精为白色到淡黄色粉末，略有甜味，无其他异味，水溶性好，10%水溶液为透明或淡黄色，pH值为 4.0~6.0。</w:t>
                  </w:r>
                </w:p>
              </w:tc>
            </w:tr>
            <w:tr w14:paraId="26BF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vAlign w:val="center"/>
                </w:tcPr>
                <w:p w14:paraId="66353F2B">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z w:val="21"/>
                      <w:szCs w:val="21"/>
                      <w:highlight w:val="none"/>
                      <w:lang w:val="en-US" w:eastAsia="zh-CN"/>
                    </w:rPr>
                    <w:t>乳糖醇</w:t>
                  </w:r>
                </w:p>
              </w:tc>
              <w:tc>
                <w:tcPr>
                  <w:tcW w:w="4270" w:type="pct"/>
                  <w:vAlign w:val="center"/>
                </w:tcPr>
                <w:p w14:paraId="606B4A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乳糖醇性状：本品有无水物、一水物、二水物及水溶液（40%）之不同。</w:t>
                  </w:r>
                </w:p>
                <w:p w14:paraId="39E7A0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呈白色结晶或结晶性粉末，或无色液体。无臭、味甜，甜度为蔗糖的0%~40%，热量约为蔗糖的一半。稳定性高、不吸湿。熔点，无水物为 146℃，一水物 94~97℃，二水物 70~80℃。水合物加热至 100℃以上逐渐失去水分，250℃以上发生分子内脱水生成乳焦糖。本品极易溶于水，10%水溶液的 pH 为 4.5~8.5。用途为甜味剂，乳糖醇代谢与胰岛素无关，不增加血糖浓度，可供食用。</w:t>
                  </w:r>
                </w:p>
              </w:tc>
            </w:tr>
            <w:tr w14:paraId="659A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vAlign w:val="center"/>
                </w:tcPr>
                <w:p w14:paraId="5EC32C6F">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z w:val="21"/>
                      <w:szCs w:val="21"/>
                      <w:highlight w:val="none"/>
                      <w:lang w:val="en-US" w:eastAsia="zh-CN"/>
                    </w:rPr>
                    <w:t>山梨糖醇</w:t>
                  </w:r>
                </w:p>
              </w:tc>
              <w:tc>
                <w:tcPr>
                  <w:tcW w:w="4270" w:type="pct"/>
                  <w:vAlign w:val="center"/>
                </w:tcPr>
                <w:p w14:paraId="19CD99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山梨糖醇为白色吸湿性粉末或晶状粉末、片状或颗粒，无臭。可做营养性甜味剂、湿润剂、螯合剂和稳定剂，适用于治疗脑水肿及青光眼，也可用于心肾功能正常的水肿少尿，在食品上通常作为无糖甜味剂使用。依结晶条件不同，熔点在88~102℃范围内变化，易溶于水（1g 溶于约 0.45mL 水中），微溶于乙醇和乙酸。</w:t>
                  </w:r>
                </w:p>
              </w:tc>
            </w:tr>
            <w:tr w14:paraId="50AB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vAlign w:val="center"/>
                </w:tcPr>
                <w:p w14:paraId="49C9BC56">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z w:val="21"/>
                      <w:szCs w:val="21"/>
                      <w:highlight w:val="none"/>
                      <w:lang w:val="en-US" w:eastAsia="zh-CN"/>
                    </w:rPr>
                    <w:t>全脂乳粉</w:t>
                  </w:r>
                </w:p>
              </w:tc>
              <w:tc>
                <w:tcPr>
                  <w:tcW w:w="4270" w:type="pct"/>
                  <w:vAlign w:val="center"/>
                </w:tcPr>
                <w:p w14:paraId="248E67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仅以牛乳或羊乳为原料，经浓缩、干燥制成的粉状产品。用纯乳生产的，基本保持了乳中的原有营养成分，蛋白质不低于 24%，脂肪不低于 26%，乳糖不低于 37%。</w:t>
                  </w:r>
                </w:p>
              </w:tc>
            </w:tr>
            <w:tr w14:paraId="408B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vAlign w:val="center"/>
                </w:tcPr>
                <w:p w14:paraId="0796C776">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z w:val="21"/>
                      <w:szCs w:val="21"/>
                      <w:highlight w:val="none"/>
                      <w:lang w:val="en-US" w:eastAsia="zh-CN"/>
                    </w:rPr>
                    <w:t>麦芽糊精</w:t>
                  </w:r>
                </w:p>
              </w:tc>
              <w:tc>
                <w:tcPr>
                  <w:tcW w:w="4270" w:type="pct"/>
                  <w:vAlign w:val="center"/>
                </w:tcPr>
                <w:p w14:paraId="209345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白色粉末或颗粒，微吸</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"http://www.lookchem.cn/13382/" \t "https://www.lookchem.cn/dictionary/_blank"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水</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，无甜味或略有甜味，有营养价值。易溶于水或易</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"http://www.lookchem.cn/499324/" \t "https://www.lookchem.cn/dictionary/_blank"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分散</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于水中，也可是澄清至浑浊的</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"http://www.lookchem.cn/406498/" \t "https://www.lookchem.cn/dictionary/_blank"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水溶</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液</w:t>
                  </w:r>
                  <w:r>
                    <w:rPr>
                      <w:rFonts w:hint="default"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以D</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"http://www.lookchem.cn/70637/" \t "https://www.lookchem.cn/dictionary/_blank"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葡萄糖</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为结构单位，以α－1，4键相</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"http://www.lookchem.cn/498831/" \t "https://www.lookchem.cn/dictionary/_blank"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聚合</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而成的多糖。熔点约240℃(分解)</w:t>
                  </w:r>
                  <w:r>
                    <w:rPr>
                      <w:rFonts w:hint="default"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用于糖果、饮料、方便面、造纸、化妆品、农药等行业。</w:t>
                  </w:r>
                </w:p>
              </w:tc>
            </w:tr>
            <w:tr w14:paraId="56EE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shd w:val="clear" w:color="auto" w:fill="auto"/>
                  <w:vAlign w:val="center"/>
                </w:tcPr>
                <w:p w14:paraId="25FA8BA6">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赤藓糖醇</w:t>
                  </w:r>
                </w:p>
              </w:tc>
              <w:tc>
                <w:tcPr>
                  <w:tcW w:w="4270" w:type="pct"/>
                  <w:vAlign w:val="center"/>
                </w:tcPr>
                <w:p w14:paraId="5A011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赤藓糖醇是一类白色结晶的C4多元醇类化合物，具有热量低、甜味纯正、口感清爽等独特优点。与蔗糖相比,赤藓糖醇的热量仅有0.4 kcal/g，但甜度则达蔗糖的60～80%。其较高的溶解热带来的降温效果也赋予其独特的清爽口感。同时，在酸性和碱性pH下也很稳定,不会发生影响食品色泽的美拉德反应</w:t>
                  </w:r>
                  <w:r>
                    <w:rPr>
                      <w:rFonts w:hint="default" w:ascii="Times New Roman" w:hAnsi="Times New Roman" w:cs="Times New Roman"/>
                      <w:color w:val="auto"/>
                      <w:kern w:val="0"/>
                      <w:sz w:val="21"/>
                      <w:szCs w:val="21"/>
                      <w:lang w:val="en-US" w:eastAsia="zh-CN"/>
                    </w:rPr>
                    <w:t>。</w:t>
                  </w:r>
                </w:p>
              </w:tc>
            </w:tr>
            <w:tr w14:paraId="62F1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shd w:val="clear" w:color="auto" w:fill="auto"/>
                  <w:vAlign w:val="center"/>
                </w:tcPr>
                <w:p w14:paraId="064567C4">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松花粉</w:t>
                  </w:r>
                </w:p>
              </w:tc>
              <w:tc>
                <w:tcPr>
                  <w:tcW w:w="4270" w:type="pct"/>
                  <w:vAlign w:val="center"/>
                </w:tcPr>
                <w:p w14:paraId="796BCA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淡黄色的细粉。气微，味淡，不沉于水。气微香，味有油腻感</w:t>
                  </w:r>
                  <w:r>
                    <w:rPr>
                      <w:rFonts w:hint="default" w:ascii="Times New Roman" w:hAnsi="Times New Roman" w:cs="Times New Roman"/>
                      <w:color w:val="auto"/>
                      <w:kern w:val="0"/>
                      <w:sz w:val="21"/>
                      <w:szCs w:val="21"/>
                      <w:lang w:val="en-US" w:eastAsia="zh-CN"/>
                    </w:rPr>
                    <w:t>。具有多种蛋白质、氨基酸、矿物质、酶与辅酶、核酸、单糖、多糖等。</w:t>
                  </w:r>
                </w:p>
              </w:tc>
            </w:tr>
            <w:tr w14:paraId="24E5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shd w:val="clear" w:color="auto" w:fill="auto"/>
                  <w:vAlign w:val="center"/>
                </w:tcPr>
                <w:p w14:paraId="1496EF7C">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蛋白粉</w:t>
                  </w:r>
                </w:p>
              </w:tc>
              <w:tc>
                <w:tcPr>
                  <w:tcW w:w="4270" w:type="pct"/>
                  <w:vAlign w:val="center"/>
                </w:tcPr>
                <w:p w14:paraId="6A7B11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lang w:val="en-US" w:eastAsia="zh-CN"/>
                    </w:rPr>
                    <w:t>即蛋白粉状制剂，性状为白色或淡黄色</w:t>
                  </w:r>
                  <w:r>
                    <w:rPr>
                      <w:rFonts w:hint="eastAsia" w:cs="Times New Roman"/>
                      <w:color w:val="auto"/>
                      <w:sz w:val="21"/>
                      <w:szCs w:val="21"/>
                      <w:lang w:val="en-US" w:eastAsia="zh-CN"/>
                    </w:rPr>
                    <w:t>粉末，</w:t>
                  </w:r>
                  <w:r>
                    <w:rPr>
                      <w:rFonts w:hint="default" w:ascii="Times New Roman" w:hAnsi="Times New Roman" w:cs="Times New Roman"/>
                      <w:color w:val="auto"/>
                      <w:sz w:val="21"/>
                      <w:szCs w:val="21"/>
                      <w:lang w:val="en-US" w:eastAsia="zh-CN"/>
                    </w:rPr>
                    <w:t>蛋白质含量在 95%左右，具有蛋白质含量高、灰份少、重金属含量低、易被人体吸收利用、生物效价高等特点。</w:t>
                  </w:r>
                </w:p>
              </w:tc>
            </w:tr>
            <w:tr w14:paraId="44DE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shd w:val="clear" w:color="auto" w:fill="auto"/>
                  <w:vAlign w:val="center"/>
                </w:tcPr>
                <w:p w14:paraId="364C752A">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柠檬酸钙</w:t>
                  </w:r>
                </w:p>
              </w:tc>
              <w:tc>
                <w:tcPr>
                  <w:tcW w:w="4270" w:type="pct"/>
                  <w:vAlign w:val="center"/>
                </w:tcPr>
                <w:p w14:paraId="49BB75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有机化合物，化学式为C</w:t>
                  </w:r>
                  <w:r>
                    <w:rPr>
                      <w:rFonts w:hint="default" w:ascii="Times New Roman" w:hAnsi="Times New Roman" w:eastAsia="宋体" w:cs="Times New Roman"/>
                      <w:color w:val="auto"/>
                      <w:kern w:val="0"/>
                      <w:sz w:val="21"/>
                      <w:szCs w:val="21"/>
                      <w:vertAlign w:val="subscript"/>
                      <w:lang w:val="en-US" w:eastAsia="zh-CN"/>
                    </w:rPr>
                    <w:t>12</w:t>
                  </w:r>
                  <w:r>
                    <w:rPr>
                      <w:rFonts w:hint="default" w:ascii="Times New Roman" w:hAnsi="Times New Roman" w:eastAsia="宋体" w:cs="Times New Roman"/>
                      <w:color w:val="auto"/>
                      <w:kern w:val="0"/>
                      <w:sz w:val="21"/>
                      <w:szCs w:val="21"/>
                      <w:lang w:val="en-US" w:eastAsia="zh-CN"/>
                    </w:rPr>
                    <w:t>H</w:t>
                  </w:r>
                  <w:r>
                    <w:rPr>
                      <w:rFonts w:hint="default" w:ascii="Times New Roman" w:hAnsi="Times New Roman" w:eastAsia="宋体" w:cs="Times New Roman"/>
                      <w:color w:val="auto"/>
                      <w:kern w:val="0"/>
                      <w:sz w:val="21"/>
                      <w:szCs w:val="21"/>
                      <w:vertAlign w:val="subscript"/>
                      <w:lang w:val="en-US" w:eastAsia="zh-CN"/>
                    </w:rPr>
                    <w:t>10</w:t>
                  </w:r>
                  <w:r>
                    <w:rPr>
                      <w:rFonts w:hint="default" w:ascii="Times New Roman" w:hAnsi="Times New Roman" w:eastAsia="宋体" w:cs="Times New Roman"/>
                      <w:color w:val="auto"/>
                      <w:kern w:val="0"/>
                      <w:sz w:val="21"/>
                      <w:szCs w:val="21"/>
                      <w:lang w:val="en-US" w:eastAsia="zh-CN"/>
                    </w:rPr>
                    <w:t>Ca</w:t>
                  </w:r>
                  <w:r>
                    <w:rPr>
                      <w:rFonts w:hint="default" w:ascii="Times New Roman" w:hAnsi="Times New Roman" w:eastAsia="宋体" w:cs="Times New Roman"/>
                      <w:color w:val="auto"/>
                      <w:kern w:val="0"/>
                      <w:sz w:val="21"/>
                      <w:szCs w:val="21"/>
                      <w:vertAlign w:val="subscript"/>
                      <w:lang w:val="en-US" w:eastAsia="zh-CN"/>
                    </w:rPr>
                    <w:t>3</w:t>
                  </w:r>
                  <w:r>
                    <w:rPr>
                      <w:rFonts w:hint="default" w:ascii="Times New Roman" w:hAnsi="Times New Roman" w:eastAsia="宋体" w:cs="Times New Roman"/>
                      <w:color w:val="auto"/>
                      <w:kern w:val="0"/>
                      <w:sz w:val="21"/>
                      <w:szCs w:val="21"/>
                      <w:lang w:val="en-US" w:eastAsia="zh-CN"/>
                    </w:rPr>
                    <w:t>O</w:t>
                  </w:r>
                  <w:r>
                    <w:rPr>
                      <w:rFonts w:hint="default" w:ascii="Times New Roman" w:hAnsi="Times New Roman" w:eastAsia="宋体" w:cs="Times New Roman"/>
                      <w:color w:val="auto"/>
                      <w:kern w:val="0"/>
                      <w:sz w:val="21"/>
                      <w:szCs w:val="21"/>
                      <w:vertAlign w:val="subscript"/>
                      <w:lang w:val="en-US" w:eastAsia="zh-CN"/>
                    </w:rPr>
                    <w:t>14</w:t>
                  </w:r>
                  <w:r>
                    <w:rPr>
                      <w:rFonts w:hint="default" w:ascii="Times New Roman" w:hAnsi="Times New Roman" w:eastAsia="宋体" w:cs="Times New Roman"/>
                      <w:color w:val="auto"/>
                      <w:kern w:val="0"/>
                      <w:sz w:val="21"/>
                      <w:szCs w:val="21"/>
                      <w:lang w:val="en-US" w:eastAsia="zh-CN"/>
                    </w:rPr>
                    <w:t>，分子量498.433，外观为白色结晶性粉末，熔点120℃，难溶于水（0.1g/100mL），不溶于乙醇，可溶于稀盐酸</w:t>
                  </w:r>
                  <w:r>
                    <w:rPr>
                      <w:rFonts w:hint="default" w:ascii="Times New Roman" w:hAnsi="Times New Roman" w:cs="Times New Roman"/>
                      <w:color w:val="auto"/>
                      <w:kern w:val="0"/>
                      <w:sz w:val="21"/>
                      <w:szCs w:val="21"/>
                      <w:lang w:val="en-US" w:eastAsia="zh-CN"/>
                    </w:rPr>
                    <w:t>。柠檬酸钙主要作为食品钙强化剂应用于谷类制品、</w:t>
                  </w:r>
                  <w:r>
                    <w:rPr>
                      <w:rFonts w:hint="default" w:ascii="Times New Roman" w:hAnsi="Times New Roman" w:cs="Times New Roman"/>
                      <w:color w:val="auto"/>
                      <w:kern w:val="0"/>
                      <w:sz w:val="21"/>
                      <w:szCs w:val="21"/>
                      <w:lang w:val="en-US" w:eastAsia="zh-CN"/>
                    </w:rPr>
                    <w:fldChar w:fldCharType="begin"/>
                  </w:r>
                  <w:r>
                    <w:rPr>
                      <w:rFonts w:hint="default" w:ascii="Times New Roman" w:hAnsi="Times New Roman" w:cs="Times New Roman"/>
                      <w:color w:val="auto"/>
                      <w:kern w:val="0"/>
                      <w:sz w:val="21"/>
                      <w:szCs w:val="21"/>
                      <w:lang w:val="en-US" w:eastAsia="zh-CN"/>
                    </w:rPr>
                    <w:instrText xml:space="preserve"> HYPERLINK "https://baike.baidu.com/item/%E4%B9%B3%E5%88%B6%E5%93%81/2864747?fromModule=lemma_inlink" \t "https://baike.baidu.com/item/%E6%9F%A0%E6%AA%AC%E9%85%B8%E9%92%99/_blank" </w:instrText>
                  </w:r>
                  <w:r>
                    <w:rPr>
                      <w:rFonts w:hint="default" w:ascii="Times New Roman" w:hAnsi="Times New Roman" w:cs="Times New Roman"/>
                      <w:color w:val="auto"/>
                      <w:kern w:val="0"/>
                      <w:sz w:val="21"/>
                      <w:szCs w:val="21"/>
                      <w:lang w:val="en-US" w:eastAsia="zh-CN"/>
                    </w:rPr>
                    <w:fldChar w:fldCharType="separate"/>
                  </w:r>
                  <w:r>
                    <w:rPr>
                      <w:rFonts w:hint="default" w:ascii="Times New Roman" w:hAnsi="Times New Roman" w:cs="Times New Roman"/>
                      <w:color w:val="auto"/>
                      <w:kern w:val="0"/>
                      <w:sz w:val="21"/>
                      <w:szCs w:val="21"/>
                      <w:lang w:val="en-US" w:eastAsia="zh-CN"/>
                    </w:rPr>
                    <w:t>乳制品</w:t>
                  </w:r>
                  <w:r>
                    <w:rPr>
                      <w:rFonts w:hint="default" w:ascii="Times New Roman" w:hAnsi="Times New Roman" w:cs="Times New Roman"/>
                      <w:color w:val="auto"/>
                      <w:kern w:val="0"/>
                      <w:sz w:val="21"/>
                      <w:szCs w:val="21"/>
                      <w:lang w:val="en-US" w:eastAsia="zh-CN"/>
                    </w:rPr>
                    <w:fldChar w:fldCharType="end"/>
                  </w:r>
                  <w:r>
                    <w:rPr>
                      <w:rFonts w:hint="default" w:ascii="Times New Roman" w:hAnsi="Times New Roman" w:cs="Times New Roman"/>
                      <w:color w:val="auto"/>
                      <w:kern w:val="0"/>
                      <w:sz w:val="21"/>
                      <w:szCs w:val="21"/>
                      <w:lang w:val="en-US" w:eastAsia="zh-CN"/>
                    </w:rPr>
                    <w:t>、饮料等。</w:t>
                  </w:r>
                </w:p>
              </w:tc>
            </w:tr>
            <w:tr w14:paraId="7505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shd w:val="clear" w:color="auto" w:fill="auto"/>
                  <w:vAlign w:val="center"/>
                </w:tcPr>
                <w:p w14:paraId="59100145">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NaOH溶液</w:t>
                  </w:r>
                </w:p>
              </w:tc>
              <w:tc>
                <w:tcPr>
                  <w:tcW w:w="4270" w:type="pct"/>
                  <w:vAlign w:val="center"/>
                </w:tcPr>
                <w:p w14:paraId="480BE4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氢氧化钠溶液为无色透明液体，具有强碱性，强烈刺激和腐蚀性。粉尘或烟雾刺激眼和呼吸道，腐蚀鼻中隔</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皮肤和眼直接接触可引起灼伤</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误服可造成消化道灼伤，粘膜糜烂、出血和休克。</w:t>
                  </w:r>
                </w:p>
              </w:tc>
            </w:tr>
            <w:tr w14:paraId="1B1F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shd w:val="clear" w:color="auto" w:fill="auto"/>
                  <w:vAlign w:val="center"/>
                </w:tcPr>
                <w:p w14:paraId="1E826F1B">
                  <w:pPr>
                    <w:keepNext w:val="0"/>
                    <w:keepLines w:val="0"/>
                    <w:numPr>
                      <w:ilvl w:val="0"/>
                      <w:numId w:val="0"/>
                    </w:numPr>
                    <w:suppressLineNumbers w:val="0"/>
                    <w:spacing w:before="0" w:beforeAutospacing="0" w:after="0" w:afterAutospacing="0"/>
                    <w:ind w:left="0" w:leftChars="0" w:right="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HCl溶液</w:t>
                  </w:r>
                </w:p>
              </w:tc>
              <w:tc>
                <w:tcPr>
                  <w:tcW w:w="4270" w:type="pct"/>
                  <w:vAlign w:val="center"/>
                </w:tcPr>
                <w:p w14:paraId="1235EE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盐酸为无色透明的液体，有强烈的刺鼻气味，具有较高的腐蚀性。浓盐酸（质量分数约为37%）具有极强的</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"https://baike.baidu.com/item/%E6%8C%A5%E5%8F%91%E6%80%A7/7644527?fromModule=lemma_inlink" \t "https://baike.baidu.com/item/%E7%9B%90%E9%85%B8/_blank"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挥发性</w:t>
                  </w:r>
                  <w:r>
                    <w:rPr>
                      <w:rFonts w:hint="default" w:ascii="Times New Roman" w:hAnsi="Times New Roman" w:eastAsia="宋体" w:cs="Times New Roman"/>
                      <w:color w:val="auto"/>
                      <w:kern w:val="0"/>
                      <w:sz w:val="21"/>
                      <w:szCs w:val="21"/>
                      <w:lang w:val="en-US" w:eastAsia="zh-CN"/>
                    </w:rPr>
                    <w:fldChar w:fldCharType="end"/>
                  </w:r>
                  <w:r>
                    <w:rPr>
                      <w:rFonts w:hint="eastAsia" w:cs="Times New Roman"/>
                      <w:color w:val="auto"/>
                      <w:kern w:val="0"/>
                      <w:sz w:val="21"/>
                      <w:szCs w:val="21"/>
                      <w:lang w:val="en-US" w:eastAsia="zh-CN"/>
                    </w:rPr>
                    <w:t>。</w:t>
                  </w:r>
                </w:p>
              </w:tc>
            </w:tr>
          </w:tbl>
          <w:p w14:paraId="2536A217">
            <w:pPr>
              <w:keepNext w:val="0"/>
              <w:keepLines w:val="0"/>
              <w:widowControl/>
              <w:suppressLineNumbers w:val="0"/>
              <w:spacing w:before="0" w:beforeAutospacing="0" w:after="0" w:afterAutospacing="0" w:line="360" w:lineRule="auto"/>
              <w:ind w:left="0" w:right="0"/>
              <w:textAlignment w:val="baseline"/>
              <w:rPr>
                <w:rFonts w:hint="default"/>
                <w:b/>
                <w:color w:val="auto"/>
                <w:kern w:val="0"/>
                <w:sz w:val="24"/>
                <w:u w:val="none" w:color="000000"/>
              </w:rPr>
            </w:pPr>
            <w:r>
              <w:rPr>
                <w:rFonts w:hint="default"/>
                <w:b/>
                <w:color w:val="auto"/>
                <w:kern w:val="0"/>
                <w:sz w:val="24"/>
                <w:u w:val="none" w:color="000000"/>
              </w:rPr>
              <w:t>5、主要生产设备</w:t>
            </w:r>
          </w:p>
          <w:p w14:paraId="1978A7B4">
            <w:pPr>
              <w:keepNext w:val="0"/>
              <w:keepLines w:val="0"/>
              <w:suppressLineNumbers w:val="0"/>
              <w:snapToGrid w:val="0"/>
              <w:spacing w:before="0" w:beforeAutospacing="0" w:after="0" w:afterAutospacing="0" w:line="360" w:lineRule="auto"/>
              <w:ind w:left="0" w:right="0" w:firstLine="480" w:firstLineChars="200"/>
              <w:textAlignment w:val="baseline"/>
              <w:rPr>
                <w:rFonts w:hint="default"/>
                <w:color w:val="auto"/>
                <w:kern w:val="0"/>
                <w:sz w:val="24"/>
                <w:u w:val="none" w:color="000000"/>
              </w:rPr>
            </w:pPr>
            <w:r>
              <w:rPr>
                <w:rFonts w:hint="eastAsia"/>
                <w:color w:val="auto"/>
                <w:sz w:val="24"/>
              </w:rPr>
              <w:t>本项目</w:t>
            </w:r>
            <w:r>
              <w:rPr>
                <w:rFonts w:hint="default"/>
                <w:color w:val="auto"/>
                <w:kern w:val="0"/>
                <w:sz w:val="24"/>
                <w:u w:val="none" w:color="000000"/>
              </w:rPr>
              <w:t>主要设备见下表。</w:t>
            </w:r>
          </w:p>
          <w:p w14:paraId="429D538F">
            <w:pPr>
              <w:keepNext w:val="0"/>
              <w:keepLines w:val="0"/>
              <w:numPr>
                <w:ilvl w:val="0"/>
                <w:numId w:val="8"/>
              </w:numPr>
              <w:suppressLineNumbers w:val="0"/>
              <w:spacing w:before="0" w:beforeAutospacing="0" w:after="0" w:afterAutospacing="0" w:line="360" w:lineRule="auto"/>
              <w:ind w:left="0" w:leftChars="0" w:right="0" w:firstLine="0" w:firstLineChars="0"/>
              <w:jc w:val="center"/>
              <w:rPr>
                <w:rFonts w:hint="default"/>
                <w:b/>
                <w:color w:val="auto"/>
                <w:sz w:val="24"/>
              </w:rPr>
            </w:pPr>
            <w:r>
              <w:rPr>
                <w:rFonts w:hint="default"/>
                <w:b/>
                <w:color w:val="auto"/>
                <w:sz w:val="24"/>
              </w:rPr>
              <w:t>主要设备一览表</w:t>
            </w:r>
          </w:p>
          <w:tbl>
            <w:tblPr>
              <w:tblStyle w:val="36"/>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494"/>
              <w:gridCol w:w="1644"/>
              <w:gridCol w:w="930"/>
              <w:gridCol w:w="930"/>
              <w:gridCol w:w="753"/>
              <w:gridCol w:w="1261"/>
            </w:tblGrid>
            <w:tr w14:paraId="220B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503B009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产品</w:t>
                  </w:r>
                </w:p>
              </w:tc>
              <w:tc>
                <w:tcPr>
                  <w:tcW w:w="2494" w:type="dxa"/>
                  <w:vAlign w:val="center"/>
                </w:tcPr>
                <w:p w14:paraId="2034C702">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设备</w:t>
                  </w:r>
                </w:p>
              </w:tc>
              <w:tc>
                <w:tcPr>
                  <w:tcW w:w="1644" w:type="dxa"/>
                  <w:vAlign w:val="center"/>
                </w:tcPr>
                <w:p w14:paraId="18E9AA75">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型号</w:t>
                  </w:r>
                </w:p>
              </w:tc>
              <w:tc>
                <w:tcPr>
                  <w:tcW w:w="930" w:type="dxa"/>
                  <w:vAlign w:val="center"/>
                </w:tcPr>
                <w:p w14:paraId="3DC6F1C4">
                  <w:pPr>
                    <w:pStyle w:val="152"/>
                    <w:keepNext w:val="0"/>
                    <w:keepLines w:val="0"/>
                    <w:widowControl w:val="0"/>
                    <w:numPr>
                      <w:ilvl w:val="0"/>
                      <w:numId w:val="0"/>
                    </w:numPr>
                    <w:suppressLineNumbers w:val="0"/>
                    <w:spacing w:before="0" w:beforeAutospacing="0" w:after="0" w:afterAutospacing="0"/>
                    <w:ind w:left="0" w:right="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改建前数量</w:t>
                  </w:r>
                </w:p>
              </w:tc>
              <w:tc>
                <w:tcPr>
                  <w:tcW w:w="930" w:type="dxa"/>
                  <w:vAlign w:val="center"/>
                </w:tcPr>
                <w:p w14:paraId="5AE11C71">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改建后</w:t>
                  </w:r>
                  <w:r>
                    <w:rPr>
                      <w:rFonts w:hint="default" w:ascii="Times New Roman" w:hAnsi="Times New Roman" w:eastAsia="宋体" w:cs="Times New Roman"/>
                      <w:color w:val="auto"/>
                      <w:sz w:val="21"/>
                      <w:szCs w:val="21"/>
                      <w:vertAlign w:val="baseline"/>
                      <w:lang w:val="en-US" w:eastAsia="zh-CN"/>
                    </w:rPr>
                    <w:t>数量</w:t>
                  </w:r>
                </w:p>
              </w:tc>
              <w:tc>
                <w:tcPr>
                  <w:tcW w:w="753" w:type="dxa"/>
                  <w:vAlign w:val="center"/>
                </w:tcPr>
                <w:p w14:paraId="7076D33E">
                  <w:pPr>
                    <w:pStyle w:val="152"/>
                    <w:keepNext w:val="0"/>
                    <w:keepLines w:val="0"/>
                    <w:widowControl w:val="0"/>
                    <w:numPr>
                      <w:ilvl w:val="0"/>
                      <w:numId w:val="0"/>
                    </w:numPr>
                    <w:suppressLineNumbers w:val="0"/>
                    <w:spacing w:before="0" w:beforeAutospacing="0" w:after="0" w:afterAutospacing="0"/>
                    <w:ind w:left="0" w:right="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增加量</w:t>
                  </w:r>
                </w:p>
              </w:tc>
              <w:tc>
                <w:tcPr>
                  <w:tcW w:w="1261" w:type="dxa"/>
                  <w:vAlign w:val="center"/>
                </w:tcPr>
                <w:p w14:paraId="0C1AFA8A">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对应工序</w:t>
                  </w:r>
                </w:p>
              </w:tc>
            </w:tr>
            <w:tr w14:paraId="321D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3D1EE4E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共用设备</w:t>
                  </w:r>
                </w:p>
              </w:tc>
              <w:tc>
                <w:tcPr>
                  <w:tcW w:w="2494" w:type="dxa"/>
                  <w:shd w:val="clear" w:color="auto" w:fill="auto"/>
                  <w:vAlign w:val="center"/>
                </w:tcPr>
                <w:p w14:paraId="2102FA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三维运动混合机</w:t>
                  </w:r>
                </w:p>
              </w:tc>
              <w:tc>
                <w:tcPr>
                  <w:tcW w:w="1644" w:type="dxa"/>
                  <w:shd w:val="clear" w:color="auto" w:fill="auto"/>
                  <w:vAlign w:val="center"/>
                </w:tcPr>
                <w:p w14:paraId="369162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SYH-400</w:t>
                  </w:r>
                </w:p>
              </w:tc>
              <w:tc>
                <w:tcPr>
                  <w:tcW w:w="930" w:type="dxa"/>
                  <w:shd w:val="clear" w:color="auto" w:fill="auto"/>
                  <w:vAlign w:val="center"/>
                </w:tcPr>
                <w:p w14:paraId="0E9FA3E9">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53F17B2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6FFA364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4B8DAF5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混料 配料</w:t>
                  </w:r>
                </w:p>
              </w:tc>
            </w:tr>
            <w:tr w14:paraId="7E80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AEDF7D8">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78D557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方锥混合机</w:t>
                  </w:r>
                </w:p>
              </w:tc>
              <w:tc>
                <w:tcPr>
                  <w:tcW w:w="1644" w:type="dxa"/>
                  <w:shd w:val="clear" w:color="auto" w:fill="auto"/>
                  <w:vAlign w:val="center"/>
                </w:tcPr>
                <w:p w14:paraId="1F3D1A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HF-2000</w:t>
                  </w:r>
                </w:p>
              </w:tc>
              <w:tc>
                <w:tcPr>
                  <w:tcW w:w="930" w:type="dxa"/>
                  <w:shd w:val="clear" w:color="auto" w:fill="auto"/>
                  <w:vAlign w:val="center"/>
                </w:tcPr>
                <w:p w14:paraId="2ACB333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6C40DF16">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590FA574">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54C9523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混料 配料</w:t>
                  </w:r>
                </w:p>
              </w:tc>
            </w:tr>
            <w:tr w14:paraId="4331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33B780B1">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7D026F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热风循环烘箱</w:t>
                  </w:r>
                </w:p>
              </w:tc>
              <w:tc>
                <w:tcPr>
                  <w:tcW w:w="1644" w:type="dxa"/>
                  <w:shd w:val="clear" w:color="auto" w:fill="auto"/>
                  <w:vAlign w:val="center"/>
                </w:tcPr>
                <w:p w14:paraId="1C3D80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CT-C-1</w:t>
                  </w:r>
                </w:p>
              </w:tc>
              <w:tc>
                <w:tcPr>
                  <w:tcW w:w="930" w:type="dxa"/>
                  <w:shd w:val="clear" w:color="auto" w:fill="auto"/>
                  <w:vAlign w:val="center"/>
                </w:tcPr>
                <w:p w14:paraId="55556C1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4169FE49">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6AB56F60">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52E48682">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烘干</w:t>
                  </w:r>
                </w:p>
              </w:tc>
            </w:tr>
            <w:tr w14:paraId="0E15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6F0EFC0C">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730AF1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eastAsia" w:ascii="Times New Roman" w:hAnsi="Times New Roman" w:eastAsia="宋体" w:cs="Times New Roman"/>
                      <w:i w:val="0"/>
                      <w:iCs w:val="0"/>
                      <w:color w:val="auto"/>
                      <w:kern w:val="0"/>
                      <w:sz w:val="21"/>
                      <w:szCs w:val="21"/>
                      <w:u w:val="none"/>
                      <w:lang w:val="en-US" w:eastAsia="zh-CN"/>
                    </w:rPr>
                    <w:t>过筛机</w:t>
                  </w:r>
                </w:p>
              </w:tc>
              <w:tc>
                <w:tcPr>
                  <w:tcW w:w="1644" w:type="dxa"/>
                  <w:shd w:val="clear" w:color="auto" w:fill="auto"/>
                  <w:vAlign w:val="center"/>
                </w:tcPr>
                <w:p w14:paraId="4079B4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eastAsia" w:ascii="Times New Roman" w:hAnsi="Times New Roman" w:eastAsia="宋体" w:cs="Times New Roman"/>
                      <w:i w:val="0"/>
                      <w:iCs w:val="0"/>
                      <w:color w:val="auto"/>
                      <w:kern w:val="0"/>
                      <w:sz w:val="21"/>
                      <w:szCs w:val="21"/>
                      <w:u w:val="none"/>
                      <w:lang w:val="en-US" w:eastAsia="zh-CN"/>
                    </w:rPr>
                    <w:t>/</w:t>
                  </w:r>
                </w:p>
              </w:tc>
              <w:tc>
                <w:tcPr>
                  <w:tcW w:w="930" w:type="dxa"/>
                  <w:shd w:val="clear" w:color="auto" w:fill="auto"/>
                  <w:vAlign w:val="center"/>
                </w:tcPr>
                <w:p w14:paraId="15D5B9EC">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584747DE">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3</w:t>
                  </w:r>
                </w:p>
              </w:tc>
              <w:tc>
                <w:tcPr>
                  <w:tcW w:w="753" w:type="dxa"/>
                  <w:shd w:val="clear" w:color="auto" w:fill="auto"/>
                  <w:vAlign w:val="center"/>
                </w:tcPr>
                <w:p w14:paraId="22C8D02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3</w:t>
                  </w:r>
                </w:p>
              </w:tc>
              <w:tc>
                <w:tcPr>
                  <w:tcW w:w="1261" w:type="dxa"/>
                  <w:shd w:val="clear" w:color="auto" w:fill="auto"/>
                  <w:vAlign w:val="center"/>
                </w:tcPr>
                <w:p w14:paraId="73E2B9DD">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过筛</w:t>
                  </w:r>
                </w:p>
              </w:tc>
            </w:tr>
            <w:tr w14:paraId="2B25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0DB32A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1A85B8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金检设备</w:t>
                  </w:r>
                </w:p>
              </w:tc>
              <w:tc>
                <w:tcPr>
                  <w:tcW w:w="1644" w:type="dxa"/>
                  <w:shd w:val="clear" w:color="auto" w:fill="auto"/>
                  <w:vAlign w:val="center"/>
                </w:tcPr>
                <w:p w14:paraId="0ABE114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30" w:type="dxa"/>
                  <w:shd w:val="clear" w:color="auto" w:fill="auto"/>
                  <w:vAlign w:val="center"/>
                </w:tcPr>
                <w:p w14:paraId="7227512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vertAlign w:val="baseline"/>
                      <w:lang w:val="en-US" w:eastAsia="zh-CN"/>
                    </w:rPr>
                    <w:t>0</w:t>
                  </w:r>
                </w:p>
              </w:tc>
              <w:tc>
                <w:tcPr>
                  <w:tcW w:w="930" w:type="dxa"/>
                  <w:shd w:val="clear" w:color="auto" w:fill="auto"/>
                  <w:vAlign w:val="center"/>
                </w:tcPr>
                <w:p w14:paraId="6EB7D64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w:t>
                  </w:r>
                </w:p>
              </w:tc>
              <w:tc>
                <w:tcPr>
                  <w:tcW w:w="753" w:type="dxa"/>
                  <w:shd w:val="clear" w:color="auto" w:fill="auto"/>
                  <w:vAlign w:val="center"/>
                </w:tcPr>
                <w:p w14:paraId="1978A9B7">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kern w:val="0"/>
                      <w:sz w:val="21"/>
                      <w:szCs w:val="21"/>
                      <w:lang w:val="en-US" w:eastAsia="zh-CN" w:bidi="ar-SA"/>
                    </w:rPr>
                    <w:t>3</w:t>
                  </w:r>
                </w:p>
              </w:tc>
              <w:tc>
                <w:tcPr>
                  <w:tcW w:w="1261" w:type="dxa"/>
                  <w:shd w:val="clear" w:color="auto" w:fill="auto"/>
                  <w:vAlign w:val="center"/>
                </w:tcPr>
                <w:p w14:paraId="4E8F8A2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金检</w:t>
                  </w:r>
                </w:p>
              </w:tc>
            </w:tr>
            <w:tr w14:paraId="687A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8CC0F7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73B0BF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背封自动包装机</w:t>
                  </w:r>
                </w:p>
              </w:tc>
              <w:tc>
                <w:tcPr>
                  <w:tcW w:w="1644" w:type="dxa"/>
                  <w:shd w:val="clear" w:color="auto" w:fill="auto"/>
                  <w:vAlign w:val="center"/>
                </w:tcPr>
                <w:p w14:paraId="0C8014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DCFYJ-150L</w:t>
                  </w:r>
                </w:p>
              </w:tc>
              <w:tc>
                <w:tcPr>
                  <w:tcW w:w="930" w:type="dxa"/>
                  <w:shd w:val="clear" w:color="auto" w:fill="auto"/>
                  <w:vAlign w:val="center"/>
                </w:tcPr>
                <w:p w14:paraId="5D77A514">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w:t>
                  </w:r>
                </w:p>
              </w:tc>
              <w:tc>
                <w:tcPr>
                  <w:tcW w:w="930" w:type="dxa"/>
                  <w:shd w:val="clear" w:color="auto" w:fill="auto"/>
                  <w:vAlign w:val="center"/>
                </w:tcPr>
                <w:p w14:paraId="165D9B4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w:t>
                  </w:r>
                </w:p>
              </w:tc>
              <w:tc>
                <w:tcPr>
                  <w:tcW w:w="753" w:type="dxa"/>
                  <w:shd w:val="clear" w:color="auto" w:fill="auto"/>
                  <w:vAlign w:val="center"/>
                </w:tcPr>
                <w:p w14:paraId="755BC3C6">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261" w:type="dxa"/>
                  <w:shd w:val="clear" w:color="auto" w:fill="auto"/>
                  <w:vAlign w:val="center"/>
                </w:tcPr>
                <w:p w14:paraId="26A31BE8">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充填</w:t>
                  </w:r>
                </w:p>
              </w:tc>
            </w:tr>
            <w:tr w14:paraId="3C51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083CF4C">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4BF8D7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小松包装机</w:t>
                  </w:r>
                </w:p>
              </w:tc>
              <w:tc>
                <w:tcPr>
                  <w:tcW w:w="1644" w:type="dxa"/>
                  <w:shd w:val="clear" w:color="auto" w:fill="auto"/>
                  <w:vAlign w:val="center"/>
                </w:tcPr>
                <w:p w14:paraId="390192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KCS-080</w:t>
                  </w:r>
                </w:p>
              </w:tc>
              <w:tc>
                <w:tcPr>
                  <w:tcW w:w="930" w:type="dxa"/>
                  <w:shd w:val="clear" w:color="auto" w:fill="auto"/>
                  <w:vAlign w:val="center"/>
                </w:tcPr>
                <w:p w14:paraId="5DE0F36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930" w:type="dxa"/>
                  <w:shd w:val="clear" w:color="auto" w:fill="auto"/>
                  <w:vAlign w:val="center"/>
                </w:tcPr>
                <w:p w14:paraId="12889282">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4778D7E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261" w:type="dxa"/>
                  <w:shd w:val="clear" w:color="auto" w:fill="auto"/>
                  <w:vAlign w:val="center"/>
                </w:tcPr>
                <w:p w14:paraId="07D0FBE7">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充填</w:t>
                  </w:r>
                </w:p>
              </w:tc>
            </w:tr>
            <w:tr w14:paraId="7BAD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35F0B6F7">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491EC6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rPr>
                    <w:t>激光</w:t>
                  </w:r>
                  <w:r>
                    <w:rPr>
                      <w:rFonts w:hint="default" w:ascii="Times New Roman" w:hAnsi="Times New Roman" w:eastAsia="宋体" w:cs="Times New Roman"/>
                      <w:i w:val="0"/>
                      <w:iCs w:val="0"/>
                      <w:color w:val="auto"/>
                      <w:kern w:val="0"/>
                      <w:sz w:val="21"/>
                      <w:szCs w:val="21"/>
                      <w:u w:val="none"/>
                      <w:lang w:val="en-US" w:eastAsia="zh-CN"/>
                    </w:rPr>
                    <w:t>喷码机</w:t>
                  </w:r>
                </w:p>
              </w:tc>
              <w:tc>
                <w:tcPr>
                  <w:tcW w:w="1644" w:type="dxa"/>
                  <w:shd w:val="clear" w:color="auto" w:fill="auto"/>
                  <w:vAlign w:val="center"/>
                </w:tcPr>
                <w:p w14:paraId="33298B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LL-280</w:t>
                  </w:r>
                </w:p>
              </w:tc>
              <w:tc>
                <w:tcPr>
                  <w:tcW w:w="930" w:type="dxa"/>
                  <w:shd w:val="clear" w:color="auto" w:fill="auto"/>
                  <w:vAlign w:val="center"/>
                </w:tcPr>
                <w:p w14:paraId="4674238B">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w:t>
                  </w:r>
                </w:p>
              </w:tc>
              <w:tc>
                <w:tcPr>
                  <w:tcW w:w="930" w:type="dxa"/>
                  <w:shd w:val="clear" w:color="auto" w:fill="auto"/>
                  <w:vAlign w:val="center"/>
                </w:tcPr>
                <w:p w14:paraId="56651962">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w:t>
                  </w:r>
                </w:p>
              </w:tc>
              <w:tc>
                <w:tcPr>
                  <w:tcW w:w="753" w:type="dxa"/>
                  <w:shd w:val="clear" w:color="auto" w:fill="auto"/>
                  <w:vAlign w:val="center"/>
                </w:tcPr>
                <w:p w14:paraId="23136347">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261" w:type="dxa"/>
                  <w:shd w:val="clear" w:color="auto" w:fill="auto"/>
                  <w:vAlign w:val="center"/>
                </w:tcPr>
                <w:p w14:paraId="231D856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喷印日期</w:t>
                  </w:r>
                </w:p>
              </w:tc>
            </w:tr>
            <w:tr w14:paraId="230E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15CD1B96">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6B0E8B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透明膜三维包装机</w:t>
                  </w:r>
                </w:p>
              </w:tc>
              <w:tc>
                <w:tcPr>
                  <w:tcW w:w="1644" w:type="dxa"/>
                  <w:shd w:val="clear" w:color="auto" w:fill="auto"/>
                  <w:vAlign w:val="center"/>
                </w:tcPr>
                <w:p w14:paraId="03F4C7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BTB-300B</w:t>
                  </w:r>
                </w:p>
              </w:tc>
              <w:tc>
                <w:tcPr>
                  <w:tcW w:w="930" w:type="dxa"/>
                  <w:shd w:val="clear" w:color="auto" w:fill="auto"/>
                  <w:vAlign w:val="center"/>
                </w:tcPr>
                <w:p w14:paraId="305A5057">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w:t>
                  </w:r>
                </w:p>
              </w:tc>
              <w:tc>
                <w:tcPr>
                  <w:tcW w:w="930" w:type="dxa"/>
                  <w:shd w:val="clear" w:color="auto" w:fill="auto"/>
                  <w:vAlign w:val="center"/>
                </w:tcPr>
                <w:p w14:paraId="0B1864C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20D76600">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28EF1BA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塑封</w:t>
                  </w:r>
                </w:p>
              </w:tc>
            </w:tr>
            <w:tr w14:paraId="08F6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20B6786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1048D5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可调式透明膜三维包装机</w:t>
                  </w:r>
                </w:p>
              </w:tc>
              <w:tc>
                <w:tcPr>
                  <w:tcW w:w="1644" w:type="dxa"/>
                  <w:shd w:val="clear" w:color="auto" w:fill="auto"/>
                  <w:vAlign w:val="center"/>
                </w:tcPr>
                <w:p w14:paraId="74C2A4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LY-480</w:t>
                  </w:r>
                </w:p>
              </w:tc>
              <w:tc>
                <w:tcPr>
                  <w:tcW w:w="930" w:type="dxa"/>
                  <w:shd w:val="clear" w:color="auto" w:fill="auto"/>
                  <w:vAlign w:val="center"/>
                </w:tcPr>
                <w:p w14:paraId="3E1F3BFE">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w:t>
                  </w:r>
                </w:p>
              </w:tc>
              <w:tc>
                <w:tcPr>
                  <w:tcW w:w="930" w:type="dxa"/>
                  <w:shd w:val="clear" w:color="auto" w:fill="auto"/>
                  <w:vAlign w:val="center"/>
                </w:tcPr>
                <w:p w14:paraId="176E8B7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0DBAEF9A">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6BA895C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塑封</w:t>
                  </w:r>
                </w:p>
              </w:tc>
            </w:tr>
            <w:tr w14:paraId="3727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0E6CAA1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压片糖果</w:t>
                  </w:r>
                </w:p>
              </w:tc>
              <w:tc>
                <w:tcPr>
                  <w:tcW w:w="2494" w:type="dxa"/>
                  <w:shd w:val="clear" w:color="auto" w:fill="auto"/>
                  <w:vAlign w:val="center"/>
                </w:tcPr>
                <w:p w14:paraId="68D541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旋转式压片机</w:t>
                  </w:r>
                </w:p>
              </w:tc>
              <w:tc>
                <w:tcPr>
                  <w:tcW w:w="1644" w:type="dxa"/>
                  <w:shd w:val="clear" w:color="auto" w:fill="auto"/>
                  <w:vAlign w:val="center"/>
                </w:tcPr>
                <w:p w14:paraId="1E82FE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ZP31E</w:t>
                  </w:r>
                </w:p>
              </w:tc>
              <w:tc>
                <w:tcPr>
                  <w:tcW w:w="930" w:type="dxa"/>
                  <w:shd w:val="clear" w:color="auto" w:fill="auto"/>
                  <w:vAlign w:val="center"/>
                </w:tcPr>
                <w:p w14:paraId="2C379D03">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269E259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712CE16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56FCF7F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压片</w:t>
                  </w:r>
                </w:p>
              </w:tc>
            </w:tr>
            <w:tr w14:paraId="6DC3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36D7FA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66DB55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包衣机</w:t>
                  </w:r>
                </w:p>
              </w:tc>
              <w:tc>
                <w:tcPr>
                  <w:tcW w:w="1644" w:type="dxa"/>
                  <w:shd w:val="clear" w:color="auto" w:fill="auto"/>
                  <w:vAlign w:val="center"/>
                </w:tcPr>
                <w:p w14:paraId="119A61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BG-150</w:t>
                  </w:r>
                </w:p>
              </w:tc>
              <w:tc>
                <w:tcPr>
                  <w:tcW w:w="930" w:type="dxa"/>
                  <w:shd w:val="clear" w:color="auto" w:fill="auto"/>
                  <w:vAlign w:val="center"/>
                </w:tcPr>
                <w:p w14:paraId="6DDD2A78">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7B162D78">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300EA5E2">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33CCF76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包衣</w:t>
                  </w:r>
                </w:p>
              </w:tc>
            </w:tr>
            <w:tr w14:paraId="6315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1FD5F4A0">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4B11DB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数粒分装线</w:t>
                  </w:r>
                </w:p>
              </w:tc>
              <w:tc>
                <w:tcPr>
                  <w:tcW w:w="1644" w:type="dxa"/>
                  <w:shd w:val="clear" w:color="auto" w:fill="auto"/>
                  <w:vAlign w:val="center"/>
                </w:tcPr>
                <w:p w14:paraId="689C011C">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c>
                <w:tcPr>
                  <w:tcW w:w="930" w:type="dxa"/>
                  <w:shd w:val="clear" w:color="auto" w:fill="auto"/>
                  <w:vAlign w:val="center"/>
                </w:tcPr>
                <w:p w14:paraId="0FF19A32">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34348337">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66060773">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37FAC2E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数粒装瓶</w:t>
                  </w:r>
                </w:p>
              </w:tc>
            </w:tr>
            <w:tr w14:paraId="70F3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27FF9BA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598BD3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eastAsia" w:ascii="Times New Roman" w:hAnsi="Times New Roman" w:eastAsia="宋体" w:cs="Times New Roman"/>
                      <w:i w:val="0"/>
                      <w:iCs w:val="0"/>
                      <w:color w:val="auto"/>
                      <w:kern w:val="0"/>
                      <w:sz w:val="21"/>
                      <w:szCs w:val="21"/>
                      <w:u w:val="none"/>
                      <w:lang w:val="en-US" w:eastAsia="zh-CN"/>
                    </w:rPr>
                    <w:t>制粒机</w:t>
                  </w:r>
                </w:p>
              </w:tc>
              <w:tc>
                <w:tcPr>
                  <w:tcW w:w="1644" w:type="dxa"/>
                  <w:shd w:val="clear" w:color="auto" w:fill="auto"/>
                  <w:vAlign w:val="center"/>
                </w:tcPr>
                <w:p w14:paraId="0F4AB83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w:t>
                  </w:r>
                </w:p>
              </w:tc>
              <w:tc>
                <w:tcPr>
                  <w:tcW w:w="930" w:type="dxa"/>
                  <w:shd w:val="clear" w:color="auto" w:fill="auto"/>
                  <w:vAlign w:val="center"/>
                </w:tcPr>
                <w:p w14:paraId="4B62D829">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5FECEF1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729C5DD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6D80F33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制粒</w:t>
                  </w:r>
                </w:p>
              </w:tc>
            </w:tr>
            <w:tr w14:paraId="2AD9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4C4A9AA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特膳饮品</w:t>
                  </w:r>
                </w:p>
              </w:tc>
              <w:tc>
                <w:tcPr>
                  <w:tcW w:w="2494" w:type="dxa"/>
                  <w:shd w:val="clear" w:color="auto" w:fill="auto"/>
                  <w:vAlign w:val="center"/>
                </w:tcPr>
                <w:p w14:paraId="50B0A0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夹层锅（熬煮）</w:t>
                  </w:r>
                </w:p>
              </w:tc>
              <w:tc>
                <w:tcPr>
                  <w:tcW w:w="1644" w:type="dxa"/>
                  <w:shd w:val="clear" w:color="auto" w:fill="auto"/>
                  <w:vAlign w:val="center"/>
                </w:tcPr>
                <w:p w14:paraId="7CF3D0EE">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c>
                <w:tcPr>
                  <w:tcW w:w="930" w:type="dxa"/>
                  <w:shd w:val="clear" w:color="auto" w:fill="auto"/>
                  <w:vAlign w:val="center"/>
                </w:tcPr>
                <w:p w14:paraId="47EDEBA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4DD40D9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3F93FE8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699F423E">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融料</w:t>
                  </w:r>
                </w:p>
              </w:tc>
            </w:tr>
            <w:tr w14:paraId="280C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76538F0B">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6A9EF8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巴氏杀菌线</w:t>
                  </w:r>
                </w:p>
              </w:tc>
              <w:tc>
                <w:tcPr>
                  <w:tcW w:w="1644" w:type="dxa"/>
                  <w:shd w:val="clear" w:color="auto" w:fill="auto"/>
                  <w:vAlign w:val="center"/>
                </w:tcPr>
                <w:p w14:paraId="3EB97122">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c>
                <w:tcPr>
                  <w:tcW w:w="930" w:type="dxa"/>
                  <w:shd w:val="clear" w:color="auto" w:fill="auto"/>
                  <w:vAlign w:val="center"/>
                </w:tcPr>
                <w:p w14:paraId="1427A74D">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338F4399">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5E8C29D7">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62CA6ACE">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杀菌</w:t>
                  </w:r>
                </w:p>
              </w:tc>
            </w:tr>
            <w:tr w14:paraId="4052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5AEE47A6">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果冻</w:t>
                  </w:r>
                </w:p>
              </w:tc>
              <w:tc>
                <w:tcPr>
                  <w:tcW w:w="2494" w:type="dxa"/>
                  <w:shd w:val="clear" w:color="auto" w:fill="auto"/>
                  <w:vAlign w:val="center"/>
                </w:tcPr>
                <w:p w14:paraId="6A0083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夹层锅（熬煮）</w:t>
                  </w:r>
                </w:p>
              </w:tc>
              <w:tc>
                <w:tcPr>
                  <w:tcW w:w="1644" w:type="dxa"/>
                  <w:shd w:val="clear" w:color="auto" w:fill="auto"/>
                  <w:vAlign w:val="center"/>
                </w:tcPr>
                <w:p w14:paraId="2D8EE9D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c>
                <w:tcPr>
                  <w:tcW w:w="930" w:type="dxa"/>
                  <w:shd w:val="clear" w:color="auto" w:fill="auto"/>
                  <w:vAlign w:val="center"/>
                </w:tcPr>
                <w:p w14:paraId="36C423DA">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79AA0A52">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08D975F2">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536DAF56">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融料</w:t>
                  </w:r>
                </w:p>
              </w:tc>
            </w:tr>
            <w:tr w14:paraId="22E2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3AEB8A95">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494" w:type="dxa"/>
                  <w:shd w:val="clear" w:color="auto" w:fill="auto"/>
                  <w:vAlign w:val="center"/>
                </w:tcPr>
                <w:p w14:paraId="60E5D4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气动液体成型包装机</w:t>
                  </w:r>
                </w:p>
              </w:tc>
              <w:tc>
                <w:tcPr>
                  <w:tcW w:w="1644" w:type="dxa"/>
                  <w:shd w:val="clear" w:color="auto" w:fill="auto"/>
                  <w:vAlign w:val="center"/>
                </w:tcPr>
                <w:p w14:paraId="26998E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HY-QY50R</w:t>
                  </w:r>
                </w:p>
              </w:tc>
              <w:tc>
                <w:tcPr>
                  <w:tcW w:w="930" w:type="dxa"/>
                  <w:shd w:val="clear" w:color="auto" w:fill="auto"/>
                  <w:vAlign w:val="center"/>
                </w:tcPr>
                <w:p w14:paraId="3072E72B">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710AAEB8">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4979C61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19AE8A3D">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充填</w:t>
                  </w:r>
                </w:p>
              </w:tc>
            </w:tr>
            <w:tr w14:paraId="2268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750CD74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494" w:type="dxa"/>
                  <w:shd w:val="clear" w:color="auto" w:fill="auto"/>
                  <w:vAlign w:val="center"/>
                </w:tcPr>
                <w:p w14:paraId="16F763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巴氏杀菌线</w:t>
                  </w:r>
                </w:p>
              </w:tc>
              <w:tc>
                <w:tcPr>
                  <w:tcW w:w="1644" w:type="dxa"/>
                  <w:shd w:val="clear" w:color="auto" w:fill="auto"/>
                  <w:vAlign w:val="center"/>
                </w:tcPr>
                <w:p w14:paraId="1BB1EEFC">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c>
                <w:tcPr>
                  <w:tcW w:w="930" w:type="dxa"/>
                  <w:shd w:val="clear" w:color="auto" w:fill="auto"/>
                  <w:vAlign w:val="center"/>
                </w:tcPr>
                <w:p w14:paraId="1665D01A">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5090928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0F929CEA">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38E0429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杀菌</w:t>
                  </w:r>
                </w:p>
              </w:tc>
            </w:tr>
            <w:tr w14:paraId="530F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restart"/>
                  <w:vAlign w:val="center"/>
                </w:tcPr>
                <w:p w14:paraId="71445B4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实验室器材</w:t>
                  </w:r>
                </w:p>
              </w:tc>
              <w:tc>
                <w:tcPr>
                  <w:tcW w:w="2494" w:type="dxa"/>
                  <w:shd w:val="clear" w:color="auto" w:fill="auto"/>
                  <w:vAlign w:val="center"/>
                </w:tcPr>
                <w:p w14:paraId="59CD2A1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电热恒温鼓风干燥箱</w:t>
                  </w:r>
                </w:p>
              </w:tc>
              <w:tc>
                <w:tcPr>
                  <w:tcW w:w="1644" w:type="dxa"/>
                  <w:shd w:val="clear" w:color="auto" w:fill="auto"/>
                  <w:vAlign w:val="center"/>
                </w:tcPr>
                <w:p w14:paraId="3C77889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DHG-9101-3A</w:t>
                  </w:r>
                </w:p>
              </w:tc>
              <w:tc>
                <w:tcPr>
                  <w:tcW w:w="930" w:type="dxa"/>
                  <w:shd w:val="clear" w:color="auto" w:fill="auto"/>
                  <w:vAlign w:val="center"/>
                </w:tcPr>
                <w:p w14:paraId="6ACBC85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683A55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753" w:type="dxa"/>
                  <w:shd w:val="clear" w:color="auto" w:fill="auto"/>
                  <w:vAlign w:val="center"/>
                </w:tcPr>
                <w:p w14:paraId="4F874CB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2</w:t>
                  </w:r>
                </w:p>
              </w:tc>
              <w:tc>
                <w:tcPr>
                  <w:tcW w:w="1261" w:type="dxa"/>
                  <w:shd w:val="clear" w:color="auto" w:fill="auto"/>
                  <w:vAlign w:val="center"/>
                </w:tcPr>
                <w:p w14:paraId="07C69B7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3E8E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02C80160">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054DDC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电热恒温培养箱</w:t>
                  </w:r>
                </w:p>
              </w:tc>
              <w:tc>
                <w:tcPr>
                  <w:tcW w:w="1644" w:type="dxa"/>
                  <w:shd w:val="clear" w:color="auto" w:fill="auto"/>
                  <w:vAlign w:val="center"/>
                </w:tcPr>
                <w:p w14:paraId="4E1623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HPX-9162MBE</w:t>
                  </w:r>
                </w:p>
              </w:tc>
              <w:tc>
                <w:tcPr>
                  <w:tcW w:w="930" w:type="dxa"/>
                  <w:shd w:val="clear" w:color="auto" w:fill="auto"/>
                  <w:vAlign w:val="center"/>
                </w:tcPr>
                <w:p w14:paraId="033D9F77">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789144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w:t>
                  </w:r>
                </w:p>
              </w:tc>
              <w:tc>
                <w:tcPr>
                  <w:tcW w:w="753" w:type="dxa"/>
                  <w:shd w:val="clear" w:color="auto" w:fill="auto"/>
                  <w:vAlign w:val="center"/>
                </w:tcPr>
                <w:p w14:paraId="1163F21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3</w:t>
                  </w:r>
                </w:p>
              </w:tc>
              <w:tc>
                <w:tcPr>
                  <w:tcW w:w="1261" w:type="dxa"/>
                  <w:shd w:val="clear" w:color="auto" w:fill="auto"/>
                  <w:vAlign w:val="center"/>
                </w:tcPr>
                <w:p w14:paraId="09C7349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w:t>
                  </w:r>
                </w:p>
              </w:tc>
            </w:tr>
            <w:tr w14:paraId="1095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2E400E96">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3AF70F8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立式压力蒸汽灭菌器</w:t>
                  </w:r>
                </w:p>
              </w:tc>
              <w:tc>
                <w:tcPr>
                  <w:tcW w:w="1644" w:type="dxa"/>
                  <w:shd w:val="clear" w:color="auto" w:fill="auto"/>
                  <w:vAlign w:val="center"/>
                </w:tcPr>
                <w:p w14:paraId="70BB9DA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YXQ-LS-75S11</w:t>
                  </w:r>
                </w:p>
              </w:tc>
              <w:tc>
                <w:tcPr>
                  <w:tcW w:w="930" w:type="dxa"/>
                  <w:shd w:val="clear" w:color="auto" w:fill="auto"/>
                  <w:vAlign w:val="center"/>
                </w:tcPr>
                <w:p w14:paraId="700A6BA9">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686A2D6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070EC86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3B197106">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54D5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4D8D459">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7BEFB7C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生化培养箱</w:t>
                  </w:r>
                </w:p>
              </w:tc>
              <w:tc>
                <w:tcPr>
                  <w:tcW w:w="1644" w:type="dxa"/>
                  <w:shd w:val="clear" w:color="auto" w:fill="auto"/>
                  <w:vAlign w:val="center"/>
                </w:tcPr>
                <w:p w14:paraId="49E38FB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SPX-250B-Z</w:t>
                  </w:r>
                </w:p>
              </w:tc>
              <w:tc>
                <w:tcPr>
                  <w:tcW w:w="930" w:type="dxa"/>
                  <w:shd w:val="clear" w:color="auto" w:fill="auto"/>
                  <w:vAlign w:val="center"/>
                </w:tcPr>
                <w:p w14:paraId="192E77D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3F84F59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7A6A6F7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5D7573D6">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0459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0C4897C8">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6C62B9F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超净工作台</w:t>
                  </w:r>
                </w:p>
              </w:tc>
              <w:tc>
                <w:tcPr>
                  <w:tcW w:w="1644" w:type="dxa"/>
                  <w:shd w:val="clear" w:color="auto" w:fill="auto"/>
                  <w:vAlign w:val="center"/>
                </w:tcPr>
                <w:p w14:paraId="509EC7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SJ-CJ-1C/1CU</w:t>
                  </w:r>
                </w:p>
              </w:tc>
              <w:tc>
                <w:tcPr>
                  <w:tcW w:w="930" w:type="dxa"/>
                  <w:shd w:val="clear" w:color="auto" w:fill="auto"/>
                  <w:vAlign w:val="center"/>
                </w:tcPr>
                <w:p w14:paraId="45E26CA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35E96E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753" w:type="dxa"/>
                  <w:shd w:val="clear" w:color="auto" w:fill="auto"/>
                  <w:vAlign w:val="center"/>
                </w:tcPr>
                <w:p w14:paraId="4C5082B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2</w:t>
                  </w:r>
                </w:p>
              </w:tc>
              <w:tc>
                <w:tcPr>
                  <w:tcW w:w="1261" w:type="dxa"/>
                  <w:shd w:val="clear" w:color="auto" w:fill="auto"/>
                  <w:vAlign w:val="center"/>
                </w:tcPr>
                <w:p w14:paraId="28A3A7ED">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5DCC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70649FB8">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03FE46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全自动智能型恒温恒湿培养箱</w:t>
                  </w:r>
                </w:p>
              </w:tc>
              <w:tc>
                <w:tcPr>
                  <w:tcW w:w="1644" w:type="dxa"/>
                  <w:shd w:val="clear" w:color="auto" w:fill="auto"/>
                  <w:vAlign w:val="center"/>
                </w:tcPr>
                <w:p w14:paraId="0C001D3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HWS-15013</w:t>
                  </w:r>
                </w:p>
              </w:tc>
              <w:tc>
                <w:tcPr>
                  <w:tcW w:w="930" w:type="dxa"/>
                  <w:shd w:val="clear" w:color="auto" w:fill="auto"/>
                  <w:vAlign w:val="center"/>
                </w:tcPr>
                <w:p w14:paraId="74D3CD4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7DED62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753" w:type="dxa"/>
                  <w:shd w:val="clear" w:color="auto" w:fill="auto"/>
                  <w:vAlign w:val="center"/>
                </w:tcPr>
                <w:p w14:paraId="1C9047D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2</w:t>
                  </w:r>
                </w:p>
              </w:tc>
              <w:tc>
                <w:tcPr>
                  <w:tcW w:w="1261" w:type="dxa"/>
                  <w:shd w:val="clear" w:color="auto" w:fill="auto"/>
                  <w:vAlign w:val="center"/>
                </w:tcPr>
                <w:p w14:paraId="54FC317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0A82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0D02EA6B">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08458E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真空干燥箱</w:t>
                  </w:r>
                </w:p>
              </w:tc>
              <w:tc>
                <w:tcPr>
                  <w:tcW w:w="1644" w:type="dxa"/>
                  <w:shd w:val="clear" w:color="auto" w:fill="auto"/>
                  <w:vAlign w:val="center"/>
                </w:tcPr>
                <w:p w14:paraId="0B6437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DZF-6020MBZ</w:t>
                  </w:r>
                </w:p>
              </w:tc>
              <w:tc>
                <w:tcPr>
                  <w:tcW w:w="930" w:type="dxa"/>
                  <w:shd w:val="clear" w:color="auto" w:fill="auto"/>
                  <w:vAlign w:val="center"/>
                </w:tcPr>
                <w:p w14:paraId="36AEFFB7">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5B7C04D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4D72F01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282CCC8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w:t>
                  </w:r>
                </w:p>
              </w:tc>
            </w:tr>
            <w:tr w14:paraId="43E4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1C8C03AF">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3302416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友田冷藏冰箱</w:t>
                  </w:r>
                </w:p>
              </w:tc>
              <w:tc>
                <w:tcPr>
                  <w:tcW w:w="1644" w:type="dxa"/>
                  <w:shd w:val="clear" w:color="auto" w:fill="auto"/>
                  <w:vAlign w:val="center"/>
                </w:tcPr>
                <w:p w14:paraId="0874D6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LC-768</w:t>
                  </w:r>
                </w:p>
              </w:tc>
              <w:tc>
                <w:tcPr>
                  <w:tcW w:w="930" w:type="dxa"/>
                  <w:shd w:val="clear" w:color="auto" w:fill="auto"/>
                  <w:vAlign w:val="center"/>
                </w:tcPr>
                <w:p w14:paraId="29994F10">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04B6C0D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29FE49C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07C5EE0E">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6020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0FD0A8F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5A1EFAA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中科美菱医用低温箱</w:t>
                  </w:r>
                </w:p>
              </w:tc>
              <w:tc>
                <w:tcPr>
                  <w:tcW w:w="1644" w:type="dxa"/>
                  <w:shd w:val="clear" w:color="auto" w:fill="auto"/>
                  <w:vAlign w:val="center"/>
                </w:tcPr>
                <w:p w14:paraId="2DF72E0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DW-YL270</w:t>
                  </w:r>
                </w:p>
              </w:tc>
              <w:tc>
                <w:tcPr>
                  <w:tcW w:w="930" w:type="dxa"/>
                  <w:shd w:val="clear" w:color="auto" w:fill="auto"/>
                  <w:vAlign w:val="center"/>
                </w:tcPr>
                <w:p w14:paraId="46D6648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473495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753" w:type="dxa"/>
                  <w:shd w:val="clear" w:color="auto" w:fill="auto"/>
                  <w:vAlign w:val="center"/>
                </w:tcPr>
                <w:p w14:paraId="4976E9E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2</w:t>
                  </w:r>
                </w:p>
              </w:tc>
              <w:tc>
                <w:tcPr>
                  <w:tcW w:w="1261" w:type="dxa"/>
                  <w:shd w:val="clear" w:color="auto" w:fill="auto"/>
                  <w:vAlign w:val="center"/>
                </w:tcPr>
                <w:p w14:paraId="2964A8FC">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15B1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16A0CC01">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023BA2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永新光学生物显微镜</w:t>
                  </w:r>
                </w:p>
              </w:tc>
              <w:tc>
                <w:tcPr>
                  <w:tcW w:w="1644" w:type="dxa"/>
                  <w:shd w:val="clear" w:color="auto" w:fill="auto"/>
                  <w:vAlign w:val="center"/>
                </w:tcPr>
                <w:p w14:paraId="0DC45F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N-300M</w:t>
                  </w:r>
                </w:p>
              </w:tc>
              <w:tc>
                <w:tcPr>
                  <w:tcW w:w="930" w:type="dxa"/>
                  <w:shd w:val="clear" w:color="auto" w:fill="auto"/>
                  <w:vAlign w:val="center"/>
                </w:tcPr>
                <w:p w14:paraId="75150CB6">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4AC86B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5836F4A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7E7D076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22DF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37" w:type="dxa"/>
                  <w:vMerge w:val="continue"/>
                  <w:vAlign w:val="center"/>
                </w:tcPr>
                <w:p w14:paraId="16E2E06F">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66E2F86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气相色谱系统</w:t>
                  </w:r>
                </w:p>
              </w:tc>
              <w:tc>
                <w:tcPr>
                  <w:tcW w:w="1644" w:type="dxa"/>
                  <w:shd w:val="clear" w:color="auto" w:fill="auto"/>
                  <w:vAlign w:val="center"/>
                </w:tcPr>
                <w:p w14:paraId="525CDE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8890</w:t>
                  </w:r>
                </w:p>
              </w:tc>
              <w:tc>
                <w:tcPr>
                  <w:tcW w:w="930" w:type="dxa"/>
                  <w:shd w:val="clear" w:color="auto" w:fill="auto"/>
                  <w:vAlign w:val="center"/>
                </w:tcPr>
                <w:p w14:paraId="553D533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471A46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01CE6E8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1F6E4F6D">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5E93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0339DA2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148803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超高效液相色谱系统</w:t>
                  </w:r>
                </w:p>
              </w:tc>
              <w:tc>
                <w:tcPr>
                  <w:tcW w:w="1644" w:type="dxa"/>
                  <w:shd w:val="clear" w:color="auto" w:fill="auto"/>
                  <w:vAlign w:val="center"/>
                </w:tcPr>
                <w:p w14:paraId="3FB83B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1290 Infinity III</w:t>
                  </w:r>
                </w:p>
              </w:tc>
              <w:tc>
                <w:tcPr>
                  <w:tcW w:w="930" w:type="dxa"/>
                  <w:shd w:val="clear" w:color="auto" w:fill="auto"/>
                  <w:vAlign w:val="center"/>
                </w:tcPr>
                <w:p w14:paraId="4D8F954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214A6DA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5922C68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6A114A7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w:t>
                  </w:r>
                </w:p>
              </w:tc>
            </w:tr>
            <w:tr w14:paraId="4D59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44FC8E7">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2194D33F">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浮游细菌采样器</w:t>
                  </w:r>
                </w:p>
              </w:tc>
              <w:tc>
                <w:tcPr>
                  <w:tcW w:w="1644" w:type="dxa"/>
                  <w:shd w:val="clear" w:color="auto" w:fill="auto"/>
                  <w:vAlign w:val="center"/>
                </w:tcPr>
                <w:p w14:paraId="5E32CA0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202361695</w:t>
                  </w:r>
                </w:p>
              </w:tc>
              <w:tc>
                <w:tcPr>
                  <w:tcW w:w="930" w:type="dxa"/>
                  <w:shd w:val="clear" w:color="auto" w:fill="auto"/>
                  <w:vAlign w:val="center"/>
                </w:tcPr>
                <w:p w14:paraId="5993F067">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0</w:t>
                  </w:r>
                </w:p>
              </w:tc>
              <w:tc>
                <w:tcPr>
                  <w:tcW w:w="930" w:type="dxa"/>
                  <w:shd w:val="clear" w:color="auto" w:fill="auto"/>
                  <w:vAlign w:val="center"/>
                </w:tcPr>
                <w:p w14:paraId="39832C57">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w:t>
                  </w:r>
                </w:p>
              </w:tc>
              <w:tc>
                <w:tcPr>
                  <w:tcW w:w="753" w:type="dxa"/>
                  <w:shd w:val="clear" w:color="auto" w:fill="auto"/>
                  <w:vAlign w:val="center"/>
                </w:tcPr>
                <w:p w14:paraId="6340FE1D">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2"/>
                      <w:sz w:val="21"/>
                      <w:szCs w:val="21"/>
                      <w:vertAlign w:val="baseline"/>
                      <w:lang w:val="en-US" w:eastAsia="zh-CN" w:bidi="ar-SA"/>
                    </w:rPr>
                    <w:t>1</w:t>
                  </w:r>
                </w:p>
              </w:tc>
              <w:tc>
                <w:tcPr>
                  <w:tcW w:w="1261" w:type="dxa"/>
                  <w:shd w:val="clear" w:color="auto" w:fill="auto"/>
                  <w:vAlign w:val="center"/>
                </w:tcPr>
                <w:p w14:paraId="13FB85A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0192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3296890">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2BDB095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ZHJ-E型激光尘埃粒子计数器</w:t>
                  </w:r>
                </w:p>
              </w:tc>
              <w:tc>
                <w:tcPr>
                  <w:tcW w:w="1644" w:type="dxa"/>
                  <w:shd w:val="clear" w:color="auto" w:fill="auto"/>
                  <w:vAlign w:val="center"/>
                </w:tcPr>
                <w:p w14:paraId="0C5F62F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109988</w:t>
                  </w:r>
                </w:p>
              </w:tc>
              <w:tc>
                <w:tcPr>
                  <w:tcW w:w="930" w:type="dxa"/>
                  <w:shd w:val="clear" w:color="auto" w:fill="auto"/>
                  <w:vAlign w:val="center"/>
                </w:tcPr>
                <w:p w14:paraId="5327B4AB">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0</w:t>
                  </w:r>
                </w:p>
              </w:tc>
              <w:tc>
                <w:tcPr>
                  <w:tcW w:w="930" w:type="dxa"/>
                  <w:shd w:val="clear" w:color="auto" w:fill="auto"/>
                  <w:vAlign w:val="center"/>
                </w:tcPr>
                <w:p w14:paraId="07290EB6">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w:t>
                  </w:r>
                </w:p>
              </w:tc>
              <w:tc>
                <w:tcPr>
                  <w:tcW w:w="753" w:type="dxa"/>
                  <w:shd w:val="clear" w:color="auto" w:fill="auto"/>
                  <w:vAlign w:val="center"/>
                </w:tcPr>
                <w:p w14:paraId="14320A2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2"/>
                      <w:sz w:val="21"/>
                      <w:szCs w:val="21"/>
                      <w:vertAlign w:val="baseline"/>
                      <w:lang w:val="en-US" w:eastAsia="zh-CN" w:bidi="ar-SA"/>
                    </w:rPr>
                    <w:t>1</w:t>
                  </w:r>
                </w:p>
              </w:tc>
              <w:tc>
                <w:tcPr>
                  <w:tcW w:w="1261" w:type="dxa"/>
                  <w:shd w:val="clear" w:color="auto" w:fill="auto"/>
                  <w:vAlign w:val="center"/>
                </w:tcPr>
                <w:p w14:paraId="6B8110B2">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0D85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5788FABA">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580222D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精准电子天平（国标水分）</w:t>
                  </w:r>
                </w:p>
              </w:tc>
              <w:tc>
                <w:tcPr>
                  <w:tcW w:w="1644" w:type="dxa"/>
                  <w:shd w:val="clear" w:color="auto" w:fill="auto"/>
                  <w:vAlign w:val="center"/>
                </w:tcPr>
                <w:p w14:paraId="31362B1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FA1204B（0-120g）</w:t>
                  </w:r>
                </w:p>
              </w:tc>
              <w:tc>
                <w:tcPr>
                  <w:tcW w:w="930" w:type="dxa"/>
                  <w:shd w:val="clear" w:color="auto" w:fill="auto"/>
                  <w:vAlign w:val="center"/>
                </w:tcPr>
                <w:p w14:paraId="1C6A0C0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vertAlign w:val="baseline"/>
                      <w:lang w:val="en-US" w:eastAsia="zh-CN"/>
                    </w:rPr>
                    <w:t>0</w:t>
                  </w:r>
                </w:p>
              </w:tc>
              <w:tc>
                <w:tcPr>
                  <w:tcW w:w="930" w:type="dxa"/>
                  <w:shd w:val="clear" w:color="auto" w:fill="auto"/>
                  <w:vAlign w:val="center"/>
                </w:tcPr>
                <w:p w14:paraId="739C0E6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753" w:type="dxa"/>
                  <w:shd w:val="clear" w:color="auto" w:fill="auto"/>
                  <w:vAlign w:val="center"/>
                </w:tcPr>
                <w:p w14:paraId="4A318DD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bidi="ar-SA"/>
                    </w:rPr>
                    <w:t>1</w:t>
                  </w:r>
                </w:p>
              </w:tc>
              <w:tc>
                <w:tcPr>
                  <w:tcW w:w="1261" w:type="dxa"/>
                  <w:shd w:val="clear" w:color="auto" w:fill="auto"/>
                  <w:vAlign w:val="center"/>
                </w:tcPr>
                <w:p w14:paraId="23E111B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6FD2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7D59BCD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vAlign w:val="center"/>
                </w:tcPr>
                <w:p w14:paraId="55E68E9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加热磁力搅拌器</w:t>
                  </w:r>
                </w:p>
              </w:tc>
              <w:tc>
                <w:tcPr>
                  <w:tcW w:w="1644" w:type="dxa"/>
                  <w:vAlign w:val="center"/>
                </w:tcPr>
                <w:p w14:paraId="52F246FA">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PC-620D</w:t>
                  </w:r>
                </w:p>
              </w:tc>
              <w:tc>
                <w:tcPr>
                  <w:tcW w:w="930" w:type="dxa"/>
                  <w:vAlign w:val="center"/>
                </w:tcPr>
                <w:p w14:paraId="683DE465">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7CE9E2E9">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21288DE9">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187D8D5C">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w:t>
                  </w:r>
                </w:p>
              </w:tc>
            </w:tr>
            <w:tr w14:paraId="1D01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37" w:type="dxa"/>
                  <w:vMerge w:val="continue"/>
                  <w:vAlign w:val="center"/>
                </w:tcPr>
                <w:p w14:paraId="1DCA617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vAlign w:val="center"/>
                </w:tcPr>
                <w:p w14:paraId="52F66C58">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脚踏式封口机</w:t>
                  </w:r>
                </w:p>
              </w:tc>
              <w:tc>
                <w:tcPr>
                  <w:tcW w:w="1644" w:type="dxa"/>
                  <w:vAlign w:val="center"/>
                </w:tcPr>
                <w:p w14:paraId="57183C82">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SF/-450X2</w:t>
                  </w:r>
                </w:p>
              </w:tc>
              <w:tc>
                <w:tcPr>
                  <w:tcW w:w="930" w:type="dxa"/>
                  <w:vAlign w:val="center"/>
                </w:tcPr>
                <w:p w14:paraId="7A04C07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52AA440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452CDBC3">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3EA8A2B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40C5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58FB85B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vAlign w:val="center"/>
                </w:tcPr>
                <w:p w14:paraId="737D8CF7">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电热恒温水浴锅</w:t>
                  </w:r>
                </w:p>
              </w:tc>
              <w:tc>
                <w:tcPr>
                  <w:tcW w:w="1644" w:type="dxa"/>
                  <w:vAlign w:val="center"/>
                </w:tcPr>
                <w:p w14:paraId="55A52BC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KHW-S-6</w:t>
                  </w:r>
                </w:p>
              </w:tc>
              <w:tc>
                <w:tcPr>
                  <w:tcW w:w="930" w:type="dxa"/>
                  <w:vAlign w:val="center"/>
                </w:tcPr>
                <w:p w14:paraId="3191DFAA">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4620F40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594CF1F5">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729D5C07">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323E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1BBA0D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vAlign w:val="center"/>
                </w:tcPr>
                <w:p w14:paraId="1E544AB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水分测定仪</w:t>
                  </w:r>
                </w:p>
              </w:tc>
              <w:tc>
                <w:tcPr>
                  <w:tcW w:w="1644" w:type="dxa"/>
                  <w:vAlign w:val="center"/>
                </w:tcPr>
                <w:p w14:paraId="212E1CD1">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P1038015</w:t>
                  </w:r>
                </w:p>
              </w:tc>
              <w:tc>
                <w:tcPr>
                  <w:tcW w:w="930" w:type="dxa"/>
                  <w:vAlign w:val="center"/>
                </w:tcPr>
                <w:p w14:paraId="7F511DB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7E808C88">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6A989D6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2D69E5A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6E78E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B1EBDA6">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vAlign w:val="center"/>
                </w:tcPr>
                <w:p w14:paraId="292E958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水分水活度仪</w:t>
                  </w:r>
                </w:p>
              </w:tc>
              <w:tc>
                <w:tcPr>
                  <w:tcW w:w="1644" w:type="dxa"/>
                  <w:vAlign w:val="center"/>
                </w:tcPr>
                <w:p w14:paraId="6607EBE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LABSWIFT-AW</w:t>
                  </w:r>
                </w:p>
              </w:tc>
              <w:tc>
                <w:tcPr>
                  <w:tcW w:w="930" w:type="dxa"/>
                  <w:vAlign w:val="center"/>
                </w:tcPr>
                <w:p w14:paraId="5EA988E2">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6DBDE275">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1B7B8505">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3FA371F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0A9E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594BF797">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52B91D60">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p</w:t>
                  </w:r>
                  <w:r>
                    <w:rPr>
                      <w:rFonts w:hint="default" w:ascii="Times New Roman" w:hAnsi="Times New Roman" w:eastAsia="宋体" w:cs="Times New Roman"/>
                      <w:color w:val="auto"/>
                      <w:sz w:val="21"/>
                      <w:szCs w:val="21"/>
                      <w:vertAlign w:val="baseline"/>
                      <w:lang w:val="en-US" w:eastAsia="zh-CN"/>
                    </w:rPr>
                    <w:t>H调节器</w:t>
                  </w:r>
                </w:p>
              </w:tc>
              <w:tc>
                <w:tcPr>
                  <w:tcW w:w="1644" w:type="dxa"/>
                  <w:shd w:val="clear" w:color="auto" w:fill="auto"/>
                  <w:vAlign w:val="center"/>
                </w:tcPr>
                <w:p w14:paraId="6F4E61F6">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PHS-3C</w:t>
                  </w:r>
                </w:p>
              </w:tc>
              <w:tc>
                <w:tcPr>
                  <w:tcW w:w="930" w:type="dxa"/>
                  <w:shd w:val="clear" w:color="auto" w:fill="auto"/>
                  <w:vAlign w:val="center"/>
                </w:tcPr>
                <w:p w14:paraId="468DC2AD">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37C88A8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4B522B06">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5A4CAF1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p>
              </w:tc>
            </w:tr>
            <w:tr w14:paraId="1D15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618D2F1A">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vAlign w:val="center"/>
                </w:tcPr>
                <w:p w14:paraId="206081A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涡旋振荡器</w:t>
                  </w:r>
                </w:p>
              </w:tc>
              <w:tc>
                <w:tcPr>
                  <w:tcW w:w="1644" w:type="dxa"/>
                  <w:vAlign w:val="center"/>
                </w:tcPr>
                <w:p w14:paraId="41D5FEF0">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88880018</w:t>
                  </w:r>
                </w:p>
              </w:tc>
              <w:tc>
                <w:tcPr>
                  <w:tcW w:w="930" w:type="dxa"/>
                  <w:vAlign w:val="center"/>
                </w:tcPr>
                <w:p w14:paraId="2F8C1B4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6311B16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58891DA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4AFB1C6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5E6C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2DB6E059">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公用设备</w:t>
                  </w:r>
                </w:p>
              </w:tc>
              <w:tc>
                <w:tcPr>
                  <w:tcW w:w="2494" w:type="dxa"/>
                  <w:vAlign w:val="center"/>
                </w:tcPr>
                <w:p w14:paraId="2036EE8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纯水制备系统</w:t>
                  </w:r>
                </w:p>
              </w:tc>
              <w:tc>
                <w:tcPr>
                  <w:tcW w:w="1644" w:type="dxa"/>
                  <w:vAlign w:val="center"/>
                </w:tcPr>
                <w:p w14:paraId="4DA0C486">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纯水制备率</w:t>
                  </w:r>
                  <w:r>
                    <w:rPr>
                      <w:rFonts w:hint="eastAsia" w:ascii="Times New Roman" w:hAnsi="Times New Roman" w:eastAsia="宋体" w:cs="Times New Roman"/>
                      <w:color w:val="auto"/>
                      <w:sz w:val="21"/>
                      <w:szCs w:val="21"/>
                      <w:vertAlign w:val="baseline"/>
                      <w:lang w:val="en-US" w:eastAsia="zh-CN"/>
                    </w:rPr>
                    <w:t>70</w:t>
                  </w:r>
                  <w:r>
                    <w:rPr>
                      <w:rFonts w:hint="default" w:ascii="Times New Roman" w:hAnsi="Times New Roman" w:eastAsia="宋体" w:cs="Times New Roman"/>
                      <w:color w:val="auto"/>
                      <w:sz w:val="21"/>
                      <w:szCs w:val="21"/>
                      <w:vertAlign w:val="baseline"/>
                      <w:lang w:val="en-US" w:eastAsia="zh-CN"/>
                    </w:rPr>
                    <w:t>%</w:t>
                  </w:r>
                </w:p>
              </w:tc>
              <w:tc>
                <w:tcPr>
                  <w:tcW w:w="930" w:type="dxa"/>
                  <w:vAlign w:val="center"/>
                </w:tcPr>
                <w:p w14:paraId="014F29B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68B481A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753" w:type="dxa"/>
                  <w:vAlign w:val="center"/>
                </w:tcPr>
                <w:p w14:paraId="2F75A41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w:t>
                  </w:r>
                </w:p>
              </w:tc>
              <w:tc>
                <w:tcPr>
                  <w:tcW w:w="1261" w:type="dxa"/>
                  <w:vAlign w:val="center"/>
                </w:tcPr>
                <w:p w14:paraId="746014B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w:t>
                  </w:r>
                </w:p>
              </w:tc>
            </w:tr>
            <w:tr w14:paraId="20FD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3EB92B68">
                  <w:pPr>
                    <w:pStyle w:val="152"/>
                    <w:keepNext w:val="0"/>
                    <w:keepLines w:val="0"/>
                    <w:widowControl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p>
              </w:tc>
              <w:tc>
                <w:tcPr>
                  <w:tcW w:w="2494" w:type="dxa"/>
                  <w:vAlign w:val="center"/>
                </w:tcPr>
                <w:p w14:paraId="39F2892C">
                  <w:pPr>
                    <w:pStyle w:val="152"/>
                    <w:keepNext w:val="0"/>
                    <w:keepLines w:val="0"/>
                    <w:widowControl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CIP清洗</w:t>
                  </w:r>
                  <w:r>
                    <w:rPr>
                      <w:rFonts w:hint="eastAsia" w:cs="Times New Roman"/>
                      <w:color w:val="auto"/>
                      <w:sz w:val="21"/>
                      <w:szCs w:val="21"/>
                      <w:vertAlign w:val="baseline"/>
                      <w:lang w:val="en-US" w:eastAsia="zh-CN"/>
                    </w:rPr>
                    <w:t>系统</w:t>
                  </w:r>
                </w:p>
              </w:tc>
              <w:tc>
                <w:tcPr>
                  <w:tcW w:w="1644" w:type="dxa"/>
                  <w:vAlign w:val="center"/>
                </w:tcPr>
                <w:p w14:paraId="3597EE5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930" w:type="dxa"/>
                  <w:vAlign w:val="center"/>
                </w:tcPr>
                <w:p w14:paraId="4D5F9B3B">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2DC079E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753" w:type="dxa"/>
                  <w:vAlign w:val="center"/>
                </w:tcPr>
                <w:p w14:paraId="629AA29D">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w:t>
                  </w:r>
                </w:p>
              </w:tc>
              <w:tc>
                <w:tcPr>
                  <w:tcW w:w="1261" w:type="dxa"/>
                  <w:vAlign w:val="center"/>
                </w:tcPr>
                <w:p w14:paraId="7D19D4CD">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bidi="ar-SA"/>
                    </w:rPr>
                    <w:t>/</w:t>
                  </w:r>
                </w:p>
              </w:tc>
            </w:tr>
            <w:tr w14:paraId="2A05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316E2A36">
                  <w:pPr>
                    <w:pStyle w:val="152"/>
                    <w:keepNext w:val="0"/>
                    <w:keepLines w:val="0"/>
                    <w:widowControl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p>
              </w:tc>
              <w:tc>
                <w:tcPr>
                  <w:tcW w:w="2494" w:type="dxa"/>
                  <w:vAlign w:val="center"/>
                </w:tcPr>
                <w:p w14:paraId="45F517DA">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蒸汽发生器</w:t>
                  </w:r>
                </w:p>
              </w:tc>
              <w:tc>
                <w:tcPr>
                  <w:tcW w:w="1644" w:type="dxa"/>
                  <w:vAlign w:val="center"/>
                </w:tcPr>
                <w:p w14:paraId="249CDD38">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额定蒸发量</w:t>
                  </w:r>
                  <w:r>
                    <w:rPr>
                      <w:rFonts w:hint="eastAsia"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t/h</w:t>
                  </w:r>
                </w:p>
              </w:tc>
              <w:tc>
                <w:tcPr>
                  <w:tcW w:w="930" w:type="dxa"/>
                  <w:vAlign w:val="center"/>
                </w:tcPr>
                <w:p w14:paraId="1A7EDD5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4E677B1F">
                  <w:pPr>
                    <w:pStyle w:val="152"/>
                    <w:keepNext w:val="0"/>
                    <w:keepLines w:val="0"/>
                    <w:widowControl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753" w:type="dxa"/>
                  <w:vAlign w:val="center"/>
                </w:tcPr>
                <w:p w14:paraId="3D4F37A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2</w:t>
                  </w:r>
                </w:p>
              </w:tc>
              <w:tc>
                <w:tcPr>
                  <w:tcW w:w="1261" w:type="dxa"/>
                  <w:vAlign w:val="center"/>
                </w:tcPr>
                <w:p w14:paraId="53136858">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w:t>
                  </w:r>
                </w:p>
              </w:tc>
            </w:tr>
          </w:tbl>
          <w:p w14:paraId="7AA36782">
            <w:pPr>
              <w:keepNext w:val="0"/>
              <w:keepLines w:val="0"/>
              <w:suppressLineNumbers w:val="0"/>
              <w:spacing w:before="0" w:beforeAutospacing="0" w:after="0" w:afterAutospacing="0" w:line="360" w:lineRule="auto"/>
              <w:ind w:left="0" w:right="0"/>
              <w:rPr>
                <w:rFonts w:hint="default" w:cs="宋体"/>
                <w:b/>
                <w:bCs/>
                <w:color w:val="auto"/>
                <w:sz w:val="24"/>
                <w:lang w:val="en-US" w:eastAsia="zh-CN"/>
              </w:rPr>
            </w:pPr>
            <w:r>
              <w:rPr>
                <w:rFonts w:hint="eastAsia" w:cs="宋体"/>
                <w:b w:val="0"/>
                <w:bCs w:val="0"/>
                <w:color w:val="auto"/>
                <w:sz w:val="21"/>
                <w:szCs w:val="21"/>
                <w:lang w:val="en-US" w:eastAsia="zh-CN"/>
              </w:rPr>
              <w:t>注：CIP清洗系统即原位清洗系统，是指不用拆开或移动装置，对与食品直接接触的设备内表面进行自动化清洗的系统。</w:t>
            </w:r>
          </w:p>
          <w:p w14:paraId="03C896CE">
            <w:pPr>
              <w:keepNext w:val="0"/>
              <w:keepLines w:val="0"/>
              <w:suppressLineNumbers w:val="0"/>
              <w:spacing w:before="0" w:beforeAutospacing="0" w:after="0" w:afterAutospacing="0" w:line="360" w:lineRule="auto"/>
              <w:ind w:left="0" w:right="0"/>
              <w:rPr>
                <w:rFonts w:hint="default"/>
                <w:color w:val="auto"/>
                <w:sz w:val="24"/>
              </w:rPr>
            </w:pPr>
            <w:r>
              <w:rPr>
                <w:rFonts w:hint="eastAsia" w:cs="宋体"/>
                <w:b/>
                <w:bCs/>
                <w:color w:val="auto"/>
                <w:sz w:val="24"/>
                <w:lang w:val="en-US" w:eastAsia="zh-CN"/>
              </w:rPr>
              <w:t>6</w:t>
            </w:r>
            <w:r>
              <w:rPr>
                <w:rFonts w:hint="eastAsia" w:cs="宋体"/>
                <w:b/>
                <w:bCs/>
                <w:color w:val="auto"/>
                <w:sz w:val="24"/>
              </w:rPr>
              <w:t>、公用工程</w:t>
            </w:r>
          </w:p>
          <w:p w14:paraId="538D0F4E">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s="宋体"/>
                <w:color w:val="auto"/>
                <w:sz w:val="24"/>
              </w:rPr>
              <w:t>（1）给水：本项目</w:t>
            </w:r>
            <w:r>
              <w:rPr>
                <w:rFonts w:hint="eastAsia" w:cs="宋体"/>
                <w:color w:val="auto"/>
                <w:sz w:val="24"/>
                <w:lang w:val="en-US" w:eastAsia="zh-CN"/>
              </w:rPr>
              <w:t>生产过程中的主要用水为员工生活用水、CIP设备清洗用水和纯水制备用水</w:t>
            </w:r>
            <w:r>
              <w:rPr>
                <w:rFonts w:hint="eastAsia" w:cs="宋体"/>
                <w:color w:val="auto"/>
                <w:sz w:val="24"/>
                <w:highlight w:val="none"/>
              </w:rPr>
              <w:t>。</w:t>
            </w:r>
          </w:p>
          <w:p w14:paraId="7C348A8F">
            <w:pPr>
              <w:keepNext w:val="0"/>
              <w:keepLines w:val="0"/>
              <w:suppressLineNumbers w:val="0"/>
              <w:spacing w:before="0" w:beforeAutospacing="0" w:after="0" w:afterAutospacing="0" w:line="360" w:lineRule="auto"/>
              <w:ind w:left="0" w:right="0" w:firstLine="480" w:firstLineChars="200"/>
              <w:rPr>
                <w:rFonts w:hint="eastAsia" w:cs="宋体"/>
                <w:color w:val="auto"/>
                <w:sz w:val="24"/>
              </w:rPr>
            </w:pPr>
            <w:r>
              <w:rPr>
                <w:rFonts w:hint="eastAsia" w:cs="宋体"/>
                <w:color w:val="auto"/>
                <w:sz w:val="24"/>
              </w:rPr>
              <w:t>（2）排水：</w:t>
            </w:r>
          </w:p>
          <w:p w14:paraId="30F261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i w:val="0"/>
                <w:iCs w:val="0"/>
                <w:caps w:val="0"/>
                <w:color w:val="auto"/>
                <w:spacing w:val="0"/>
                <w:sz w:val="24"/>
                <w:szCs w:val="24"/>
                <w:lang w:val="en-US" w:eastAsia="zh-CN"/>
              </w:rPr>
            </w:pPr>
            <w:r>
              <w:rPr>
                <w:rFonts w:hint="eastAsia" w:cs="Times New Roman"/>
                <w:i w:val="0"/>
                <w:iCs w:val="0"/>
                <w:caps w:val="0"/>
                <w:color w:val="auto"/>
                <w:spacing w:val="0"/>
                <w:sz w:val="24"/>
                <w:szCs w:val="24"/>
                <w:lang w:val="en-US" w:eastAsia="zh-CN"/>
              </w:rPr>
              <w:t>改造前本项目废水为员工生活污水，主要来源于员工日常生活办公、厕所冲洗水、食堂用水等，劳动定员10人，厂区提供食堂。根据《安徽省行业用水定额》（DB34/T 679-2025），用水系数15m</w:t>
            </w:r>
            <w:r>
              <w:rPr>
                <w:rFonts w:hint="eastAsia" w:cs="Times New Roman"/>
                <w:i w:val="0"/>
                <w:iCs w:val="0"/>
                <w:caps w:val="0"/>
                <w:color w:val="auto"/>
                <w:spacing w:val="0"/>
                <w:sz w:val="24"/>
                <w:szCs w:val="24"/>
                <w:vertAlign w:val="superscript"/>
                <w:lang w:val="en-US" w:eastAsia="zh-CN"/>
              </w:rPr>
              <w:t>3</w:t>
            </w:r>
            <w:r>
              <w:rPr>
                <w:rFonts w:hint="eastAsia" w:cs="Times New Roman"/>
                <w:i w:val="0"/>
                <w:iCs w:val="0"/>
                <w:caps w:val="0"/>
                <w:color w:val="auto"/>
                <w:spacing w:val="0"/>
                <w:sz w:val="24"/>
                <w:szCs w:val="24"/>
                <w:lang w:val="en-US" w:eastAsia="zh-CN"/>
              </w:rPr>
              <w:t>/（人</w:t>
            </w:r>
            <w:r>
              <w:rPr>
                <w:rFonts w:hint="default" w:cs="Times New Roman"/>
                <w:i w:val="0"/>
                <w:iCs w:val="0"/>
                <w:caps w:val="0"/>
                <w:color w:val="auto"/>
                <w:spacing w:val="0"/>
                <w:sz w:val="24"/>
                <w:szCs w:val="24"/>
                <w:lang w:val="en-US" w:eastAsia="zh-CN"/>
              </w:rPr>
              <w:t>·</w:t>
            </w:r>
            <w:r>
              <w:rPr>
                <w:rFonts w:hint="eastAsia" w:cs="Times New Roman"/>
                <w:i w:val="0"/>
                <w:iCs w:val="0"/>
                <w:caps w:val="0"/>
                <w:color w:val="auto"/>
                <w:spacing w:val="0"/>
                <w:sz w:val="24"/>
                <w:szCs w:val="24"/>
                <w:lang w:val="en-US" w:eastAsia="zh-CN"/>
              </w:rPr>
              <w:t>a），则用水量为0.5t/d（150t/a），污水产生系数按0.8计，则生活污水量0.4t/d（120t/a）。</w:t>
            </w:r>
          </w:p>
          <w:p w14:paraId="63AE02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s="Times New Roman"/>
                <w:i w:val="0"/>
                <w:iCs w:val="0"/>
                <w:caps w:val="0"/>
                <w:color w:val="auto"/>
                <w:spacing w:val="0"/>
                <w:sz w:val="24"/>
                <w:szCs w:val="24"/>
                <w:lang w:val="en-US" w:eastAsia="zh-CN"/>
              </w:rPr>
            </w:pPr>
            <w:r>
              <w:rPr>
                <w:rFonts w:hint="default" w:cs="Times New Roman"/>
                <w:i w:val="0"/>
                <w:iCs w:val="0"/>
                <w:caps w:val="0"/>
                <w:color w:val="auto"/>
                <w:spacing w:val="0"/>
                <w:sz w:val="24"/>
                <w:szCs w:val="24"/>
                <w:lang w:val="en-US" w:eastAsia="zh-CN"/>
              </w:rPr>
              <w:t>本项目</w:t>
            </w:r>
            <w:r>
              <w:rPr>
                <w:rFonts w:hint="eastAsia" w:cs="Times New Roman"/>
                <w:i w:val="0"/>
                <w:iCs w:val="0"/>
                <w:caps w:val="0"/>
                <w:color w:val="auto"/>
                <w:spacing w:val="0"/>
                <w:sz w:val="24"/>
                <w:szCs w:val="24"/>
                <w:lang w:val="en-US" w:eastAsia="zh-CN"/>
              </w:rPr>
              <w:t>改造前</w:t>
            </w:r>
            <w:r>
              <w:rPr>
                <w:rFonts w:hint="default" w:cs="Times New Roman"/>
                <w:i w:val="0"/>
                <w:iCs w:val="0"/>
                <w:caps w:val="0"/>
                <w:color w:val="auto"/>
                <w:spacing w:val="0"/>
                <w:sz w:val="24"/>
                <w:szCs w:val="24"/>
                <w:lang w:val="en-US" w:eastAsia="zh-CN"/>
              </w:rPr>
              <w:t>水平衡图见下：</w:t>
            </w:r>
          </w:p>
          <w:p w14:paraId="065B1E2C">
            <w:pPr>
              <w:keepNext w:val="0"/>
              <w:keepLines w:val="0"/>
              <w:suppressLineNumbers w:val="0"/>
              <w:spacing w:before="0" w:beforeAutospacing="0" w:after="0" w:afterAutospacing="0" w:line="360" w:lineRule="auto"/>
              <w:ind w:left="0" w:right="0"/>
              <w:jc w:val="center"/>
              <w:rPr>
                <w:rFonts w:hint="default" w:ascii="Times New Roman" w:cs="Times New Roman"/>
                <w:color w:val="auto"/>
              </w:rPr>
            </w:pPr>
            <w:r>
              <w:rPr>
                <w:rFonts w:hint="default" w:ascii="Times New Roman" w:cs="Times New Roman"/>
                <w:color w:val="auto"/>
              </w:rPr>
              <w:object>
                <v:shape id="_x0000_i1025" o:spt="75" type="#_x0000_t75" style="height:71.8pt;width:405.25pt;" o:ole="t" filled="f" o:preferrelative="t" stroked="f" coordsize="21600,21600">
                  <v:path/>
                  <v:fill on="f" focussize="0,0"/>
                  <v:stroke on="f"/>
                  <v:imagedata r:id="rId12" o:title=""/>
                  <o:lock v:ext="edit" aspectratio="t"/>
                  <w10:wrap type="none"/>
                  <w10:anchorlock/>
                </v:shape>
                <o:OLEObject Type="Embed" ProgID="RFFlow4" ShapeID="_x0000_i1025" DrawAspect="Content" ObjectID="_1468075725" r:id="rId11">
                  <o:LockedField>false</o:LockedField>
                </o:OLEObject>
              </w:object>
            </w:r>
          </w:p>
          <w:p w14:paraId="28F3A306">
            <w:pPr>
              <w:keepNext w:val="0"/>
              <w:keepLines w:val="0"/>
              <w:suppressLineNumbers w:val="0"/>
              <w:spacing w:before="0" w:beforeAutospacing="0" w:after="0" w:afterAutospacing="0" w:line="360" w:lineRule="auto"/>
              <w:ind w:left="0" w:right="0" w:firstLine="482" w:firstLineChars="200"/>
              <w:jc w:val="center"/>
              <w:rPr>
                <w:rFonts w:hint="default"/>
                <w:b/>
                <w:bCs/>
                <w:color w:val="auto"/>
                <w:sz w:val="24"/>
                <w:lang w:val="en-US" w:eastAsia="zh-CN"/>
              </w:rPr>
            </w:pPr>
            <w:r>
              <w:rPr>
                <w:rFonts w:hint="eastAsia" w:ascii="Times New Roman" w:hAnsi="Times New Roman" w:eastAsia="宋体" w:cs="Times New Roman"/>
                <w:b/>
                <w:bCs/>
                <w:color w:val="auto"/>
                <w:sz w:val="24"/>
                <w:lang w:val="en-US" w:eastAsia="zh-CN"/>
              </w:rPr>
              <w:t>图2.1</w:t>
            </w:r>
            <w:r>
              <w:rPr>
                <w:rFonts w:hint="default" w:ascii="Times New Roman" w:hAnsi="Times New Roman" w:eastAsia="宋体" w:cs="Times New Roman"/>
                <w:b/>
                <w:bCs/>
                <w:color w:val="auto"/>
                <w:sz w:val="24"/>
                <w:lang w:val="en-US" w:eastAsia="zh-CN"/>
              </w:rPr>
              <w:t>本</w:t>
            </w:r>
            <w:r>
              <w:rPr>
                <w:rFonts w:hint="default"/>
                <w:b/>
                <w:bCs/>
                <w:color w:val="auto"/>
                <w:sz w:val="24"/>
                <w:lang w:val="en-US" w:eastAsia="zh-CN"/>
              </w:rPr>
              <w:t>项目</w:t>
            </w:r>
            <w:r>
              <w:rPr>
                <w:rFonts w:hint="eastAsia"/>
                <w:b/>
                <w:bCs/>
                <w:color w:val="auto"/>
                <w:sz w:val="24"/>
                <w:lang w:val="en-US" w:eastAsia="zh-CN"/>
              </w:rPr>
              <w:t>改造前</w:t>
            </w:r>
            <w:r>
              <w:rPr>
                <w:rFonts w:hint="default"/>
                <w:b/>
                <w:bCs/>
                <w:color w:val="auto"/>
                <w:sz w:val="24"/>
                <w:lang w:val="en-US" w:eastAsia="zh-CN"/>
              </w:rPr>
              <w:t>水平衡图</w:t>
            </w:r>
            <w:r>
              <w:rPr>
                <w:rFonts w:hint="default"/>
                <w:b/>
                <w:bCs/>
                <w:color w:val="auto"/>
                <w:highlight w:val="none"/>
              </w:rPr>
              <w:t>（m</w:t>
            </w:r>
            <w:r>
              <w:rPr>
                <w:rFonts w:hint="default"/>
                <w:b/>
                <w:bCs/>
                <w:color w:val="auto"/>
                <w:highlight w:val="none"/>
                <w:vertAlign w:val="superscript"/>
              </w:rPr>
              <w:t>3</w:t>
            </w:r>
            <w:r>
              <w:rPr>
                <w:rFonts w:hint="default"/>
                <w:b/>
                <w:bCs/>
                <w:color w:val="auto"/>
                <w:highlight w:val="none"/>
              </w:rPr>
              <w:t>/d）</w:t>
            </w:r>
          </w:p>
          <w:p w14:paraId="0B7724EA">
            <w:pPr>
              <w:keepNext w:val="0"/>
              <w:keepLines w:val="0"/>
              <w:suppressLineNumbers w:val="0"/>
              <w:spacing w:before="0" w:beforeAutospacing="0" w:after="0" w:afterAutospacing="0" w:line="360" w:lineRule="auto"/>
              <w:ind w:left="0" w:right="0" w:firstLine="480" w:firstLineChars="200"/>
              <w:rPr>
                <w:rFonts w:hint="eastAsia" w:ascii="宋体" w:hAnsi="宋体" w:cs="宋体"/>
                <w:color w:val="auto"/>
                <w:sz w:val="24"/>
                <w:lang w:val="en-US" w:eastAsia="zh-CN"/>
              </w:rPr>
            </w:pPr>
            <w:r>
              <w:rPr>
                <w:rFonts w:hint="eastAsia" w:cs="Times New Roman"/>
                <w:i w:val="0"/>
                <w:iCs w:val="0"/>
                <w:caps w:val="0"/>
                <w:color w:val="auto"/>
                <w:spacing w:val="0"/>
                <w:sz w:val="24"/>
                <w:szCs w:val="24"/>
                <w:lang w:val="en-US" w:eastAsia="zh-CN"/>
              </w:rPr>
              <w:t>项目生活污水经隔油池+化粪池处理；改造后新增设备清洗废水、保洁废水、实验室清洗废水。</w:t>
            </w:r>
            <w:r>
              <w:rPr>
                <w:rFonts w:hint="eastAsia" w:cs="宋体"/>
                <w:color w:val="auto"/>
                <w:sz w:val="24"/>
                <w:lang w:val="en-US" w:eastAsia="zh-CN"/>
              </w:rPr>
              <w:t>设备清洗废水、保洁废水、实验室清洗废水经调节池+水解酸化池+接触氧化池+沉淀池处理后与纯水制备废水、处理后的生活污水一起排入汴北污水处理厂进一步处理。废水执行《污水综合排放标准》（GB8978-1996）中的三级标准，并满足汴北污水处理厂的接管要求，污水处理厂尾水达标后排入运粮河</w:t>
            </w:r>
            <w:r>
              <w:rPr>
                <w:rFonts w:hint="eastAsia" w:ascii="宋体" w:hAnsi="宋体" w:cs="宋体"/>
                <w:color w:val="auto"/>
                <w:sz w:val="24"/>
                <w:lang w:val="en-US" w:eastAsia="zh-CN"/>
              </w:rPr>
              <w:t>。</w:t>
            </w:r>
          </w:p>
          <w:p w14:paraId="17EB903C">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eastAsia"/>
                <w:color w:val="auto"/>
                <w:sz w:val="24"/>
                <w:lang w:val="en-US" w:eastAsia="zh-CN"/>
              </w:rPr>
              <w:t>①</w:t>
            </w:r>
            <w:r>
              <w:rPr>
                <w:rFonts w:hint="default"/>
                <w:color w:val="auto"/>
                <w:sz w:val="24"/>
                <w:lang w:val="en-US" w:eastAsia="zh-CN"/>
              </w:rPr>
              <w:t>员工生活用排水</w:t>
            </w:r>
          </w:p>
          <w:p w14:paraId="135EE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auto"/>
                <w:spacing w:val="0"/>
                <w:sz w:val="24"/>
                <w:szCs w:val="24"/>
                <w:lang w:val="en-US" w:eastAsia="zh-CN"/>
              </w:rPr>
            </w:pPr>
            <w:r>
              <w:rPr>
                <w:rFonts w:hint="eastAsia" w:ascii="Times New Roman" w:hAnsi="Times New Roman" w:eastAsia="宋体" w:cs="Times New Roman"/>
                <w:i w:val="0"/>
                <w:iCs w:val="0"/>
                <w:caps w:val="0"/>
                <w:color w:val="auto"/>
                <w:spacing w:val="0"/>
                <w:sz w:val="24"/>
                <w:szCs w:val="24"/>
                <w:lang w:val="en-US" w:eastAsia="zh-CN"/>
              </w:rPr>
              <w:t>主要来源于员工日常生活办公、厕所冲洗水、食堂用水等。</w:t>
            </w:r>
            <w:r>
              <w:rPr>
                <w:rFonts w:hint="eastAsia" w:cs="Times New Roman"/>
                <w:i w:val="0"/>
                <w:iCs w:val="0"/>
                <w:caps w:val="0"/>
                <w:color w:val="auto"/>
                <w:spacing w:val="0"/>
                <w:sz w:val="24"/>
                <w:szCs w:val="24"/>
                <w:lang w:val="en-US" w:eastAsia="zh-CN"/>
              </w:rPr>
              <w:t>改造后</w:t>
            </w:r>
            <w:r>
              <w:rPr>
                <w:rFonts w:hint="eastAsia" w:ascii="Times New Roman" w:hAnsi="Times New Roman" w:eastAsia="宋体" w:cs="Times New Roman"/>
                <w:i w:val="0"/>
                <w:iCs w:val="0"/>
                <w:caps w:val="0"/>
                <w:color w:val="auto"/>
                <w:spacing w:val="0"/>
                <w:sz w:val="24"/>
                <w:szCs w:val="24"/>
                <w:lang w:val="en-US" w:eastAsia="zh-CN"/>
              </w:rPr>
              <w:t>项目劳动定员</w:t>
            </w:r>
            <w:r>
              <w:rPr>
                <w:rFonts w:hint="eastAsia" w:ascii="Times New Roman" w:hAnsi="Times New Roman" w:eastAsia="宋体" w:cs="Times New Roman"/>
                <w:i w:val="0"/>
                <w:iCs w:val="0"/>
                <w:caps w:val="0"/>
                <w:color w:val="auto"/>
                <w:spacing w:val="0"/>
                <w:sz w:val="24"/>
                <w:szCs w:val="24"/>
                <w:highlight w:val="none"/>
                <w:lang w:val="en-US" w:eastAsia="zh-CN"/>
              </w:rPr>
              <w:t>60人</w:t>
            </w:r>
            <w:r>
              <w:rPr>
                <w:rFonts w:hint="eastAsia" w:ascii="Times New Roman" w:hAnsi="Times New Roman" w:eastAsia="宋体" w:cs="Times New Roman"/>
                <w:i w:val="0"/>
                <w:iCs w:val="0"/>
                <w:caps w:val="0"/>
                <w:color w:val="auto"/>
                <w:spacing w:val="0"/>
                <w:sz w:val="24"/>
                <w:szCs w:val="24"/>
                <w:lang w:val="en-US" w:eastAsia="zh-CN"/>
              </w:rPr>
              <w:t>，厂区提供食堂。根据</w:t>
            </w:r>
            <w:bookmarkStart w:id="2" w:name="OLE_LINK12"/>
            <w:r>
              <w:rPr>
                <w:rFonts w:hint="eastAsia" w:ascii="Times New Roman" w:hAnsi="Times New Roman" w:eastAsia="宋体" w:cs="Times New Roman"/>
                <w:i w:val="0"/>
                <w:iCs w:val="0"/>
                <w:caps w:val="0"/>
                <w:color w:val="auto"/>
                <w:spacing w:val="0"/>
                <w:sz w:val="24"/>
                <w:szCs w:val="24"/>
                <w:lang w:val="en-US" w:eastAsia="zh-CN"/>
              </w:rPr>
              <w:t>《安徽省行业用水定额》（DB34/T 679-2025）</w:t>
            </w:r>
            <w:bookmarkEnd w:id="2"/>
            <w:r>
              <w:rPr>
                <w:rFonts w:hint="eastAsia" w:ascii="Times New Roman" w:hAnsi="Times New Roman" w:eastAsia="宋体" w:cs="Times New Roman"/>
                <w:i w:val="0"/>
                <w:iCs w:val="0"/>
                <w:caps w:val="0"/>
                <w:color w:val="auto"/>
                <w:spacing w:val="0"/>
                <w:sz w:val="24"/>
                <w:szCs w:val="24"/>
                <w:lang w:val="en-US" w:eastAsia="zh-CN"/>
              </w:rPr>
              <w:t>，用水系数15m</w:t>
            </w:r>
            <w:r>
              <w:rPr>
                <w:rFonts w:hint="eastAsia" w:ascii="Times New Roman" w:hAnsi="Times New Roman" w:eastAsia="宋体" w:cs="Times New Roman"/>
                <w:i w:val="0"/>
                <w:iCs w:val="0"/>
                <w:caps w:val="0"/>
                <w:color w:val="auto"/>
                <w:spacing w:val="0"/>
                <w:sz w:val="24"/>
                <w:szCs w:val="24"/>
                <w:vertAlign w:val="superscript"/>
                <w:lang w:val="en-US" w:eastAsia="zh-CN"/>
              </w:rPr>
              <w:t>3</w:t>
            </w:r>
            <w:r>
              <w:rPr>
                <w:rFonts w:hint="eastAsia" w:ascii="Times New Roman" w:hAnsi="Times New Roman" w:eastAsia="宋体" w:cs="Times New Roman"/>
                <w:i w:val="0"/>
                <w:iCs w:val="0"/>
                <w:caps w:val="0"/>
                <w:color w:val="auto"/>
                <w:spacing w:val="0"/>
                <w:sz w:val="24"/>
                <w:szCs w:val="24"/>
                <w:lang w:val="en-US" w:eastAsia="zh-CN"/>
              </w:rPr>
              <w:t>/（人</w:t>
            </w:r>
            <w:r>
              <w:rPr>
                <w:rFonts w:hint="default" w:ascii="Times New Roman" w:hAnsi="Times New Roman" w:eastAsia="宋体" w:cs="Times New Roman"/>
                <w:i w:val="0"/>
                <w:iCs w:val="0"/>
                <w:caps w:val="0"/>
                <w:color w:val="auto"/>
                <w:spacing w:val="0"/>
                <w:sz w:val="24"/>
                <w:szCs w:val="24"/>
                <w:lang w:val="en-US" w:eastAsia="zh-CN"/>
              </w:rPr>
              <w:t>·</w:t>
            </w:r>
            <w:r>
              <w:rPr>
                <w:rFonts w:hint="eastAsia" w:ascii="Times New Roman" w:hAnsi="Times New Roman" w:eastAsia="宋体" w:cs="Times New Roman"/>
                <w:i w:val="0"/>
                <w:iCs w:val="0"/>
                <w:caps w:val="0"/>
                <w:color w:val="auto"/>
                <w:spacing w:val="0"/>
                <w:sz w:val="24"/>
                <w:szCs w:val="24"/>
                <w:lang w:val="en-US" w:eastAsia="zh-CN"/>
              </w:rPr>
              <w:t>a），则用水量为3t/d（900t/a），污水产生系数按0.8计，则生活污水量2.4t/d（720t/a）。</w:t>
            </w:r>
          </w:p>
          <w:p w14:paraId="0E151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Times New Roman"/>
                <w:color w:val="auto"/>
                <w:lang w:val="en-US" w:eastAsia="zh-CN"/>
              </w:rPr>
            </w:pPr>
            <w:r>
              <w:rPr>
                <w:rFonts w:hint="eastAsia" w:ascii="Times New Roman" w:hAnsi="Times New Roman" w:eastAsia="宋体" w:cs="Times New Roman"/>
                <w:i w:val="0"/>
                <w:iCs w:val="0"/>
                <w:caps w:val="0"/>
                <w:color w:val="auto"/>
                <w:spacing w:val="0"/>
                <w:sz w:val="24"/>
                <w:szCs w:val="24"/>
                <w:lang w:val="en-US" w:eastAsia="zh-CN"/>
              </w:rPr>
              <w:t>因此，员工生活用水量为3t/d（900t/a），生活污水量2.4t/d（720t/a）。</w:t>
            </w:r>
          </w:p>
          <w:p w14:paraId="77B667EA">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eastAsia"/>
                <w:color w:val="auto"/>
                <w:sz w:val="24"/>
                <w:lang w:val="en-US" w:eastAsia="zh-CN"/>
              </w:rPr>
              <w:t>②</w:t>
            </w:r>
            <w:r>
              <w:rPr>
                <w:rFonts w:hint="default"/>
                <w:color w:val="auto"/>
                <w:sz w:val="24"/>
                <w:lang w:val="en-US" w:eastAsia="zh-CN"/>
              </w:rPr>
              <w:t>CIP设备清洗用排水</w:t>
            </w:r>
          </w:p>
          <w:p w14:paraId="2ACBB05D">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default" w:ascii="Times New Roman" w:hAnsi="Times New Roman" w:eastAsia="宋体" w:cs="Times New Roman"/>
                <w:color w:val="auto"/>
                <w:sz w:val="24"/>
                <w:lang w:val="en-US" w:eastAsia="zh-CN"/>
              </w:rPr>
              <w:t>本项目涉及液体物料的设备及管道冲洗采用CIP清洗系统，仅涉及粉末的设备</w:t>
            </w:r>
            <w:r>
              <w:rPr>
                <w:rFonts w:hint="eastAsia" w:ascii="Times New Roman" w:hAnsi="Times New Roman" w:eastAsia="宋体" w:cs="Times New Roman"/>
                <w:color w:val="auto"/>
                <w:sz w:val="24"/>
                <w:lang w:val="en-US" w:eastAsia="zh-CN"/>
              </w:rPr>
              <w:t>采用空气吹扫，</w:t>
            </w:r>
            <w:r>
              <w:rPr>
                <w:rFonts w:hint="default"/>
                <w:color w:val="auto"/>
                <w:sz w:val="24"/>
                <w:lang w:val="en-US" w:eastAsia="zh-CN"/>
              </w:rPr>
              <w:t>根据企业提供资料，项目设备单次清洗用水为3t，平均2天清洗一次，年清洗次数约150次，则设备清洗用水量为450t/a（</w:t>
            </w:r>
            <w:r>
              <w:rPr>
                <w:rFonts w:hint="eastAsia"/>
                <w:color w:val="auto"/>
                <w:sz w:val="24"/>
                <w:lang w:val="en-US" w:eastAsia="zh-CN"/>
              </w:rPr>
              <w:t>折合</w:t>
            </w:r>
            <w:r>
              <w:rPr>
                <w:rFonts w:hint="default"/>
                <w:color w:val="auto"/>
                <w:sz w:val="24"/>
                <w:lang w:val="en-US" w:eastAsia="zh-CN"/>
              </w:rPr>
              <w:t>1.5t/d）。设备清洗废水产生量按照用水量的0.9计，清洗废水产生量为405t/a（</w:t>
            </w:r>
            <w:r>
              <w:rPr>
                <w:rFonts w:hint="eastAsia"/>
                <w:color w:val="auto"/>
                <w:sz w:val="24"/>
                <w:lang w:val="en-US" w:eastAsia="zh-CN"/>
              </w:rPr>
              <w:t>折合</w:t>
            </w:r>
            <w:r>
              <w:rPr>
                <w:rFonts w:hint="default"/>
                <w:color w:val="auto"/>
                <w:sz w:val="24"/>
                <w:lang w:val="en-US" w:eastAsia="zh-CN"/>
              </w:rPr>
              <w:t>1.35t/d）。</w:t>
            </w:r>
          </w:p>
          <w:p w14:paraId="18BCF518">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eastAsia"/>
                <w:color w:val="auto"/>
                <w:sz w:val="24"/>
                <w:lang w:val="en-US" w:eastAsia="zh-CN"/>
              </w:rPr>
              <w:t>③</w:t>
            </w:r>
            <w:r>
              <w:rPr>
                <w:rFonts w:hint="default"/>
                <w:color w:val="auto"/>
                <w:sz w:val="24"/>
                <w:lang w:val="en-US" w:eastAsia="zh-CN"/>
              </w:rPr>
              <w:t>纯水制备用排水</w:t>
            </w:r>
          </w:p>
          <w:p w14:paraId="01F656F6">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default"/>
                <w:color w:val="auto"/>
                <w:sz w:val="24"/>
                <w:lang w:val="en-US" w:eastAsia="zh-CN"/>
              </w:rPr>
              <w:t>根据企业提供资料，特膳饮品、果冻产品生产过程中需用纯水，特膳饮品、果冻产品产量1100t，原辅料与纯水配比为7：4，则所需纯水量为1.33t/d（400t/a），主要为纯水机制备纯水。</w:t>
            </w:r>
          </w:p>
          <w:p w14:paraId="35D45615">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default"/>
                <w:color w:val="auto"/>
                <w:sz w:val="24"/>
                <w:lang w:val="en-US" w:eastAsia="zh-CN"/>
              </w:rPr>
              <w:t>实验室器皿需用纯水清洗两次，根据企业提供资料，实验室纯水使用量约为10t/a（0.03</w:t>
            </w:r>
            <w:r>
              <w:rPr>
                <w:rFonts w:hint="eastAsia"/>
                <w:color w:val="auto"/>
                <w:sz w:val="24"/>
                <w:lang w:val="en-US" w:eastAsia="zh-CN"/>
              </w:rPr>
              <w:t>3</w:t>
            </w:r>
            <w:r>
              <w:rPr>
                <w:rFonts w:hint="default"/>
                <w:color w:val="auto"/>
                <w:sz w:val="24"/>
                <w:lang w:val="en-US" w:eastAsia="zh-CN"/>
              </w:rPr>
              <w:t>t/d），污水产生系数按0.9计，则实验室清洗废水产生量为0.0</w:t>
            </w:r>
            <w:r>
              <w:rPr>
                <w:rFonts w:hint="eastAsia"/>
                <w:color w:val="auto"/>
                <w:sz w:val="24"/>
                <w:lang w:val="en-US" w:eastAsia="zh-CN"/>
              </w:rPr>
              <w:t>3</w:t>
            </w:r>
            <w:r>
              <w:rPr>
                <w:rFonts w:hint="default"/>
                <w:color w:val="auto"/>
                <w:sz w:val="24"/>
                <w:lang w:val="en-US" w:eastAsia="zh-CN"/>
              </w:rPr>
              <w:t>t/d（</w:t>
            </w:r>
            <w:r>
              <w:rPr>
                <w:rFonts w:hint="eastAsia"/>
                <w:color w:val="auto"/>
                <w:sz w:val="24"/>
                <w:lang w:val="en-US" w:eastAsia="zh-CN"/>
              </w:rPr>
              <w:t>9</w:t>
            </w:r>
            <w:r>
              <w:rPr>
                <w:rFonts w:hint="default"/>
                <w:color w:val="auto"/>
                <w:sz w:val="24"/>
                <w:lang w:val="en-US" w:eastAsia="zh-CN"/>
              </w:rPr>
              <w:t>t/a）。</w:t>
            </w:r>
          </w:p>
          <w:p w14:paraId="7AAED5E0">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default"/>
                <w:color w:val="auto"/>
                <w:sz w:val="24"/>
                <w:lang w:val="en-US" w:eastAsia="zh-CN"/>
              </w:rPr>
              <w:t>项目总计纯水用量为410t/a，项目共设置1套纯水制备系统，</w:t>
            </w:r>
            <w:r>
              <w:rPr>
                <w:rFonts w:hint="eastAsia"/>
                <w:color w:val="auto"/>
                <w:sz w:val="24"/>
                <w:lang w:val="en-US" w:eastAsia="zh-CN"/>
              </w:rPr>
              <w:t>采用RO反渗透工艺，</w:t>
            </w:r>
            <w:r>
              <w:rPr>
                <w:rFonts w:hint="default"/>
                <w:color w:val="auto"/>
                <w:sz w:val="24"/>
                <w:lang w:val="en-US" w:eastAsia="zh-CN"/>
              </w:rPr>
              <w:t>纯水制备率为70%，则纯水制备系统新鲜水用量为585.71t/a（1.95t/d），浓水产生量为175.71t/a（0.59t/d），实验室清洗废水产生量为0.0</w:t>
            </w:r>
            <w:r>
              <w:rPr>
                <w:rFonts w:hint="eastAsia"/>
                <w:color w:val="auto"/>
                <w:sz w:val="24"/>
                <w:lang w:val="en-US" w:eastAsia="zh-CN"/>
              </w:rPr>
              <w:t>3</w:t>
            </w:r>
            <w:r>
              <w:rPr>
                <w:rFonts w:hint="default"/>
                <w:color w:val="auto"/>
                <w:sz w:val="24"/>
                <w:lang w:val="en-US" w:eastAsia="zh-CN"/>
              </w:rPr>
              <w:t>t/d。</w:t>
            </w:r>
          </w:p>
          <w:p w14:paraId="55AED187">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eastAsia"/>
                <w:color w:val="auto"/>
                <w:sz w:val="24"/>
                <w:lang w:val="en-US" w:eastAsia="zh-CN"/>
              </w:rPr>
              <w:t>④</w:t>
            </w:r>
            <w:r>
              <w:rPr>
                <w:rFonts w:hint="default"/>
                <w:color w:val="auto"/>
                <w:sz w:val="24"/>
                <w:lang w:val="en-US" w:eastAsia="zh-CN"/>
              </w:rPr>
              <w:t>保洁用</w:t>
            </w:r>
            <w:r>
              <w:rPr>
                <w:rFonts w:hint="eastAsia"/>
                <w:color w:val="auto"/>
                <w:sz w:val="24"/>
                <w:lang w:val="en-US" w:eastAsia="zh-CN"/>
              </w:rPr>
              <w:t>排</w:t>
            </w:r>
            <w:r>
              <w:rPr>
                <w:rFonts w:hint="default"/>
                <w:color w:val="auto"/>
                <w:sz w:val="24"/>
                <w:lang w:val="en-US" w:eastAsia="zh-CN"/>
              </w:rPr>
              <w:t>水</w:t>
            </w:r>
          </w:p>
          <w:p w14:paraId="601C87C1">
            <w:pPr>
              <w:keepNext w:val="0"/>
              <w:keepLines w:val="0"/>
              <w:suppressLineNumbers w:val="0"/>
              <w:tabs>
                <w:tab w:val="left" w:pos="2678"/>
              </w:tabs>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项目车间地面采取每天清扫制。根据《建筑给水排水设计标准（GB50015-2019）》，地面冲洗用水量为2-3L/(</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vertAlign w:val="baseline"/>
                <w:lang w:val="en-US" w:eastAsia="zh-CN"/>
              </w:rPr>
              <w:t>·</w:t>
            </w:r>
            <w:r>
              <w:rPr>
                <w:rFonts w:hint="eastAsia" w:ascii="Times New Roman" w:hAnsi="Times New Roman" w:eastAsia="宋体" w:cs="Times New Roman"/>
                <w:color w:val="auto"/>
                <w:sz w:val="24"/>
              </w:rPr>
              <w:t>次)</w:t>
            </w:r>
            <w:r>
              <w:rPr>
                <w:rFonts w:hint="eastAsia" w:ascii="Times New Roman" w:hAnsi="Times New Roman" w:eastAsia="宋体" w:cs="Times New Roman"/>
                <w:color w:val="auto"/>
                <w:sz w:val="24"/>
                <w:lang w:eastAsia="zh-CN"/>
              </w:rPr>
              <w:t>，项目地面不冲洗，使用尘推车清理或拖把清理，用水量按冲洗用水量的10%计，即0.2L/(m</w:t>
            </w:r>
            <w:r>
              <w:rPr>
                <w:rFonts w:hint="eastAsia"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次)。</w:t>
            </w:r>
            <w:r>
              <w:rPr>
                <w:rFonts w:hint="eastAsia" w:ascii="Times New Roman" w:hAnsi="Times New Roman" w:eastAsia="宋体" w:cs="Times New Roman"/>
                <w:color w:val="auto"/>
                <w:sz w:val="24"/>
                <w:lang w:val="en-US" w:eastAsia="zh-CN"/>
              </w:rPr>
              <w:t>厂房</w:t>
            </w:r>
            <w:r>
              <w:rPr>
                <w:rFonts w:hint="eastAsia" w:ascii="Times New Roman" w:hAnsi="Times New Roman" w:eastAsia="宋体" w:cs="Times New Roman"/>
                <w:color w:val="auto"/>
                <w:sz w:val="24"/>
              </w:rPr>
              <w:t>建筑</w:t>
            </w:r>
            <w:r>
              <w:rPr>
                <w:rFonts w:hint="eastAsia" w:ascii="Times New Roman" w:hAnsi="Times New Roman" w:eastAsia="宋体" w:cs="Times New Roman"/>
                <w:color w:val="auto"/>
                <w:sz w:val="24"/>
                <w:highlight w:val="none"/>
              </w:rPr>
              <w:t>面积</w:t>
            </w:r>
            <w:r>
              <w:rPr>
                <w:rFonts w:hint="eastAsia" w:ascii="Times New Roman" w:hAnsi="Times New Roman" w:eastAsia="宋体" w:cs="Times New Roman"/>
                <w:color w:val="auto"/>
                <w:sz w:val="24"/>
              </w:rPr>
              <w:t>约</w:t>
            </w:r>
            <w:r>
              <w:rPr>
                <w:rFonts w:hint="eastAsia" w:ascii="Times New Roman" w:hAnsi="Times New Roman" w:eastAsia="宋体" w:cs="Times New Roman"/>
                <w:color w:val="auto"/>
                <w:sz w:val="24"/>
                <w:lang w:val="en-US" w:eastAsia="zh-CN"/>
              </w:rPr>
              <w:t>17000</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，设备、隔断、物料等区域占用约8</w:t>
            </w:r>
            <w:r>
              <w:rPr>
                <w:rFonts w:hint="eastAsia" w:cs="Times New Roman"/>
                <w:color w:val="auto"/>
                <w:sz w:val="24"/>
                <w:lang w:val="en-US" w:eastAsia="zh-CN"/>
              </w:rPr>
              <w:t>5</w:t>
            </w:r>
            <w:r>
              <w:rPr>
                <w:rFonts w:hint="eastAsia" w:ascii="Times New Roman" w:hAnsi="Times New Roman" w:eastAsia="宋体" w:cs="Times New Roman"/>
                <w:color w:val="auto"/>
                <w:sz w:val="24"/>
              </w:rPr>
              <w:t>%，需保洁面积约</w:t>
            </w:r>
            <w:r>
              <w:rPr>
                <w:rFonts w:hint="eastAsia" w:ascii="Times New Roman" w:hAnsi="Times New Roman" w:eastAsia="宋体" w:cs="Times New Roman"/>
                <w:color w:val="auto"/>
                <w:sz w:val="24"/>
                <w:lang w:val="en-US" w:eastAsia="zh-CN"/>
              </w:rPr>
              <w:t>2550</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，保洁用水量约</w:t>
            </w:r>
            <w:r>
              <w:rPr>
                <w:rFonts w:hint="eastAsia" w:ascii="Times New Roman" w:hAnsi="Times New Roman" w:eastAsia="宋体" w:cs="Times New Roman"/>
                <w:color w:val="auto"/>
                <w:sz w:val="24"/>
                <w:lang w:val="en-US" w:eastAsia="zh-CN"/>
              </w:rPr>
              <w:t>0.51t</w:t>
            </w:r>
            <w:r>
              <w:rPr>
                <w:rFonts w:hint="eastAsia" w:ascii="Times New Roman" w:hAnsi="Times New Roman" w:eastAsia="宋体" w:cs="Times New Roman"/>
                <w:color w:val="auto"/>
                <w:sz w:val="24"/>
              </w:rPr>
              <w:t>/d</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i w:val="0"/>
                <w:iCs w:val="0"/>
                <w:caps w:val="0"/>
                <w:color w:val="auto"/>
                <w:spacing w:val="0"/>
                <w:sz w:val="24"/>
                <w:szCs w:val="24"/>
                <w:lang w:val="en-US" w:eastAsia="zh-CN"/>
              </w:rPr>
              <w:t>153t/a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，清洗废水</w:t>
            </w:r>
            <w:r>
              <w:rPr>
                <w:rFonts w:hint="eastAsia" w:ascii="Times New Roman" w:hAnsi="Times New Roman" w:eastAsia="宋体" w:cs="Times New Roman"/>
                <w:color w:val="auto"/>
                <w:sz w:val="24"/>
                <w:lang w:val="en-US" w:eastAsia="zh-CN"/>
              </w:rPr>
              <w:t>损耗</w:t>
            </w:r>
            <w:r>
              <w:rPr>
                <w:rFonts w:hint="eastAsia" w:ascii="Times New Roman" w:hAnsi="Times New Roman" w:eastAsia="宋体" w:cs="Times New Roman"/>
                <w:color w:val="auto"/>
                <w:sz w:val="24"/>
              </w:rPr>
              <w:t>约占保洁用水量的</w:t>
            </w:r>
            <w:r>
              <w:rPr>
                <w:rFonts w:hint="eastAsia" w:ascii="Times New Roman" w:hAnsi="Times New Roman" w:eastAsia="宋体" w:cs="Times New Roman"/>
                <w:color w:val="auto"/>
                <w:sz w:val="24"/>
                <w:lang w:val="en-US" w:eastAsia="zh-CN"/>
              </w:rPr>
              <w:t>15</w:t>
            </w:r>
            <w:r>
              <w:rPr>
                <w:rFonts w:hint="eastAsia" w:ascii="Times New Roman" w:hAnsi="Times New Roman" w:eastAsia="宋体" w:cs="Times New Roman"/>
                <w:color w:val="auto"/>
                <w:sz w:val="24"/>
              </w:rPr>
              <w:t>%，即产生保洁废水0.</w:t>
            </w:r>
            <w:r>
              <w:rPr>
                <w:rFonts w:hint="eastAsia" w:ascii="Times New Roman" w:hAnsi="Times New Roman" w:eastAsia="宋体" w:cs="Times New Roman"/>
                <w:color w:val="auto"/>
                <w:sz w:val="24"/>
                <w:lang w:val="en-US" w:eastAsia="zh-CN"/>
              </w:rPr>
              <w:t>43t</w:t>
            </w:r>
            <w:r>
              <w:rPr>
                <w:rFonts w:hint="eastAsia" w:ascii="Times New Roman" w:hAnsi="Times New Roman" w:eastAsia="宋体" w:cs="Times New Roman"/>
                <w:color w:val="auto"/>
                <w:sz w:val="24"/>
              </w:rPr>
              <w:t>/d</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i w:val="0"/>
                <w:iCs w:val="0"/>
                <w:caps w:val="0"/>
                <w:color w:val="auto"/>
                <w:spacing w:val="0"/>
                <w:sz w:val="24"/>
                <w:szCs w:val="24"/>
                <w:lang w:val="en-US" w:eastAsia="zh-CN"/>
              </w:rPr>
              <w:t>1</w:t>
            </w:r>
            <w:r>
              <w:rPr>
                <w:rFonts w:hint="eastAsia" w:cs="Times New Roman"/>
                <w:i w:val="0"/>
                <w:iCs w:val="0"/>
                <w:caps w:val="0"/>
                <w:color w:val="auto"/>
                <w:spacing w:val="0"/>
                <w:sz w:val="24"/>
                <w:szCs w:val="24"/>
                <w:lang w:val="en-US" w:eastAsia="zh-CN"/>
              </w:rPr>
              <w:t>30.05</w:t>
            </w:r>
            <w:r>
              <w:rPr>
                <w:rFonts w:hint="eastAsia" w:ascii="Times New Roman" w:hAnsi="Times New Roman" w:eastAsia="宋体" w:cs="Times New Roman"/>
                <w:i w:val="0"/>
                <w:iCs w:val="0"/>
                <w:caps w:val="0"/>
                <w:color w:val="auto"/>
                <w:spacing w:val="0"/>
                <w:sz w:val="24"/>
                <w:szCs w:val="24"/>
                <w:lang w:val="en-US" w:eastAsia="zh-CN"/>
              </w:rPr>
              <w:t>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w:t>
            </w:r>
          </w:p>
          <w:p w14:paraId="6789F00A">
            <w:pPr>
              <w:keepNext w:val="0"/>
              <w:keepLines w:val="0"/>
              <w:suppressLineNumbers w:val="0"/>
              <w:spacing w:before="0" w:beforeAutospacing="0" w:after="0" w:afterAutospacing="0" w:line="360" w:lineRule="auto"/>
              <w:ind w:left="0" w:right="0" w:firstLine="480" w:firstLineChars="200"/>
              <w:rPr>
                <w:rFonts w:hint="eastAsia" w:cs="Times New Roman"/>
                <w:i w:val="0"/>
                <w:iCs w:val="0"/>
                <w:caps w:val="0"/>
                <w:color w:val="auto"/>
                <w:spacing w:val="0"/>
                <w:sz w:val="24"/>
                <w:szCs w:val="24"/>
                <w:lang w:val="en-US" w:eastAsia="zh-CN"/>
              </w:rPr>
            </w:pPr>
            <w:r>
              <w:rPr>
                <w:rFonts w:hint="eastAsia" w:cs="Times New Roman"/>
                <w:i w:val="0"/>
                <w:iCs w:val="0"/>
                <w:caps w:val="0"/>
                <w:color w:val="auto"/>
                <w:spacing w:val="0"/>
                <w:sz w:val="24"/>
                <w:szCs w:val="24"/>
                <w:lang w:val="en-US" w:eastAsia="zh-CN"/>
              </w:rPr>
              <w:t>⑤循环冷却水</w:t>
            </w:r>
          </w:p>
          <w:p w14:paraId="59ADE2D6">
            <w:pPr>
              <w:keepNext w:val="0"/>
              <w:keepLines w:val="0"/>
              <w:suppressLineNumbers w:val="0"/>
              <w:spacing w:before="0" w:beforeAutospacing="0" w:after="0" w:afterAutospacing="0" w:line="360" w:lineRule="auto"/>
              <w:ind w:left="0" w:right="0" w:firstLine="480" w:firstLineChars="200"/>
              <w:rPr>
                <w:rFonts w:hint="default" w:cs="Times New Roman"/>
                <w:i w:val="0"/>
                <w:iCs w:val="0"/>
                <w:caps w:val="0"/>
                <w:color w:val="auto"/>
                <w:spacing w:val="0"/>
                <w:sz w:val="24"/>
                <w:szCs w:val="24"/>
                <w:lang w:val="en-US" w:eastAsia="zh-CN"/>
              </w:rPr>
            </w:pPr>
            <w:r>
              <w:rPr>
                <w:rFonts w:hint="eastAsia" w:cs="Times New Roman"/>
                <w:i w:val="0"/>
                <w:iCs w:val="0"/>
                <w:caps w:val="0"/>
                <w:color w:val="auto"/>
                <w:spacing w:val="0"/>
                <w:sz w:val="24"/>
                <w:szCs w:val="24"/>
                <w:lang w:val="en-US" w:eastAsia="zh-CN"/>
              </w:rPr>
              <w:t>项目产品生产过程中杀菌后进入冷却段通过冷却水冷却，UHT杀菌线循环水量为15m</w:t>
            </w:r>
            <w:r>
              <w:rPr>
                <w:rFonts w:hint="eastAsia" w:cs="Times New Roman"/>
                <w:i w:val="0"/>
                <w:iCs w:val="0"/>
                <w:caps w:val="0"/>
                <w:color w:val="auto"/>
                <w:spacing w:val="0"/>
                <w:sz w:val="24"/>
                <w:szCs w:val="24"/>
                <w:vertAlign w:val="superscript"/>
                <w:lang w:val="en-US" w:eastAsia="zh-CN"/>
              </w:rPr>
              <w:t>3</w:t>
            </w:r>
            <w:r>
              <w:rPr>
                <w:rFonts w:hint="eastAsia" w:cs="Times New Roman"/>
                <w:i w:val="0"/>
                <w:iCs w:val="0"/>
                <w:caps w:val="0"/>
                <w:color w:val="auto"/>
                <w:spacing w:val="0"/>
                <w:sz w:val="24"/>
                <w:szCs w:val="24"/>
                <w:lang w:val="en-US" w:eastAsia="zh-CN"/>
              </w:rPr>
              <w:t>/h，巴氏杀菌线循环水量为10m</w:t>
            </w:r>
            <w:r>
              <w:rPr>
                <w:rFonts w:hint="eastAsia" w:cs="Times New Roman"/>
                <w:i w:val="0"/>
                <w:iCs w:val="0"/>
                <w:caps w:val="0"/>
                <w:color w:val="auto"/>
                <w:spacing w:val="0"/>
                <w:sz w:val="24"/>
                <w:szCs w:val="24"/>
                <w:vertAlign w:val="superscript"/>
                <w:lang w:val="en-US" w:eastAsia="zh-CN"/>
              </w:rPr>
              <w:t>3</w:t>
            </w:r>
            <w:r>
              <w:rPr>
                <w:rFonts w:hint="eastAsia" w:cs="Times New Roman"/>
                <w:i w:val="0"/>
                <w:iCs w:val="0"/>
                <w:caps w:val="0"/>
                <w:color w:val="auto"/>
                <w:spacing w:val="0"/>
                <w:sz w:val="24"/>
                <w:szCs w:val="24"/>
                <w:lang w:val="en-US" w:eastAsia="zh-CN"/>
              </w:rPr>
              <w:t>/h，按1.3%的挥发损耗计算，冷却水补充量为2.6m</w:t>
            </w:r>
            <w:r>
              <w:rPr>
                <w:rFonts w:hint="eastAsia" w:cs="Times New Roman"/>
                <w:i w:val="0"/>
                <w:iCs w:val="0"/>
                <w:caps w:val="0"/>
                <w:color w:val="auto"/>
                <w:spacing w:val="0"/>
                <w:sz w:val="24"/>
                <w:szCs w:val="24"/>
                <w:vertAlign w:val="superscript"/>
                <w:lang w:val="en-US" w:eastAsia="zh-CN"/>
              </w:rPr>
              <w:t>3</w:t>
            </w:r>
            <w:r>
              <w:rPr>
                <w:rFonts w:hint="eastAsia" w:cs="Times New Roman"/>
                <w:i w:val="0"/>
                <w:iCs w:val="0"/>
                <w:caps w:val="0"/>
                <w:color w:val="auto"/>
                <w:spacing w:val="0"/>
                <w:sz w:val="24"/>
                <w:szCs w:val="24"/>
                <w:lang w:val="en-US" w:eastAsia="zh-CN"/>
              </w:rPr>
              <w:t>/d。冷却水仅定期补充，不外排。</w:t>
            </w:r>
          </w:p>
          <w:p w14:paraId="7BC800A5">
            <w:pPr>
              <w:keepNext w:val="0"/>
              <w:keepLines w:val="0"/>
              <w:suppressLineNumbers w:val="0"/>
              <w:spacing w:before="0" w:beforeAutospacing="0" w:after="0" w:afterAutospacing="0" w:line="360" w:lineRule="auto"/>
              <w:ind w:left="0" w:right="0" w:firstLine="480" w:firstLineChars="200"/>
              <w:rPr>
                <w:rFonts w:hint="default" w:ascii="Times New Roman" w:cs="Times New Roman"/>
                <w:color w:val="auto"/>
              </w:rPr>
            </w:pPr>
            <w:r>
              <w:rPr>
                <w:rFonts w:hint="default"/>
                <w:color w:val="auto"/>
                <w:sz w:val="24"/>
                <w:lang w:val="en-US" w:eastAsia="zh-CN"/>
              </w:rPr>
              <w:t>本项目</w:t>
            </w:r>
            <w:r>
              <w:rPr>
                <w:rFonts w:hint="eastAsia"/>
                <w:color w:val="auto"/>
                <w:sz w:val="24"/>
                <w:lang w:val="en-US" w:eastAsia="zh-CN"/>
              </w:rPr>
              <w:t>改造后</w:t>
            </w:r>
            <w:r>
              <w:rPr>
                <w:rFonts w:hint="default"/>
                <w:color w:val="auto"/>
                <w:sz w:val="24"/>
                <w:lang w:val="en-US" w:eastAsia="zh-CN"/>
              </w:rPr>
              <w:t>水平衡图见下：</w:t>
            </w:r>
          </w:p>
          <w:p w14:paraId="0DA6BDB0">
            <w:pPr>
              <w:keepNext w:val="0"/>
              <w:keepLines w:val="0"/>
              <w:suppressLineNumbers w:val="0"/>
              <w:spacing w:before="0" w:beforeAutospacing="0" w:after="0" w:afterAutospacing="0" w:line="360" w:lineRule="auto"/>
              <w:ind w:left="0" w:right="0"/>
              <w:jc w:val="center"/>
              <w:rPr>
                <w:rFonts w:hint="default" w:ascii="Times New Roman" w:cs="Times New Roman"/>
                <w:color w:val="auto"/>
              </w:rPr>
            </w:pPr>
            <w:r>
              <w:rPr>
                <w:rFonts w:hint="default" w:ascii="Times New Roman" w:cs="Times New Roman"/>
                <w:color w:val="auto"/>
              </w:rPr>
              <w:object>
                <v:shape id="_x0000_i1026" o:spt="75" type="#_x0000_t75" style="height:311.5pt;width:417.9pt;" o:ole="t" filled="f" o:preferrelative="t" stroked="f" coordsize="21600,21600">
                  <v:path/>
                  <v:fill on="f" focussize="0,0"/>
                  <v:stroke on="f"/>
                  <v:imagedata r:id="rId14" o:title=""/>
                  <o:lock v:ext="edit" aspectratio="t"/>
                  <w10:wrap type="none"/>
                  <w10:anchorlock/>
                </v:shape>
                <o:OLEObject Type="Embed" ProgID="RFFlow4" ShapeID="_x0000_i1026" DrawAspect="Content" ObjectID="_1468075726" r:id="rId13">
                  <o:LockedField>false</o:LockedField>
                </o:OLEObject>
              </w:object>
            </w:r>
          </w:p>
          <w:p w14:paraId="317BDAE2">
            <w:pPr>
              <w:keepNext w:val="0"/>
              <w:keepLines w:val="0"/>
              <w:suppressLineNumbers w:val="0"/>
              <w:spacing w:before="0" w:beforeAutospacing="0" w:after="0" w:afterAutospacing="0" w:line="360" w:lineRule="auto"/>
              <w:ind w:left="0" w:right="0" w:firstLine="482" w:firstLineChars="200"/>
              <w:jc w:val="center"/>
              <w:rPr>
                <w:rFonts w:hint="default"/>
                <w:b/>
                <w:bCs/>
                <w:color w:val="auto"/>
                <w:sz w:val="24"/>
                <w:lang w:val="en-US" w:eastAsia="zh-CN"/>
              </w:rPr>
            </w:pPr>
            <w:r>
              <w:rPr>
                <w:rFonts w:hint="eastAsia" w:ascii="Times New Roman" w:hAnsi="Times New Roman" w:eastAsia="宋体" w:cs="Times New Roman"/>
                <w:b/>
                <w:bCs/>
                <w:color w:val="auto"/>
                <w:sz w:val="24"/>
                <w:lang w:val="en-US" w:eastAsia="zh-CN"/>
              </w:rPr>
              <w:t>图2.1</w:t>
            </w:r>
            <w:r>
              <w:rPr>
                <w:rFonts w:hint="default" w:ascii="Times New Roman" w:hAnsi="Times New Roman" w:eastAsia="宋体" w:cs="Times New Roman"/>
                <w:b/>
                <w:bCs/>
                <w:color w:val="auto"/>
                <w:sz w:val="24"/>
                <w:lang w:val="en-US" w:eastAsia="zh-CN"/>
              </w:rPr>
              <w:t>本</w:t>
            </w:r>
            <w:r>
              <w:rPr>
                <w:rFonts w:hint="default"/>
                <w:b/>
                <w:bCs/>
                <w:color w:val="auto"/>
                <w:sz w:val="24"/>
                <w:lang w:val="en-US" w:eastAsia="zh-CN"/>
              </w:rPr>
              <w:t>项目</w:t>
            </w:r>
            <w:r>
              <w:rPr>
                <w:rFonts w:hint="eastAsia"/>
                <w:b/>
                <w:bCs/>
                <w:color w:val="auto"/>
                <w:sz w:val="24"/>
                <w:lang w:val="en-US" w:eastAsia="zh-CN"/>
              </w:rPr>
              <w:t>改造后</w:t>
            </w:r>
            <w:r>
              <w:rPr>
                <w:rFonts w:hint="default"/>
                <w:b/>
                <w:bCs/>
                <w:color w:val="auto"/>
                <w:sz w:val="24"/>
                <w:lang w:val="en-US" w:eastAsia="zh-CN"/>
              </w:rPr>
              <w:t>水平衡图</w:t>
            </w:r>
            <w:r>
              <w:rPr>
                <w:rFonts w:hint="default"/>
                <w:b/>
                <w:bCs/>
                <w:color w:val="auto"/>
                <w:highlight w:val="none"/>
              </w:rPr>
              <w:t>（m</w:t>
            </w:r>
            <w:r>
              <w:rPr>
                <w:rFonts w:hint="default"/>
                <w:b/>
                <w:bCs/>
                <w:color w:val="auto"/>
                <w:highlight w:val="none"/>
                <w:vertAlign w:val="superscript"/>
              </w:rPr>
              <w:t>3</w:t>
            </w:r>
            <w:r>
              <w:rPr>
                <w:rFonts w:hint="default"/>
                <w:b/>
                <w:bCs/>
                <w:color w:val="auto"/>
                <w:highlight w:val="none"/>
              </w:rPr>
              <w:t>/d）</w:t>
            </w:r>
          </w:p>
          <w:p w14:paraId="7CA874DA">
            <w:pPr>
              <w:keepNext w:val="0"/>
              <w:keepLines w:val="0"/>
              <w:suppressLineNumbers w:val="0"/>
              <w:spacing w:before="0" w:beforeAutospacing="0" w:after="0" w:afterAutospacing="0" w:line="360" w:lineRule="auto"/>
              <w:ind w:left="0" w:right="0" w:firstLine="480" w:firstLineChars="200"/>
              <w:rPr>
                <w:rFonts w:hint="eastAsia" w:cs="宋体"/>
                <w:color w:val="auto"/>
                <w:sz w:val="24"/>
              </w:rPr>
            </w:pPr>
            <w:r>
              <w:rPr>
                <w:rFonts w:hint="eastAsia" w:cs="宋体"/>
                <w:color w:val="auto"/>
                <w:sz w:val="24"/>
              </w:rPr>
              <w:t>（3）供电：项目用电由</w:t>
            </w:r>
            <w:r>
              <w:rPr>
                <w:rFonts w:hint="eastAsia" w:cs="宋体"/>
                <w:color w:val="auto"/>
                <w:sz w:val="24"/>
                <w:lang w:val="en-US" w:eastAsia="zh-CN"/>
              </w:rPr>
              <w:t>市政</w:t>
            </w:r>
            <w:r>
              <w:rPr>
                <w:rFonts w:hint="eastAsia" w:cs="宋体"/>
                <w:color w:val="auto"/>
                <w:sz w:val="24"/>
              </w:rPr>
              <w:t>供电系统提供。</w:t>
            </w:r>
          </w:p>
          <w:p w14:paraId="1CC96A41">
            <w:pPr>
              <w:keepNext w:val="0"/>
              <w:keepLines w:val="0"/>
              <w:suppressLineNumbers w:val="0"/>
              <w:spacing w:before="0" w:beforeAutospacing="0" w:after="0" w:afterAutospacing="0" w:line="360" w:lineRule="auto"/>
              <w:ind w:left="0" w:right="0" w:firstLine="480" w:firstLineChars="200"/>
              <w:rPr>
                <w:rFonts w:hint="default" w:eastAsia="宋体" w:cs="宋体"/>
                <w:color w:val="auto"/>
                <w:sz w:val="24"/>
                <w:lang w:val="en-US" w:eastAsia="zh-CN"/>
              </w:rPr>
            </w:pPr>
            <w:r>
              <w:rPr>
                <w:rFonts w:hint="eastAsia" w:cs="宋体"/>
                <w:color w:val="auto"/>
                <w:sz w:val="24"/>
              </w:rPr>
              <w:t>（</w:t>
            </w:r>
            <w:r>
              <w:rPr>
                <w:rFonts w:hint="eastAsia" w:cs="宋体"/>
                <w:color w:val="auto"/>
                <w:sz w:val="24"/>
                <w:lang w:val="en-US" w:eastAsia="zh-CN"/>
              </w:rPr>
              <w:t>4</w:t>
            </w:r>
            <w:r>
              <w:rPr>
                <w:rFonts w:hint="eastAsia" w:cs="宋体"/>
                <w:color w:val="auto"/>
                <w:sz w:val="24"/>
              </w:rPr>
              <w:t>）供</w:t>
            </w:r>
            <w:r>
              <w:rPr>
                <w:rFonts w:hint="eastAsia" w:cs="宋体"/>
                <w:color w:val="auto"/>
                <w:sz w:val="24"/>
                <w:lang w:val="en-US" w:eastAsia="zh-CN"/>
              </w:rPr>
              <w:t>气</w:t>
            </w:r>
            <w:r>
              <w:rPr>
                <w:rFonts w:hint="eastAsia" w:cs="宋体"/>
                <w:color w:val="auto"/>
                <w:sz w:val="24"/>
              </w:rPr>
              <w:t>：项目</w:t>
            </w:r>
            <w:r>
              <w:rPr>
                <w:rFonts w:hint="eastAsia" w:cs="宋体"/>
                <w:color w:val="auto"/>
                <w:sz w:val="24"/>
                <w:lang w:val="en-US" w:eastAsia="zh-CN"/>
              </w:rPr>
              <w:t>天然气</w:t>
            </w:r>
            <w:r>
              <w:rPr>
                <w:rFonts w:hint="eastAsia" w:cs="宋体"/>
                <w:color w:val="auto"/>
                <w:sz w:val="24"/>
              </w:rPr>
              <w:t>由</w:t>
            </w:r>
            <w:r>
              <w:rPr>
                <w:rFonts w:hint="eastAsia" w:cs="宋体"/>
                <w:color w:val="auto"/>
                <w:sz w:val="24"/>
                <w:lang w:val="en-US" w:eastAsia="zh-CN"/>
              </w:rPr>
              <w:t>市政</w:t>
            </w:r>
            <w:r>
              <w:rPr>
                <w:rFonts w:hint="eastAsia" w:cs="宋体"/>
                <w:color w:val="auto"/>
                <w:sz w:val="24"/>
              </w:rPr>
              <w:t>供</w:t>
            </w:r>
            <w:r>
              <w:rPr>
                <w:rFonts w:hint="eastAsia" w:cs="宋体"/>
                <w:color w:val="auto"/>
                <w:sz w:val="24"/>
                <w:lang w:val="en-US" w:eastAsia="zh-CN"/>
              </w:rPr>
              <w:t>气</w:t>
            </w:r>
            <w:r>
              <w:rPr>
                <w:rFonts w:hint="eastAsia" w:cs="宋体"/>
                <w:color w:val="auto"/>
                <w:sz w:val="24"/>
              </w:rPr>
              <w:t>系统提供</w:t>
            </w:r>
            <w:r>
              <w:rPr>
                <w:rFonts w:hint="eastAsia" w:cs="宋体"/>
                <w:color w:val="auto"/>
                <w:sz w:val="24"/>
                <w:lang w:val="en-US" w:eastAsia="zh-CN"/>
              </w:rPr>
              <w:t>。</w:t>
            </w:r>
          </w:p>
          <w:p w14:paraId="1FA84AAF">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s="宋体"/>
                <w:color w:val="auto"/>
                <w:sz w:val="24"/>
              </w:rPr>
              <w:t>（</w:t>
            </w:r>
            <w:r>
              <w:rPr>
                <w:rFonts w:hint="eastAsia" w:cs="宋体"/>
                <w:color w:val="auto"/>
                <w:sz w:val="24"/>
                <w:lang w:val="en-US" w:eastAsia="zh-CN"/>
              </w:rPr>
              <w:t>5</w:t>
            </w:r>
            <w:r>
              <w:rPr>
                <w:rFonts w:hint="eastAsia" w:cs="宋体"/>
                <w:color w:val="auto"/>
                <w:sz w:val="24"/>
              </w:rPr>
              <w:t>）厂内运输：厂内运输主要为原料及成品从生产场所到堆存场所之间的运输，项目原料和产品主要采用人力运输。</w:t>
            </w:r>
          </w:p>
          <w:p w14:paraId="182CBC9F">
            <w:pPr>
              <w:keepNext w:val="0"/>
              <w:keepLines w:val="0"/>
              <w:suppressLineNumbers w:val="0"/>
              <w:adjustRightInd w:val="0"/>
              <w:snapToGrid w:val="0"/>
              <w:spacing w:before="0" w:beforeAutospacing="0" w:after="0" w:afterAutospacing="0" w:line="360" w:lineRule="auto"/>
              <w:ind w:left="0" w:right="0" w:firstLine="480" w:firstLineChars="200"/>
              <w:rPr>
                <w:rFonts w:hint="eastAsia" w:cs="宋体"/>
                <w:color w:val="auto"/>
                <w:sz w:val="24"/>
              </w:rPr>
            </w:pPr>
            <w:r>
              <w:rPr>
                <w:rFonts w:hint="eastAsia" w:cs="宋体"/>
                <w:color w:val="auto"/>
                <w:sz w:val="24"/>
              </w:rPr>
              <w:t>（6）厂外运输：主要为原材料及成品的进出厂运输。项目原辅料由供货单位送货上门，通过公路运输的方法解决。成品运出主要依托社会运输力量承担。</w:t>
            </w:r>
          </w:p>
          <w:p w14:paraId="6EF42D21">
            <w:pPr>
              <w:keepNext w:val="0"/>
              <w:keepLines w:val="0"/>
              <w:suppressLineNumbers w:val="0"/>
              <w:spacing w:before="0" w:beforeAutospacing="0" w:after="0" w:afterAutospacing="0" w:line="360" w:lineRule="auto"/>
              <w:ind w:left="0" w:right="0"/>
              <w:rPr>
                <w:rFonts w:hint="default"/>
                <w:b/>
                <w:color w:val="auto"/>
                <w:sz w:val="24"/>
              </w:rPr>
            </w:pPr>
            <w:r>
              <w:rPr>
                <w:rFonts w:hint="eastAsia"/>
                <w:b/>
                <w:color w:val="auto"/>
                <w:sz w:val="24"/>
                <w:lang w:val="en-US" w:eastAsia="zh-CN"/>
              </w:rPr>
              <w:t>7</w:t>
            </w:r>
            <w:r>
              <w:rPr>
                <w:rFonts w:hint="default"/>
                <w:b/>
                <w:color w:val="auto"/>
                <w:sz w:val="24"/>
              </w:rPr>
              <w:t>、劳动定员及工作制度</w:t>
            </w:r>
          </w:p>
          <w:p w14:paraId="6AA87AA8">
            <w:pPr>
              <w:keepNext w:val="0"/>
              <w:keepLines w:val="0"/>
              <w:suppressLineNumbers w:val="0"/>
              <w:spacing w:before="0" w:beforeAutospacing="0" w:after="0" w:afterAutospacing="0" w:line="360" w:lineRule="auto"/>
              <w:ind w:left="0" w:right="0" w:firstLine="480" w:firstLineChars="200"/>
              <w:rPr>
                <w:rFonts w:hint="default" w:cs="Times New Roman"/>
                <w:i w:val="0"/>
                <w:iCs w:val="0"/>
                <w:caps w:val="0"/>
                <w:color w:val="auto"/>
                <w:spacing w:val="0"/>
                <w:sz w:val="24"/>
                <w:szCs w:val="24"/>
                <w:lang w:val="en-US" w:eastAsia="zh-CN"/>
              </w:rPr>
            </w:pPr>
            <w:r>
              <w:rPr>
                <w:rFonts w:hint="eastAsia" w:cs="Times New Roman"/>
                <w:i w:val="0"/>
                <w:iCs w:val="0"/>
                <w:caps w:val="0"/>
                <w:color w:val="auto"/>
                <w:spacing w:val="0"/>
                <w:sz w:val="24"/>
                <w:szCs w:val="24"/>
                <w:lang w:val="en-US" w:eastAsia="zh-CN"/>
              </w:rPr>
              <w:t>本项目现有员工10人，改建后劳动定员60人</w:t>
            </w:r>
            <w:r>
              <w:rPr>
                <w:rFonts w:hint="default" w:cs="Times New Roman"/>
                <w:i w:val="0"/>
                <w:iCs w:val="0"/>
                <w:caps w:val="0"/>
                <w:color w:val="auto"/>
                <w:spacing w:val="0"/>
                <w:sz w:val="24"/>
                <w:szCs w:val="24"/>
                <w:lang w:val="en-US" w:eastAsia="zh-CN"/>
              </w:rPr>
              <w:t>，每</w:t>
            </w:r>
            <w:r>
              <w:rPr>
                <w:rFonts w:hint="eastAsia" w:cs="Times New Roman"/>
                <w:i w:val="0"/>
                <w:iCs w:val="0"/>
                <w:caps w:val="0"/>
                <w:color w:val="auto"/>
                <w:spacing w:val="0"/>
                <w:sz w:val="24"/>
                <w:szCs w:val="24"/>
                <w:lang w:val="en-US" w:eastAsia="zh-CN"/>
              </w:rPr>
              <w:t>天8</w:t>
            </w:r>
            <w:r>
              <w:rPr>
                <w:rFonts w:hint="default" w:cs="Times New Roman"/>
                <w:i w:val="0"/>
                <w:iCs w:val="0"/>
                <w:caps w:val="0"/>
                <w:color w:val="auto"/>
                <w:spacing w:val="0"/>
                <w:sz w:val="24"/>
                <w:szCs w:val="24"/>
                <w:lang w:val="en-US" w:eastAsia="zh-CN"/>
              </w:rPr>
              <w:t>小时，年生产</w:t>
            </w:r>
            <w:r>
              <w:rPr>
                <w:rFonts w:hint="eastAsia" w:cs="Times New Roman"/>
                <w:i w:val="0"/>
                <w:iCs w:val="0"/>
                <w:caps w:val="0"/>
                <w:color w:val="auto"/>
                <w:spacing w:val="0"/>
                <w:sz w:val="24"/>
                <w:szCs w:val="24"/>
                <w:lang w:val="en-US" w:eastAsia="zh-CN"/>
              </w:rPr>
              <w:t>300</w:t>
            </w:r>
            <w:r>
              <w:rPr>
                <w:rFonts w:hint="default" w:cs="Times New Roman"/>
                <w:i w:val="0"/>
                <w:iCs w:val="0"/>
                <w:caps w:val="0"/>
                <w:color w:val="auto"/>
                <w:spacing w:val="0"/>
                <w:sz w:val="24"/>
                <w:szCs w:val="24"/>
                <w:lang w:val="en-US" w:eastAsia="zh-CN"/>
              </w:rPr>
              <w:t>天</w:t>
            </w:r>
            <w:r>
              <w:rPr>
                <w:rFonts w:hint="eastAsia" w:cs="Times New Roman"/>
                <w:i w:val="0"/>
                <w:iCs w:val="0"/>
                <w:caps w:val="0"/>
                <w:color w:val="auto"/>
                <w:spacing w:val="0"/>
                <w:sz w:val="24"/>
                <w:szCs w:val="24"/>
                <w:lang w:val="en-US" w:eastAsia="zh-CN"/>
              </w:rPr>
              <w:t>，厂区不提供住宿。</w:t>
            </w:r>
          </w:p>
          <w:p w14:paraId="4DE92CA7">
            <w:pPr>
              <w:keepNext w:val="0"/>
              <w:keepLines w:val="0"/>
              <w:suppressLineNumbers w:val="0"/>
              <w:spacing w:before="0" w:beforeAutospacing="0" w:after="0" w:afterAutospacing="0" w:line="360" w:lineRule="auto"/>
              <w:ind w:left="0" w:right="0"/>
              <w:rPr>
                <w:rFonts w:hint="eastAsia"/>
                <w:b/>
                <w:color w:val="auto"/>
                <w:sz w:val="24"/>
              </w:rPr>
            </w:pPr>
            <w:r>
              <w:rPr>
                <w:rFonts w:hint="eastAsia"/>
                <w:b/>
                <w:color w:val="auto"/>
                <w:sz w:val="24"/>
                <w:lang w:val="en-US" w:eastAsia="zh-CN"/>
              </w:rPr>
              <w:t>8</w:t>
            </w:r>
            <w:r>
              <w:rPr>
                <w:rFonts w:hint="default"/>
                <w:b/>
                <w:color w:val="auto"/>
                <w:sz w:val="24"/>
              </w:rPr>
              <w:t>、项目总平面布置</w:t>
            </w:r>
            <w:r>
              <w:rPr>
                <w:rFonts w:hint="eastAsia"/>
                <w:b/>
                <w:color w:val="auto"/>
                <w:sz w:val="24"/>
              </w:rPr>
              <w:t>及合理性分析</w:t>
            </w:r>
          </w:p>
          <w:p w14:paraId="2637C565">
            <w:pPr>
              <w:keepNext w:val="0"/>
              <w:keepLines w:val="0"/>
              <w:suppressLineNumbers w:val="0"/>
              <w:spacing w:before="0" w:beforeAutospacing="0" w:after="0" w:afterAutospacing="0" w:line="360" w:lineRule="auto"/>
              <w:ind w:left="0" w:right="0" w:firstLine="480" w:firstLineChars="200"/>
              <w:textAlignment w:val="baseline"/>
              <w:rPr>
                <w:rFonts w:hint="eastAsia"/>
                <w:color w:val="auto"/>
                <w:lang w:val="en-US" w:eastAsia="zh-CN"/>
              </w:rPr>
            </w:pPr>
            <w:r>
              <w:rPr>
                <w:rFonts w:hint="eastAsia"/>
                <w:color w:val="auto"/>
                <w:sz w:val="24"/>
              </w:rPr>
              <w:t>本项目位于</w:t>
            </w:r>
            <w:r>
              <w:rPr>
                <w:rFonts w:hint="eastAsia"/>
                <w:color w:val="auto"/>
                <w:sz w:val="24"/>
                <w:lang w:val="en-US" w:eastAsia="zh-CN"/>
              </w:rPr>
              <w:t>宿州市高新技术开发区北三环泗山路数字星空8号厂房，厂房建筑面积约17000m</w:t>
            </w:r>
            <w:r>
              <w:rPr>
                <w:rFonts w:hint="eastAsia"/>
                <w:color w:val="auto"/>
                <w:sz w:val="24"/>
                <w:vertAlign w:val="superscript"/>
                <w:lang w:val="en-US" w:eastAsia="zh-CN"/>
              </w:rPr>
              <w:t>2</w:t>
            </w:r>
            <w:r>
              <w:rPr>
                <w:rFonts w:hint="eastAsia"/>
                <w:color w:val="auto"/>
                <w:sz w:val="24"/>
                <w:vertAlign w:val="baseline"/>
                <w:lang w:val="en-US" w:eastAsia="zh-CN"/>
              </w:rPr>
              <w:t>。</w:t>
            </w:r>
            <w:r>
              <w:rPr>
                <w:rFonts w:hint="eastAsia"/>
                <w:color w:val="auto"/>
                <w:sz w:val="24"/>
              </w:rPr>
              <w:t>本项目</w:t>
            </w:r>
            <w:r>
              <w:rPr>
                <w:rFonts w:hint="default"/>
                <w:color w:val="auto"/>
                <w:sz w:val="24"/>
              </w:rPr>
              <w:t>生产车间内的生产设备按照生产流程合理布置，各种设备之间保持有一定的安全距离，生产布局合理，能满足生产、卫生、安全等需求。</w:t>
            </w:r>
            <w:r>
              <w:rPr>
                <w:rFonts w:hint="eastAsia"/>
                <w:color w:val="auto"/>
                <w:sz w:val="24"/>
                <w:lang w:val="en-US" w:eastAsia="zh-CN"/>
              </w:rPr>
              <w:t>本项目所在</w:t>
            </w:r>
            <w:r>
              <w:rPr>
                <w:rFonts w:hint="eastAsia"/>
                <w:color w:val="auto"/>
                <w:sz w:val="24"/>
                <w:highlight w:val="none"/>
              </w:rPr>
              <w:t>厂区平面布局见附图</w:t>
            </w:r>
            <w:r>
              <w:rPr>
                <w:rFonts w:hint="eastAsia"/>
                <w:color w:val="auto"/>
                <w:sz w:val="24"/>
                <w:highlight w:val="none"/>
                <w:lang w:val="en-US" w:eastAsia="zh-CN"/>
              </w:rPr>
              <w:t>6，车间平面图见附图7</w:t>
            </w:r>
            <w:r>
              <w:rPr>
                <w:rFonts w:hint="eastAsia"/>
                <w:color w:val="auto"/>
                <w:sz w:val="24"/>
                <w:lang w:val="en-US" w:eastAsia="zh-CN"/>
              </w:rPr>
              <w:t>。</w:t>
            </w:r>
          </w:p>
        </w:tc>
      </w:tr>
      <w:tr w14:paraId="4B9DF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vAlign w:val="center"/>
          </w:tcPr>
          <w:p w14:paraId="4C8621A9">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sz w:val="21"/>
                <w:szCs w:val="21"/>
              </w:rPr>
            </w:pPr>
            <w:r>
              <w:rPr>
                <w:rFonts w:hint="default" w:ascii="Times New Roman" w:hAnsi="Times New Roman"/>
                <w:b/>
                <w:color w:val="auto"/>
                <w:sz w:val="21"/>
                <w:szCs w:val="21"/>
              </w:rPr>
              <w:t>工艺流程和产排污环节</w:t>
            </w:r>
          </w:p>
        </w:tc>
        <w:tc>
          <w:tcPr>
            <w:tcW w:w="8903" w:type="dxa"/>
          </w:tcPr>
          <w:p w14:paraId="16E6CC5F">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本项目生产产品为固体饮料9</w:t>
            </w:r>
            <w:r>
              <w:rPr>
                <w:rFonts w:hint="default" w:ascii="Times New Roman" w:hAnsi="Times New Roman" w:eastAsia="宋体" w:cs="Times New Roman"/>
                <w:color w:val="auto"/>
                <w:sz w:val="24"/>
                <w:lang w:val="en-US" w:eastAsia="zh-CN"/>
              </w:rPr>
              <w:t>00t</w:t>
            </w:r>
            <w:r>
              <w:rPr>
                <w:rFonts w:hint="eastAsia" w:ascii="Times New Roman" w:hAnsi="Times New Roman" w:eastAsia="宋体" w:cs="Times New Roman"/>
                <w:color w:val="auto"/>
                <w:sz w:val="24"/>
                <w:lang w:val="en-US" w:eastAsia="zh-CN"/>
              </w:rPr>
              <w:t>、压片糖果8</w:t>
            </w:r>
            <w:r>
              <w:rPr>
                <w:rFonts w:hint="default" w:ascii="Times New Roman" w:hAnsi="Times New Roman" w:eastAsia="宋体" w:cs="Times New Roman"/>
                <w:color w:val="auto"/>
                <w:sz w:val="24"/>
                <w:lang w:val="en-US" w:eastAsia="zh-CN"/>
              </w:rPr>
              <w:t>00t</w:t>
            </w:r>
            <w:r>
              <w:rPr>
                <w:rFonts w:hint="eastAsia" w:ascii="Times New Roman" w:hAnsi="Times New Roman" w:eastAsia="宋体" w:cs="Times New Roman"/>
                <w:color w:val="auto"/>
                <w:sz w:val="24"/>
                <w:lang w:val="en-US" w:eastAsia="zh-CN"/>
              </w:rPr>
              <w:t>、特膳饮品8</w:t>
            </w:r>
            <w:r>
              <w:rPr>
                <w:rFonts w:hint="default" w:ascii="Times New Roman" w:hAnsi="Times New Roman" w:eastAsia="宋体" w:cs="Times New Roman"/>
                <w:color w:val="auto"/>
                <w:sz w:val="24"/>
                <w:lang w:val="en-US" w:eastAsia="zh-CN"/>
              </w:rPr>
              <w:t>00t</w:t>
            </w:r>
            <w:r>
              <w:rPr>
                <w:rFonts w:hint="eastAsia" w:ascii="Times New Roman" w:hAnsi="Times New Roman" w:eastAsia="宋体" w:cs="Times New Roman"/>
                <w:color w:val="auto"/>
                <w:sz w:val="24"/>
                <w:lang w:val="en-US" w:eastAsia="zh-CN"/>
              </w:rPr>
              <w:t>、果冻300t、方便食品500t、其他食品800t，生产工艺流程及产污节点详见下图：</w:t>
            </w:r>
          </w:p>
          <w:p w14:paraId="48E07854">
            <w:pPr>
              <w:keepNext w:val="0"/>
              <w:keepLines w:val="0"/>
              <w:numPr>
                <w:ilvl w:val="0"/>
                <w:numId w:val="10"/>
              </w:numPr>
              <w:suppressLineNumbers w:val="0"/>
              <w:spacing w:before="0" w:beforeAutospacing="0" w:after="0" w:afterAutospacing="0" w:line="360" w:lineRule="auto"/>
              <w:ind w:left="0" w:right="0" w:firstLine="482" w:firstLineChars="200"/>
              <w:textAlignment w:val="baseline"/>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固体饮料、方便食品、其他食品生产工艺流程</w:t>
            </w:r>
          </w:p>
          <w:p w14:paraId="09372713">
            <w:pPr>
              <w:keepNext w:val="0"/>
              <w:keepLines w:val="0"/>
              <w:suppressLineNumbers w:val="0"/>
              <w:spacing w:before="0" w:beforeAutospacing="0" w:after="0" w:afterAutospacing="0" w:line="360" w:lineRule="auto"/>
              <w:ind w:left="0" w:right="0" w:firstLine="480" w:firstLineChars="200"/>
              <w:jc w:val="center"/>
              <w:textAlignment w:val="baseline"/>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object>
                <v:shape id="_x0000_i1027" o:spt="75" type="#_x0000_t75" style="height:391.65pt;width:331.15pt;" o:ole="t" filled="f" o:preferrelative="t" stroked="f" coordsize="21600,21600">
                  <v:path/>
                  <v:fill on="f" focussize="0,0"/>
                  <v:stroke on="f"/>
                  <v:imagedata r:id="rId16" o:title=""/>
                  <o:lock v:ext="edit" aspectratio="t"/>
                  <w10:wrap type="none"/>
                  <w10:anchorlock/>
                </v:shape>
                <o:OLEObject Type="Embed" ProgID="RFFlow4" ShapeID="_x0000_i1027" DrawAspect="Content" ObjectID="_1468075727" r:id="rId15">
                  <o:LockedField>false</o:LockedField>
                </o:OLEObject>
              </w:object>
            </w:r>
          </w:p>
          <w:p w14:paraId="23E89D05">
            <w:pPr>
              <w:keepNext w:val="0"/>
              <w:keepLines w:val="0"/>
              <w:suppressLineNumbers w:val="0"/>
              <w:spacing w:before="0" w:beforeAutospacing="0" w:after="0" w:afterAutospacing="0" w:line="360" w:lineRule="auto"/>
              <w:ind w:left="0" w:right="0" w:firstLine="723" w:firstLineChars="300"/>
              <w:jc w:val="center"/>
              <w:rPr>
                <w:rFonts w:hint="default"/>
                <w:color w:val="auto"/>
                <w:lang w:val="en-US"/>
              </w:rPr>
            </w:pPr>
            <w:r>
              <w:rPr>
                <w:rFonts w:hint="eastAsia" w:ascii="Times New Roman" w:hAnsi="Times New Roman" w:eastAsia="宋体" w:cs="Times New Roman"/>
                <w:b/>
                <w:bCs/>
                <w:color w:val="auto"/>
                <w:sz w:val="24"/>
                <w:lang w:val="en-US" w:eastAsia="zh-CN"/>
              </w:rPr>
              <w:t>图2.2 固体饮料、方便食品、其他食品</w:t>
            </w:r>
            <w:r>
              <w:rPr>
                <w:rFonts w:hint="eastAsia"/>
                <w:b/>
                <w:bCs/>
                <w:color w:val="auto"/>
                <w:sz w:val="24"/>
                <w:lang w:val="en-US" w:eastAsia="zh-CN"/>
              </w:rPr>
              <w:t>生产工艺流程图</w:t>
            </w:r>
          </w:p>
          <w:p w14:paraId="61B25A02">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①</w:t>
            </w:r>
            <w:r>
              <w:rPr>
                <w:rFonts w:hint="eastAsia" w:ascii="Times New Roman" w:hAnsi="Times New Roman" w:eastAsia="宋体" w:cs="Times New Roman"/>
                <w:color w:val="auto"/>
                <w:sz w:val="24"/>
                <w:lang w:val="en-US" w:eastAsia="zh-CN"/>
              </w:rPr>
              <w:t>配</w:t>
            </w:r>
            <w:r>
              <w:rPr>
                <w:rFonts w:hint="default" w:ascii="Times New Roman" w:hAnsi="Times New Roman" w:eastAsia="宋体" w:cs="Times New Roman"/>
                <w:color w:val="auto"/>
                <w:sz w:val="24"/>
                <w:lang w:val="en-US" w:eastAsia="zh-CN"/>
              </w:rPr>
              <w:t>料：将各种粉状原辅材料手工拆包后按照一定配比进行称量配料</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拆包、称重、投料均在混料间进行，拆包、称重、投料过程产生一定量的粉尘G1和废包装</w:t>
            </w:r>
            <w:r>
              <w:rPr>
                <w:rFonts w:hint="eastAsia" w:ascii="Times New Roman" w:hAnsi="Times New Roman" w:eastAsia="宋体" w:cs="Times New Roman"/>
                <w:color w:val="auto"/>
                <w:sz w:val="24"/>
                <w:lang w:val="en-US" w:eastAsia="zh-CN"/>
              </w:rPr>
              <w:t>材料</w:t>
            </w:r>
            <w:r>
              <w:rPr>
                <w:rFonts w:hint="default" w:ascii="Times New Roman" w:hAnsi="Times New Roman" w:eastAsia="宋体" w:cs="Times New Roman"/>
                <w:color w:val="auto"/>
                <w:sz w:val="24"/>
                <w:lang w:val="en-US" w:eastAsia="zh-CN"/>
              </w:rPr>
              <w:t>S1。</w:t>
            </w:r>
          </w:p>
          <w:p w14:paraId="7E3024EC">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lang w:val="en-US" w:eastAsia="zh-CN"/>
              </w:rPr>
              <w:t>烘干：采用热风循环烘箱对</w:t>
            </w:r>
            <w:r>
              <w:rPr>
                <w:rFonts w:hint="eastAsia" w:ascii="Times New Roman" w:hAnsi="Times New Roman" w:cs="Times New Roman"/>
                <w:color w:val="auto"/>
                <w:sz w:val="24"/>
                <w:szCs w:val="24"/>
                <w:lang w:val="en-US" w:eastAsia="zh-CN"/>
              </w:rPr>
              <w:t>部分</w:t>
            </w:r>
            <w:r>
              <w:rPr>
                <w:rFonts w:hint="default" w:ascii="Times New Roman" w:hAnsi="Times New Roman" w:cs="Times New Roman"/>
                <w:color w:val="auto"/>
                <w:sz w:val="24"/>
                <w:szCs w:val="24"/>
                <w:lang w:val="en-US" w:eastAsia="zh-CN"/>
              </w:rPr>
              <w:t>原料</w:t>
            </w:r>
            <w:r>
              <w:rPr>
                <w:rFonts w:hint="eastAsia" w:ascii="Times New Roman" w:hAnsi="Times New Roman" w:cs="Times New Roman"/>
                <w:color w:val="auto"/>
                <w:sz w:val="24"/>
                <w:szCs w:val="24"/>
                <w:lang w:val="en-US" w:eastAsia="zh-CN"/>
              </w:rPr>
              <w:t>（如麦芽糊精、抗性糊精）</w:t>
            </w:r>
            <w:r>
              <w:rPr>
                <w:rFonts w:hint="default" w:ascii="Times New Roman" w:hAnsi="Times New Roman" w:cs="Times New Roman"/>
                <w:color w:val="auto"/>
                <w:sz w:val="24"/>
                <w:szCs w:val="24"/>
                <w:lang w:val="en-US" w:eastAsia="zh-CN"/>
              </w:rPr>
              <w:t>进行干燥，设定温度60-70℃，干燥时间2-4小时。</w:t>
            </w:r>
          </w:p>
          <w:p w14:paraId="35AADBBB">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③</w:t>
            </w:r>
            <w:r>
              <w:rPr>
                <w:rFonts w:hint="default" w:ascii="Times New Roman" w:hAnsi="Times New Roman" w:eastAsia="宋体" w:cs="Times New Roman"/>
                <w:color w:val="auto"/>
                <w:sz w:val="24"/>
                <w:lang w:val="en-US" w:eastAsia="zh-CN"/>
              </w:rPr>
              <w:t>混合</w:t>
            </w:r>
            <w:r>
              <w:rPr>
                <w:rFonts w:hint="eastAsia" w:cs="Times New Roman"/>
                <w:color w:val="auto"/>
                <w:sz w:val="24"/>
                <w:lang w:val="en-US" w:eastAsia="zh-CN"/>
              </w:rPr>
              <w:t>、过筛</w:t>
            </w:r>
            <w:r>
              <w:rPr>
                <w:rFonts w:hint="default" w:ascii="Times New Roman" w:hAnsi="Times New Roman" w:eastAsia="宋体" w:cs="Times New Roman"/>
                <w:color w:val="auto"/>
                <w:sz w:val="24"/>
                <w:lang w:val="en-US" w:eastAsia="zh-CN"/>
              </w:rPr>
              <w:t>：配好料后进入混合机混合搅拌，确保物料混合均匀。</w:t>
            </w:r>
            <w:r>
              <w:rPr>
                <w:rFonts w:hint="eastAsia" w:ascii="Times New Roman" w:hAnsi="Times New Roman" w:cs="Times New Roman"/>
                <w:color w:val="auto"/>
                <w:sz w:val="24"/>
                <w:szCs w:val="24"/>
                <w:lang w:val="en-US" w:eastAsia="zh-CN"/>
              </w:rPr>
              <w:t>混合后的物料通过振动筛进行过筛，以去除结块和杂质，确保产品粒度均匀。</w:t>
            </w:r>
            <w:r>
              <w:rPr>
                <w:rFonts w:hint="eastAsia" w:cs="Times New Roman"/>
                <w:color w:val="auto"/>
                <w:sz w:val="24"/>
                <w:lang w:val="en-US" w:eastAsia="zh-CN"/>
              </w:rPr>
              <w:t>此</w:t>
            </w:r>
            <w:r>
              <w:rPr>
                <w:rFonts w:hint="default" w:ascii="Times New Roman" w:hAnsi="Times New Roman" w:eastAsia="宋体" w:cs="Times New Roman"/>
                <w:color w:val="auto"/>
                <w:sz w:val="24"/>
                <w:lang w:val="en-US" w:eastAsia="zh-CN"/>
              </w:rPr>
              <w:t>过程产生一定量的粉尘G1。</w:t>
            </w:r>
          </w:p>
          <w:p w14:paraId="50C76362">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③充填：将过筛后的均匀物料按规格定量充填入包装容器中。</w:t>
            </w:r>
          </w:p>
          <w:p w14:paraId="6D98F116">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④</w:t>
            </w:r>
            <w:r>
              <w:rPr>
                <w:rFonts w:hint="eastAsia" w:ascii="Times New Roman" w:hAnsi="Times New Roman" w:cs="Times New Roman"/>
                <w:color w:val="auto"/>
                <w:sz w:val="24"/>
                <w:szCs w:val="24"/>
                <w:lang w:val="en-US" w:eastAsia="zh-CN"/>
              </w:rPr>
              <w:t>金检：充填后的产品通过金属检测机，检测</w:t>
            </w:r>
            <w:r>
              <w:rPr>
                <w:rFonts w:hint="eastAsia" w:cs="Times New Roman"/>
                <w:color w:val="auto"/>
                <w:sz w:val="24"/>
                <w:szCs w:val="24"/>
                <w:lang w:val="en-US" w:eastAsia="zh-CN"/>
              </w:rPr>
              <w:t>是否有金属异物</w:t>
            </w:r>
            <w:r>
              <w:rPr>
                <w:rFonts w:hint="eastAsia" w:ascii="Times New Roman" w:hAnsi="Times New Roman" w:cs="Times New Roman"/>
                <w:color w:val="auto"/>
                <w:sz w:val="24"/>
                <w:szCs w:val="24"/>
                <w:lang w:val="en-US" w:eastAsia="zh-CN"/>
              </w:rPr>
              <w:t>，保证产品安全</w:t>
            </w:r>
            <w:r>
              <w:rPr>
                <w:rFonts w:hint="eastAsia" w:cs="Times New Roman"/>
                <w:color w:val="auto"/>
                <w:sz w:val="24"/>
                <w:szCs w:val="24"/>
                <w:lang w:val="en-US" w:eastAsia="zh-CN"/>
              </w:rPr>
              <w:t>，此过程产生金检不合格品S2</w:t>
            </w:r>
            <w:r>
              <w:rPr>
                <w:rFonts w:hint="eastAsia" w:ascii="Times New Roman" w:hAnsi="Times New Roman" w:cs="Times New Roman"/>
                <w:color w:val="auto"/>
                <w:sz w:val="24"/>
                <w:szCs w:val="24"/>
                <w:lang w:val="en-US" w:eastAsia="zh-CN"/>
              </w:rPr>
              <w:t>。</w:t>
            </w:r>
          </w:p>
          <w:p w14:paraId="100C5E68">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⑤成品包装：</w:t>
            </w:r>
            <w:r>
              <w:rPr>
                <w:rFonts w:hint="default" w:ascii="Times New Roman" w:hAnsi="Times New Roman" w:eastAsia="宋体" w:cs="Times New Roman"/>
                <w:color w:val="auto"/>
                <w:sz w:val="24"/>
                <w:lang w:val="en-US" w:eastAsia="zh-CN"/>
              </w:rPr>
              <w:t>制作完成后的固体饮料经过贴标、内、外包装后即为成品。包装过程有少量的废包装材料产生。外购洁净消毒后的塑料袋对</w:t>
            </w:r>
            <w:r>
              <w:rPr>
                <w:rFonts w:hint="eastAsia" w:cs="Times New Roman"/>
                <w:color w:val="auto"/>
                <w:sz w:val="24"/>
                <w:lang w:val="en-US" w:eastAsia="zh-CN"/>
              </w:rPr>
              <w:t>产品</w:t>
            </w:r>
            <w:r>
              <w:rPr>
                <w:rFonts w:hint="default" w:ascii="Times New Roman" w:hAnsi="Times New Roman" w:eastAsia="宋体" w:cs="Times New Roman"/>
                <w:color w:val="auto"/>
                <w:sz w:val="24"/>
                <w:lang w:val="en-US" w:eastAsia="zh-CN"/>
              </w:rPr>
              <w:t>进行分装。</w:t>
            </w:r>
          </w:p>
          <w:p w14:paraId="09EA6A80">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⑥成品检验：</w:t>
            </w:r>
            <w:r>
              <w:rPr>
                <w:rFonts w:hint="default" w:ascii="Times New Roman" w:hAnsi="Times New Roman" w:eastAsia="宋体" w:cs="Times New Roman"/>
                <w:color w:val="auto"/>
                <w:sz w:val="24"/>
                <w:lang w:val="en-US" w:eastAsia="zh-CN"/>
              </w:rPr>
              <w:t>质检员抽样检查，经检验合格后入库待售。检验过程有少量的</w:t>
            </w:r>
            <w:r>
              <w:rPr>
                <w:rFonts w:hint="eastAsia" w:cs="Times New Roman"/>
                <w:color w:val="auto"/>
                <w:sz w:val="24"/>
                <w:lang w:val="en-US" w:eastAsia="zh-CN"/>
              </w:rPr>
              <w:t>包装</w:t>
            </w:r>
            <w:r>
              <w:rPr>
                <w:rFonts w:hint="default" w:ascii="Times New Roman" w:hAnsi="Times New Roman" w:eastAsia="宋体" w:cs="Times New Roman"/>
                <w:color w:val="auto"/>
                <w:sz w:val="24"/>
                <w:lang w:val="en-US" w:eastAsia="zh-CN"/>
              </w:rPr>
              <w:t>不合格产品</w:t>
            </w:r>
            <w:r>
              <w:rPr>
                <w:rFonts w:hint="eastAsia" w:cs="Times New Roman"/>
                <w:color w:val="auto"/>
                <w:sz w:val="24"/>
                <w:lang w:val="en-US" w:eastAsia="zh-CN"/>
              </w:rPr>
              <w:t>（充填重量不合格、充填漏气、包材不合格等）S3</w:t>
            </w:r>
            <w:r>
              <w:rPr>
                <w:rFonts w:hint="default" w:ascii="Times New Roman" w:hAnsi="Times New Roman" w:eastAsia="宋体" w:cs="Times New Roman"/>
                <w:color w:val="auto"/>
                <w:sz w:val="24"/>
                <w:lang w:val="en-US" w:eastAsia="zh-CN"/>
              </w:rPr>
              <w:t>产生。</w:t>
            </w:r>
          </w:p>
          <w:p w14:paraId="60B89275">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⑦</w:t>
            </w:r>
            <w:r>
              <w:rPr>
                <w:rFonts w:hint="eastAsia" w:ascii="Times New Roman" w:hAnsi="Times New Roman" w:eastAsia="宋体" w:cs="Times New Roman"/>
                <w:color w:val="auto"/>
                <w:sz w:val="24"/>
                <w:lang w:val="en-US" w:eastAsia="zh-CN"/>
              </w:rPr>
              <w:t>入库</w:t>
            </w:r>
            <w:r>
              <w:rPr>
                <w:rFonts w:hint="default" w:ascii="Times New Roman" w:hAnsi="Times New Roman" w:eastAsia="宋体" w:cs="Times New Roman"/>
                <w:color w:val="auto"/>
                <w:sz w:val="24"/>
                <w:lang w:val="en-US" w:eastAsia="zh-CN"/>
              </w:rPr>
              <w:t>：检验合格的成品送入仓库储存，待售。</w:t>
            </w:r>
          </w:p>
          <w:p w14:paraId="1B5183FB">
            <w:pPr>
              <w:keepNext w:val="0"/>
              <w:keepLines w:val="0"/>
              <w:numPr>
                <w:ilvl w:val="0"/>
                <w:numId w:val="10"/>
              </w:numPr>
              <w:suppressLineNumbers w:val="0"/>
              <w:spacing w:before="0" w:beforeAutospacing="0" w:after="0" w:afterAutospacing="0" w:line="360" w:lineRule="auto"/>
              <w:ind w:left="0" w:leftChars="0" w:right="0" w:firstLine="482" w:firstLineChars="200"/>
              <w:textAlignment w:val="baseline"/>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特膳饮品</w:t>
            </w:r>
            <w:r>
              <w:rPr>
                <w:rFonts w:hint="eastAsia" w:cs="Times New Roman"/>
                <w:b/>
                <w:bCs/>
                <w:color w:val="auto"/>
                <w:sz w:val="24"/>
                <w:lang w:val="en-US" w:eastAsia="zh-CN"/>
              </w:rPr>
              <w:t>、果冻</w:t>
            </w:r>
            <w:r>
              <w:rPr>
                <w:rFonts w:hint="eastAsia" w:ascii="Times New Roman" w:hAnsi="Times New Roman" w:eastAsia="宋体" w:cs="Times New Roman"/>
                <w:b/>
                <w:bCs/>
                <w:color w:val="auto"/>
                <w:sz w:val="24"/>
                <w:lang w:val="en-US" w:eastAsia="zh-CN"/>
              </w:rPr>
              <w:t>生产工艺流程</w:t>
            </w:r>
          </w:p>
          <w:p w14:paraId="2AC72BCF">
            <w:pPr>
              <w:keepNext w:val="0"/>
              <w:keepLines w:val="0"/>
              <w:suppressLineNumbers w:val="0"/>
              <w:spacing w:before="0" w:beforeAutospacing="0" w:after="0" w:afterAutospacing="0" w:line="360" w:lineRule="auto"/>
              <w:ind w:left="0" w:right="0" w:firstLine="480" w:firstLineChars="200"/>
              <w:jc w:val="center"/>
              <w:textAlignment w:val="baseline"/>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object>
                <v:shape id="_x0000_i1028" o:spt="75" type="#_x0000_t75" style="height:396.6pt;width:331.8pt;" o:ole="t" filled="f" o:preferrelative="t" stroked="f" coordsize="21600,21600">
                  <v:path/>
                  <v:fill on="f" focussize="0,0"/>
                  <v:stroke on="f"/>
                  <v:imagedata r:id="rId18" o:title=""/>
                  <o:lock v:ext="edit" aspectratio="t"/>
                  <w10:wrap type="none"/>
                  <w10:anchorlock/>
                </v:shape>
                <o:OLEObject Type="Embed" ProgID="RFFlow4" ShapeID="_x0000_i1028" DrawAspect="Content" ObjectID="_1468075728" r:id="rId17">
                  <o:LockedField>false</o:LockedField>
                </o:OLEObject>
              </w:object>
            </w:r>
          </w:p>
          <w:p w14:paraId="46B1A617">
            <w:pPr>
              <w:keepNext w:val="0"/>
              <w:keepLines w:val="0"/>
              <w:suppressLineNumbers w:val="0"/>
              <w:spacing w:before="0" w:beforeAutospacing="0" w:after="0" w:afterAutospacing="0" w:line="360" w:lineRule="auto"/>
              <w:ind w:left="0" w:right="0" w:firstLine="482" w:firstLineChars="200"/>
              <w:jc w:val="center"/>
              <w:rPr>
                <w:rFonts w:hint="default"/>
                <w:color w:val="auto"/>
                <w:lang w:val="en-US"/>
              </w:rPr>
            </w:pPr>
            <w:r>
              <w:rPr>
                <w:rFonts w:hint="eastAsia" w:ascii="Times New Roman" w:hAnsi="Times New Roman" w:eastAsia="宋体" w:cs="Times New Roman"/>
                <w:b/>
                <w:bCs/>
                <w:color w:val="auto"/>
                <w:sz w:val="24"/>
                <w:lang w:val="en-US" w:eastAsia="zh-CN"/>
              </w:rPr>
              <w:t>图2.</w:t>
            </w:r>
            <w:r>
              <w:rPr>
                <w:rFonts w:hint="eastAsia" w:cs="Times New Roman"/>
                <w:b/>
                <w:bCs/>
                <w:color w:val="auto"/>
                <w:sz w:val="24"/>
                <w:lang w:val="en-US" w:eastAsia="zh-CN"/>
              </w:rPr>
              <w:t>3</w:t>
            </w:r>
            <w:r>
              <w:rPr>
                <w:rFonts w:hint="eastAsia" w:ascii="Times New Roman" w:hAnsi="Times New Roman" w:eastAsia="宋体" w:cs="Times New Roman"/>
                <w:b/>
                <w:bCs/>
                <w:color w:val="auto"/>
                <w:sz w:val="24"/>
                <w:lang w:val="en-US" w:eastAsia="zh-CN"/>
              </w:rPr>
              <w:t xml:space="preserve"> </w:t>
            </w:r>
            <w:r>
              <w:rPr>
                <w:rFonts w:hint="eastAsia" w:cs="Times New Roman"/>
                <w:b/>
                <w:bCs/>
                <w:color w:val="auto"/>
                <w:sz w:val="24"/>
                <w:lang w:val="en-US" w:eastAsia="zh-CN"/>
              </w:rPr>
              <w:t>特膳饮品、</w:t>
            </w:r>
            <w:r>
              <w:rPr>
                <w:rFonts w:hint="eastAsia" w:ascii="Times New Roman" w:hAnsi="Times New Roman" w:eastAsia="宋体" w:cs="Times New Roman"/>
                <w:b/>
                <w:bCs/>
                <w:color w:val="auto"/>
                <w:sz w:val="24"/>
                <w:lang w:val="en-US" w:eastAsia="zh-CN"/>
              </w:rPr>
              <w:t>果冻</w:t>
            </w:r>
            <w:r>
              <w:rPr>
                <w:rFonts w:hint="eastAsia"/>
                <w:b/>
                <w:bCs/>
                <w:color w:val="auto"/>
                <w:sz w:val="24"/>
                <w:lang w:val="en-US" w:eastAsia="zh-CN"/>
              </w:rPr>
              <w:t>生产工艺流程图</w:t>
            </w:r>
          </w:p>
          <w:p w14:paraId="43A9BD46">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①</w:t>
            </w:r>
            <w:r>
              <w:rPr>
                <w:rFonts w:hint="eastAsia" w:ascii="Times New Roman" w:hAnsi="Times New Roman" w:eastAsia="宋体" w:cs="Times New Roman"/>
                <w:color w:val="auto"/>
                <w:sz w:val="24"/>
                <w:lang w:val="en-US" w:eastAsia="zh-CN"/>
              </w:rPr>
              <w:t>配</w:t>
            </w:r>
            <w:r>
              <w:rPr>
                <w:rFonts w:hint="default" w:ascii="Times New Roman" w:hAnsi="Times New Roman" w:eastAsia="宋体" w:cs="Times New Roman"/>
                <w:color w:val="auto"/>
                <w:sz w:val="24"/>
                <w:lang w:val="en-US" w:eastAsia="zh-CN"/>
              </w:rPr>
              <w:t>料：将各种粉状原辅材料手工拆包后按照一定配比进行称量配料</w:t>
            </w:r>
            <w:r>
              <w:rPr>
                <w:rFonts w:hint="eastAsia" w:ascii="Times New Roman" w:hAnsi="Times New Roman" w:eastAsia="宋体" w:cs="Times New Roman"/>
                <w:color w:val="auto"/>
                <w:sz w:val="24"/>
                <w:lang w:val="en-US" w:eastAsia="zh-CN"/>
              </w:rPr>
              <w:t>，部分需要干燥的原辅料进行干燥，</w:t>
            </w:r>
            <w:r>
              <w:rPr>
                <w:rFonts w:hint="default" w:ascii="Times New Roman" w:hAnsi="Times New Roman" w:eastAsia="宋体" w:cs="Times New Roman"/>
                <w:color w:val="auto"/>
                <w:sz w:val="24"/>
                <w:lang w:val="en-US" w:eastAsia="zh-CN"/>
              </w:rPr>
              <w:t>拆包、称重、投料均在混料间进行，拆包、称重、投料过程产生一定量的粉尘G1和废包装</w:t>
            </w:r>
            <w:r>
              <w:rPr>
                <w:rFonts w:hint="eastAsia" w:ascii="Times New Roman" w:hAnsi="Times New Roman" w:eastAsia="宋体" w:cs="Times New Roman"/>
                <w:color w:val="auto"/>
                <w:sz w:val="24"/>
                <w:lang w:val="en-US" w:eastAsia="zh-CN"/>
              </w:rPr>
              <w:t>材料</w:t>
            </w:r>
            <w:r>
              <w:rPr>
                <w:rFonts w:hint="default" w:ascii="Times New Roman" w:hAnsi="Times New Roman" w:eastAsia="宋体" w:cs="Times New Roman"/>
                <w:color w:val="auto"/>
                <w:sz w:val="24"/>
                <w:lang w:val="en-US" w:eastAsia="zh-CN"/>
              </w:rPr>
              <w:t>S1。</w:t>
            </w:r>
          </w:p>
          <w:p w14:paraId="442DEE95">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②融料：配好料后进入夹层锅进行熬煮（其中果冻制作中需加入凝胶剂），</w:t>
            </w:r>
            <w:r>
              <w:rPr>
                <w:rFonts w:hint="eastAsia" w:cs="Times New Roman"/>
                <w:color w:val="auto"/>
                <w:sz w:val="24"/>
                <w:szCs w:val="24"/>
                <w:lang w:val="en-US" w:eastAsia="zh-CN"/>
              </w:rPr>
              <w:t>采用电加热，</w:t>
            </w:r>
            <w:r>
              <w:rPr>
                <w:rFonts w:hint="eastAsia" w:ascii="Times New Roman" w:hAnsi="Times New Roman" w:cs="Times New Roman"/>
                <w:color w:val="auto"/>
                <w:sz w:val="24"/>
                <w:szCs w:val="24"/>
                <w:lang w:val="en-US" w:eastAsia="zh-CN"/>
              </w:rPr>
              <w:t>保持搅拌，恒温熬煮30分钟，使其完全溶解。</w:t>
            </w:r>
          </w:p>
          <w:p w14:paraId="5A43F69C">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③UHT杀菌：液料经管道输送</w:t>
            </w:r>
            <w:r>
              <w:rPr>
                <w:rFonts w:hint="eastAsia" w:cs="Times New Roman"/>
                <w:color w:val="auto"/>
                <w:sz w:val="24"/>
                <w:szCs w:val="24"/>
                <w:lang w:val="en-US" w:eastAsia="zh-CN"/>
              </w:rPr>
              <w:t>进行</w:t>
            </w:r>
            <w:r>
              <w:rPr>
                <w:rFonts w:hint="eastAsia" w:ascii="Times New Roman" w:hAnsi="Times New Roman" w:cs="Times New Roman"/>
                <w:color w:val="auto"/>
                <w:sz w:val="24"/>
                <w:szCs w:val="24"/>
                <w:lang w:val="en-US" w:eastAsia="zh-CN"/>
              </w:rPr>
              <w:t>超高温瞬时灭菌。在连续流动状态下，迅速加热至135-150℃，保持2-5秒，瞬间杀灭所有微生物，随后经冷却段迅速冷却至室温。由天然气蒸汽发生器提供蒸汽进行间接加热</w:t>
            </w:r>
            <w:r>
              <w:rPr>
                <w:rFonts w:hint="eastAsia" w:cs="Times New Roman"/>
                <w:color w:val="auto"/>
                <w:sz w:val="24"/>
                <w:szCs w:val="24"/>
                <w:lang w:val="en-US" w:eastAsia="zh-CN"/>
              </w:rPr>
              <w:t>，此过程产生G2天然气燃烧废气，此过程产生循环冷却水W1，不外排</w:t>
            </w:r>
            <w:r>
              <w:rPr>
                <w:rFonts w:hint="eastAsia" w:ascii="Times New Roman" w:hAnsi="Times New Roman" w:cs="Times New Roman"/>
                <w:color w:val="auto"/>
                <w:sz w:val="24"/>
                <w:szCs w:val="24"/>
                <w:lang w:val="en-US" w:eastAsia="zh-CN"/>
              </w:rPr>
              <w:t>。</w:t>
            </w:r>
          </w:p>
          <w:p w14:paraId="5B21FDFC">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④灌装</w:t>
            </w:r>
            <w:r>
              <w:rPr>
                <w:rFonts w:hint="eastAsia" w:ascii="Times New Roman" w:hAnsi="Times New Roman" w:cs="Times New Roman"/>
                <w:color w:val="auto"/>
                <w:sz w:val="24"/>
                <w:szCs w:val="24"/>
                <w:lang w:val="en-US" w:eastAsia="zh-CN"/>
              </w:rPr>
              <w:t>：杀菌后的液料通过自动化灌装线的灌装机，在洁净灌装区内，定量灌入外购的洁净消毒后的</w:t>
            </w:r>
            <w:r>
              <w:rPr>
                <w:rFonts w:hint="eastAsia" w:cs="Times New Roman"/>
                <w:color w:val="auto"/>
                <w:sz w:val="24"/>
                <w:szCs w:val="24"/>
                <w:lang w:val="en-US" w:eastAsia="zh-CN"/>
              </w:rPr>
              <w:t>包装容器</w:t>
            </w:r>
            <w:r>
              <w:rPr>
                <w:rFonts w:hint="eastAsia" w:ascii="Times New Roman" w:hAnsi="Times New Roman" w:cs="Times New Roman"/>
                <w:color w:val="auto"/>
                <w:sz w:val="24"/>
                <w:szCs w:val="24"/>
                <w:lang w:val="en-US" w:eastAsia="zh-CN"/>
              </w:rPr>
              <w:t>中。</w:t>
            </w:r>
          </w:p>
          <w:p w14:paraId="7F7827C4">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⑤巴氏杀菌：进入巴氏杀菌线进行杀菌，杀菌温度为90-100</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，杀菌时间为40min</w:t>
            </w:r>
            <w:r>
              <w:rPr>
                <w:rFonts w:hint="eastAsia" w:cs="Times New Roman"/>
                <w:color w:val="auto"/>
                <w:sz w:val="24"/>
                <w:szCs w:val="24"/>
                <w:lang w:val="en-US" w:eastAsia="zh-CN"/>
              </w:rPr>
              <w:t>，杀菌后冷却至室温。</w:t>
            </w:r>
            <w:r>
              <w:rPr>
                <w:rFonts w:hint="eastAsia" w:ascii="Times New Roman" w:hAnsi="Times New Roman" w:cs="Times New Roman"/>
                <w:color w:val="auto"/>
                <w:sz w:val="24"/>
                <w:szCs w:val="24"/>
                <w:lang w:val="en-US" w:eastAsia="zh-CN"/>
              </w:rPr>
              <w:t>由天然气蒸汽发生器提供蒸汽进行间接加热</w:t>
            </w:r>
            <w:r>
              <w:rPr>
                <w:rFonts w:hint="eastAsia" w:cs="Times New Roman"/>
                <w:color w:val="auto"/>
                <w:sz w:val="24"/>
                <w:szCs w:val="24"/>
                <w:lang w:val="en-US" w:eastAsia="zh-CN"/>
              </w:rPr>
              <w:t>，此过程产生G2天然气燃烧废气，此过程产生循环冷却水W1，不外排</w:t>
            </w:r>
            <w:r>
              <w:rPr>
                <w:rFonts w:hint="eastAsia" w:ascii="Times New Roman" w:hAnsi="Times New Roman" w:cs="Times New Roman"/>
                <w:color w:val="auto"/>
                <w:sz w:val="24"/>
                <w:szCs w:val="24"/>
                <w:lang w:val="en-US" w:eastAsia="zh-CN"/>
              </w:rPr>
              <w:t>。</w:t>
            </w:r>
          </w:p>
          <w:p w14:paraId="145BD6AD">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⑥金检：产品通过金属检测机，检测</w:t>
            </w:r>
            <w:r>
              <w:rPr>
                <w:rFonts w:hint="eastAsia" w:cs="Times New Roman"/>
                <w:color w:val="auto"/>
                <w:sz w:val="24"/>
                <w:szCs w:val="24"/>
                <w:lang w:val="en-US" w:eastAsia="zh-CN"/>
              </w:rPr>
              <w:t>是否有金属异物</w:t>
            </w:r>
            <w:r>
              <w:rPr>
                <w:rFonts w:hint="eastAsia" w:ascii="Times New Roman" w:hAnsi="Times New Roman" w:cs="Times New Roman"/>
                <w:color w:val="auto"/>
                <w:sz w:val="24"/>
                <w:szCs w:val="24"/>
                <w:lang w:val="en-US" w:eastAsia="zh-CN"/>
              </w:rPr>
              <w:t>，保证产品安全</w:t>
            </w:r>
            <w:r>
              <w:rPr>
                <w:rFonts w:hint="eastAsia" w:cs="Times New Roman"/>
                <w:color w:val="auto"/>
                <w:sz w:val="24"/>
                <w:szCs w:val="24"/>
                <w:lang w:val="en-US" w:eastAsia="zh-CN"/>
              </w:rPr>
              <w:t>，此过程产生金检不合格品S2</w:t>
            </w:r>
            <w:r>
              <w:rPr>
                <w:rFonts w:hint="eastAsia" w:ascii="Times New Roman" w:hAnsi="Times New Roman" w:cs="Times New Roman"/>
                <w:color w:val="auto"/>
                <w:sz w:val="24"/>
                <w:szCs w:val="24"/>
                <w:lang w:val="en-US" w:eastAsia="zh-CN"/>
              </w:rPr>
              <w:t>。</w:t>
            </w:r>
          </w:p>
          <w:p w14:paraId="03856DEF">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⑦</w:t>
            </w:r>
            <w:r>
              <w:rPr>
                <w:rFonts w:hint="eastAsia" w:ascii="Times New Roman" w:hAnsi="Times New Roman" w:cs="Times New Roman"/>
                <w:color w:val="auto"/>
                <w:sz w:val="24"/>
                <w:szCs w:val="24"/>
                <w:lang w:val="en-US" w:eastAsia="zh-CN"/>
              </w:rPr>
              <w:t>成品包装：</w:t>
            </w:r>
            <w:r>
              <w:rPr>
                <w:rFonts w:hint="default" w:ascii="Times New Roman" w:hAnsi="Times New Roman" w:eastAsia="宋体" w:cs="Times New Roman"/>
                <w:color w:val="auto"/>
                <w:sz w:val="24"/>
                <w:lang w:val="en-US" w:eastAsia="zh-CN"/>
              </w:rPr>
              <w:t>制作完成后的</w:t>
            </w:r>
            <w:r>
              <w:rPr>
                <w:rFonts w:hint="eastAsia" w:ascii="Times New Roman" w:hAnsi="Times New Roman" w:eastAsia="宋体" w:cs="Times New Roman"/>
                <w:color w:val="auto"/>
                <w:sz w:val="24"/>
                <w:lang w:val="en-US" w:eastAsia="zh-CN"/>
              </w:rPr>
              <w:t>成品</w:t>
            </w:r>
            <w:r>
              <w:rPr>
                <w:rFonts w:hint="default" w:ascii="Times New Roman" w:hAnsi="Times New Roman" w:eastAsia="宋体" w:cs="Times New Roman"/>
                <w:color w:val="auto"/>
                <w:sz w:val="24"/>
                <w:lang w:val="en-US" w:eastAsia="zh-CN"/>
              </w:rPr>
              <w:t>经过贴标、内、外包装后即为成品。包装过程有少量的废包装材料产生。</w:t>
            </w:r>
          </w:p>
          <w:p w14:paraId="0353561E">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⑧</w:t>
            </w:r>
            <w:r>
              <w:rPr>
                <w:rFonts w:hint="eastAsia" w:ascii="Times New Roman" w:hAnsi="Times New Roman" w:cs="Times New Roman"/>
                <w:color w:val="auto"/>
                <w:sz w:val="24"/>
                <w:szCs w:val="24"/>
                <w:lang w:val="en-US" w:eastAsia="zh-CN"/>
              </w:rPr>
              <w:t>成品检验：</w:t>
            </w:r>
            <w:r>
              <w:rPr>
                <w:rFonts w:hint="default" w:ascii="Times New Roman" w:hAnsi="Times New Roman" w:eastAsia="宋体" w:cs="Times New Roman"/>
                <w:color w:val="auto"/>
                <w:sz w:val="24"/>
                <w:lang w:val="en-US" w:eastAsia="zh-CN"/>
              </w:rPr>
              <w:t>质检员抽样检查，经检验合格后入库待售。检验过程有少量的</w:t>
            </w:r>
            <w:r>
              <w:rPr>
                <w:rFonts w:hint="eastAsia" w:cs="Times New Roman"/>
                <w:color w:val="auto"/>
                <w:sz w:val="24"/>
                <w:lang w:val="en-US" w:eastAsia="zh-CN"/>
              </w:rPr>
              <w:t>包装</w:t>
            </w:r>
            <w:r>
              <w:rPr>
                <w:rFonts w:hint="default" w:ascii="Times New Roman" w:hAnsi="Times New Roman" w:eastAsia="宋体" w:cs="Times New Roman"/>
                <w:color w:val="auto"/>
                <w:sz w:val="24"/>
                <w:lang w:val="en-US" w:eastAsia="zh-CN"/>
              </w:rPr>
              <w:t>不合格产品</w:t>
            </w:r>
            <w:r>
              <w:rPr>
                <w:rFonts w:hint="eastAsia" w:cs="Times New Roman"/>
                <w:color w:val="auto"/>
                <w:sz w:val="24"/>
                <w:lang w:val="en-US" w:eastAsia="zh-CN"/>
              </w:rPr>
              <w:t>（充填重量不合格、充填漏气、包材不合格等）S3</w:t>
            </w:r>
            <w:r>
              <w:rPr>
                <w:rFonts w:hint="default" w:ascii="Times New Roman" w:hAnsi="Times New Roman" w:eastAsia="宋体" w:cs="Times New Roman"/>
                <w:color w:val="auto"/>
                <w:sz w:val="24"/>
                <w:lang w:val="en-US" w:eastAsia="zh-CN"/>
              </w:rPr>
              <w:t>产生。</w:t>
            </w:r>
          </w:p>
          <w:p w14:paraId="4553F6E0">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⑨入库</w:t>
            </w:r>
            <w:r>
              <w:rPr>
                <w:rFonts w:hint="default" w:ascii="Times New Roman" w:hAnsi="Times New Roman" w:eastAsia="宋体" w:cs="Times New Roman"/>
                <w:color w:val="auto"/>
                <w:sz w:val="24"/>
                <w:lang w:val="en-US" w:eastAsia="zh-CN"/>
              </w:rPr>
              <w:t>：检验合格的成品送入仓库储存，待售。</w:t>
            </w:r>
          </w:p>
          <w:p w14:paraId="7DE208C8">
            <w:pPr>
              <w:keepNext w:val="0"/>
              <w:keepLines w:val="0"/>
              <w:numPr>
                <w:ilvl w:val="0"/>
                <w:numId w:val="11"/>
              </w:numPr>
              <w:suppressLineNumbers w:val="0"/>
              <w:spacing w:before="0" w:beforeAutospacing="0" w:after="0" w:afterAutospacing="0" w:line="360" w:lineRule="auto"/>
              <w:ind w:left="0" w:right="0" w:firstLine="482" w:firstLineChars="200"/>
              <w:textAlignment w:val="baseline"/>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压片糖果生产工艺流程</w:t>
            </w:r>
          </w:p>
          <w:p w14:paraId="4F02F756">
            <w:pPr>
              <w:keepNext w:val="0"/>
              <w:keepLines w:val="0"/>
              <w:suppressLineNumbers w:val="0"/>
              <w:spacing w:before="0" w:beforeAutospacing="0" w:after="0" w:afterAutospacing="0" w:line="360" w:lineRule="auto"/>
              <w:ind w:left="0" w:right="0" w:firstLine="480" w:firstLineChars="200"/>
              <w:jc w:val="center"/>
              <w:textAlignment w:val="baseline"/>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object>
                <v:shape id="_x0000_i1029" o:spt="75" type="#_x0000_t75" style="height:406.25pt;width:309.75pt;" o:ole="t" filled="f" o:preferrelative="t" stroked="f" coordsize="21600,21600">
                  <v:path/>
                  <v:fill on="f" focussize="0,0"/>
                  <v:stroke on="f"/>
                  <v:imagedata r:id="rId20" o:title=""/>
                  <o:lock v:ext="edit" aspectratio="t"/>
                  <w10:wrap type="none"/>
                  <w10:anchorlock/>
                </v:shape>
                <o:OLEObject Type="Embed" ProgID="RFFlow4" ShapeID="_x0000_i1029" DrawAspect="Content" ObjectID="_1468075729" r:id="rId19">
                  <o:LockedField>false</o:LockedField>
                </o:OLEObject>
              </w:object>
            </w:r>
          </w:p>
          <w:p w14:paraId="1B79EC7B">
            <w:pPr>
              <w:keepNext w:val="0"/>
              <w:keepLines w:val="0"/>
              <w:suppressLineNumbers w:val="0"/>
              <w:spacing w:before="0" w:beforeAutospacing="0" w:after="0" w:afterAutospacing="0" w:line="360" w:lineRule="auto"/>
              <w:ind w:left="0" w:right="0" w:firstLine="482" w:firstLineChars="200"/>
              <w:jc w:val="center"/>
              <w:rPr>
                <w:rFonts w:hint="default"/>
                <w:color w:val="auto"/>
                <w:lang w:val="en-US"/>
              </w:rPr>
            </w:pPr>
            <w:r>
              <w:rPr>
                <w:rFonts w:hint="eastAsia" w:ascii="Times New Roman" w:hAnsi="Times New Roman" w:eastAsia="宋体" w:cs="Times New Roman"/>
                <w:b/>
                <w:bCs/>
                <w:color w:val="auto"/>
                <w:sz w:val="24"/>
                <w:lang w:val="en-US" w:eastAsia="zh-CN"/>
              </w:rPr>
              <w:t>图2.4 压片糖果</w:t>
            </w:r>
            <w:r>
              <w:rPr>
                <w:rFonts w:hint="eastAsia"/>
                <w:b/>
                <w:bCs/>
                <w:color w:val="auto"/>
                <w:sz w:val="24"/>
                <w:lang w:val="en-US" w:eastAsia="zh-CN"/>
              </w:rPr>
              <w:t>生产工艺流程图</w:t>
            </w:r>
          </w:p>
          <w:p w14:paraId="13108DC7">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①</w:t>
            </w:r>
            <w:r>
              <w:rPr>
                <w:rFonts w:hint="eastAsia" w:ascii="Times New Roman" w:hAnsi="Times New Roman" w:eastAsia="宋体" w:cs="Times New Roman"/>
                <w:color w:val="auto"/>
                <w:sz w:val="24"/>
                <w:lang w:val="en-US" w:eastAsia="zh-CN"/>
              </w:rPr>
              <w:t>配</w:t>
            </w:r>
            <w:r>
              <w:rPr>
                <w:rFonts w:hint="default" w:ascii="Times New Roman" w:hAnsi="Times New Roman" w:eastAsia="宋体" w:cs="Times New Roman"/>
                <w:color w:val="auto"/>
                <w:sz w:val="24"/>
                <w:lang w:val="en-US" w:eastAsia="zh-CN"/>
              </w:rPr>
              <w:t>料：将各种粉状原辅材料手工拆包后按照一定配比进行称量配料</w:t>
            </w:r>
            <w:r>
              <w:rPr>
                <w:rFonts w:hint="eastAsia" w:ascii="Times New Roman" w:hAnsi="Times New Roman" w:eastAsia="宋体" w:cs="Times New Roman"/>
                <w:color w:val="auto"/>
                <w:sz w:val="24"/>
                <w:lang w:val="en-US" w:eastAsia="zh-CN"/>
              </w:rPr>
              <w:t>，部分需要干燥的原辅料进行干燥，</w:t>
            </w:r>
            <w:r>
              <w:rPr>
                <w:rFonts w:hint="default" w:ascii="Times New Roman" w:hAnsi="Times New Roman" w:eastAsia="宋体" w:cs="Times New Roman"/>
                <w:color w:val="auto"/>
                <w:sz w:val="24"/>
                <w:lang w:val="en-US" w:eastAsia="zh-CN"/>
              </w:rPr>
              <w:t>拆包、称重、投料均在密闭的混料间进行，拆包、称重、投料过程产生一定量的粉尘G1和废包装</w:t>
            </w:r>
            <w:r>
              <w:rPr>
                <w:rFonts w:hint="eastAsia" w:ascii="Times New Roman" w:hAnsi="Times New Roman" w:eastAsia="宋体" w:cs="Times New Roman"/>
                <w:color w:val="auto"/>
                <w:sz w:val="24"/>
                <w:lang w:val="en-US" w:eastAsia="zh-CN"/>
              </w:rPr>
              <w:t>材料</w:t>
            </w:r>
            <w:r>
              <w:rPr>
                <w:rFonts w:hint="default" w:ascii="Times New Roman" w:hAnsi="Times New Roman" w:eastAsia="宋体" w:cs="Times New Roman"/>
                <w:color w:val="auto"/>
                <w:sz w:val="24"/>
                <w:lang w:val="en-US" w:eastAsia="zh-CN"/>
              </w:rPr>
              <w:t>S1。</w:t>
            </w:r>
          </w:p>
          <w:p w14:paraId="03995A88">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lang w:val="en-US" w:eastAsia="zh-CN"/>
              </w:rPr>
              <w:t>烘干：采用热风循环烘箱对</w:t>
            </w:r>
            <w:r>
              <w:rPr>
                <w:rFonts w:hint="eastAsia" w:ascii="Times New Roman" w:hAnsi="Times New Roman" w:cs="Times New Roman"/>
                <w:color w:val="auto"/>
                <w:sz w:val="24"/>
                <w:szCs w:val="24"/>
                <w:lang w:val="en-US" w:eastAsia="zh-CN"/>
              </w:rPr>
              <w:t>部分</w:t>
            </w:r>
            <w:r>
              <w:rPr>
                <w:rFonts w:hint="default" w:ascii="Times New Roman" w:hAnsi="Times New Roman" w:cs="Times New Roman"/>
                <w:color w:val="auto"/>
                <w:sz w:val="24"/>
                <w:szCs w:val="24"/>
                <w:lang w:val="en-US" w:eastAsia="zh-CN"/>
              </w:rPr>
              <w:t>原料</w:t>
            </w:r>
            <w:r>
              <w:rPr>
                <w:rFonts w:hint="eastAsia" w:ascii="Times New Roman" w:hAnsi="Times New Roman" w:cs="Times New Roman"/>
                <w:color w:val="auto"/>
                <w:sz w:val="24"/>
                <w:szCs w:val="24"/>
                <w:lang w:val="en-US" w:eastAsia="zh-CN"/>
              </w:rPr>
              <w:t>（如麦芽糊精、抗性糊精）</w:t>
            </w:r>
            <w:r>
              <w:rPr>
                <w:rFonts w:hint="default" w:ascii="Times New Roman" w:hAnsi="Times New Roman" w:cs="Times New Roman"/>
                <w:color w:val="auto"/>
                <w:sz w:val="24"/>
                <w:szCs w:val="24"/>
                <w:lang w:val="en-US" w:eastAsia="zh-CN"/>
              </w:rPr>
              <w:t>进行干燥，设定温度60-70℃，干燥时间2-4小时。</w:t>
            </w:r>
          </w:p>
          <w:p w14:paraId="7134C9EA">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lang w:val="en-US" w:eastAsia="zh-CN"/>
              </w:rPr>
              <w:t>混合</w:t>
            </w:r>
            <w:r>
              <w:rPr>
                <w:rFonts w:hint="eastAsia" w:cs="Times New Roman"/>
                <w:color w:val="auto"/>
                <w:sz w:val="24"/>
                <w:lang w:val="en-US" w:eastAsia="zh-CN"/>
              </w:rPr>
              <w:t>、</w:t>
            </w:r>
            <w:r>
              <w:rPr>
                <w:rFonts w:hint="eastAsia" w:ascii="Times New Roman" w:hAnsi="Times New Roman" w:cs="Times New Roman"/>
                <w:color w:val="auto"/>
                <w:sz w:val="24"/>
                <w:szCs w:val="24"/>
                <w:lang w:val="en-US" w:eastAsia="zh-CN"/>
              </w:rPr>
              <w:t>过筛</w:t>
            </w:r>
            <w:r>
              <w:rPr>
                <w:rFonts w:hint="default" w:ascii="Times New Roman" w:hAnsi="Times New Roman" w:eastAsia="宋体" w:cs="Times New Roman"/>
                <w:color w:val="auto"/>
                <w:sz w:val="24"/>
                <w:lang w:val="en-US" w:eastAsia="zh-CN"/>
              </w:rPr>
              <w:t>：配好料后进入混合机混合搅拌，确保物料混合均匀。</w:t>
            </w:r>
            <w:r>
              <w:rPr>
                <w:rFonts w:hint="eastAsia" w:ascii="Times New Roman" w:hAnsi="Times New Roman" w:cs="Times New Roman"/>
                <w:color w:val="auto"/>
                <w:sz w:val="24"/>
                <w:szCs w:val="24"/>
                <w:lang w:val="en-US" w:eastAsia="zh-CN"/>
              </w:rPr>
              <w:t>混合后的物料通过振动筛进行过筛，以去除结块和杂质，确保产品粒度均匀。</w:t>
            </w:r>
            <w:r>
              <w:rPr>
                <w:rFonts w:hint="eastAsia" w:cs="Times New Roman"/>
                <w:color w:val="auto"/>
                <w:sz w:val="24"/>
                <w:szCs w:val="24"/>
                <w:lang w:val="en-US" w:eastAsia="zh-CN"/>
              </w:rPr>
              <w:t>此</w:t>
            </w:r>
            <w:r>
              <w:rPr>
                <w:rFonts w:hint="default" w:ascii="Times New Roman" w:hAnsi="Times New Roman" w:eastAsia="宋体" w:cs="Times New Roman"/>
                <w:color w:val="auto"/>
                <w:sz w:val="24"/>
                <w:lang w:val="en-US" w:eastAsia="zh-CN"/>
              </w:rPr>
              <w:t>过程产生一定量的粉尘G1。</w:t>
            </w:r>
          </w:p>
          <w:p w14:paraId="3435D786">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④制粒：混合均匀后的物料经管道输送至制粒机进行制粒，制成大小均匀的颗粒状，制粒后的物料密闭存放。</w:t>
            </w:r>
          </w:p>
          <w:p w14:paraId="64F29168">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⑤</w:t>
            </w:r>
            <w:r>
              <w:rPr>
                <w:rFonts w:hint="eastAsia" w:ascii="Times New Roman" w:hAnsi="Times New Roman" w:cs="Times New Roman"/>
                <w:color w:val="auto"/>
                <w:sz w:val="24"/>
                <w:szCs w:val="24"/>
                <w:lang w:val="en-US" w:eastAsia="zh-CN"/>
              </w:rPr>
              <w:t>压片：将颗粒进入压片机进行压片，在常温、高压下快速压制成型。颗粒在高压下发生塑性变形与粒子间结合，形成预定形状、重量和硬度的致密片剂。</w:t>
            </w:r>
          </w:p>
          <w:p w14:paraId="76DD61FA">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⑥数粒、分</w:t>
            </w:r>
            <w:r>
              <w:rPr>
                <w:rFonts w:hint="eastAsia" w:ascii="Times New Roman" w:hAnsi="Times New Roman" w:cs="Times New Roman"/>
                <w:color w:val="auto"/>
                <w:sz w:val="24"/>
                <w:szCs w:val="24"/>
                <w:lang w:val="en-US" w:eastAsia="zh-CN"/>
              </w:rPr>
              <w:t>装：产品进入数粒分装包装线</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进行计数。计数达到预设数量后，定量的片剂被自动充填入预先制好或在线成型的洁净塑料袋中</w:t>
            </w:r>
            <w:r>
              <w:rPr>
                <w:rFonts w:hint="eastAsia" w:cs="Times New Roman"/>
                <w:color w:val="auto"/>
                <w:sz w:val="24"/>
                <w:szCs w:val="24"/>
                <w:lang w:val="en-US" w:eastAsia="zh-CN"/>
              </w:rPr>
              <w:t>，</w:t>
            </w:r>
            <w:r>
              <w:rPr>
                <w:rFonts w:hint="default" w:ascii="Times New Roman" w:hAnsi="Times New Roman" w:eastAsia="宋体" w:cs="Times New Roman"/>
                <w:color w:val="auto"/>
                <w:sz w:val="24"/>
                <w:lang w:val="en-US" w:eastAsia="zh-CN"/>
              </w:rPr>
              <w:t>制作完成后经过贴标、内、外包装后即为成品。</w:t>
            </w:r>
          </w:p>
          <w:p w14:paraId="4550583E">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⑦</w:t>
            </w:r>
            <w:r>
              <w:rPr>
                <w:rFonts w:hint="eastAsia" w:ascii="Times New Roman" w:hAnsi="Times New Roman" w:cs="Times New Roman"/>
                <w:color w:val="auto"/>
                <w:sz w:val="24"/>
                <w:szCs w:val="24"/>
                <w:lang w:val="en-US" w:eastAsia="zh-CN"/>
              </w:rPr>
              <w:t>金检：成品通过金属检测机，检测</w:t>
            </w:r>
            <w:r>
              <w:rPr>
                <w:rFonts w:hint="eastAsia" w:cs="Times New Roman"/>
                <w:color w:val="auto"/>
                <w:sz w:val="24"/>
                <w:szCs w:val="24"/>
                <w:lang w:val="en-US" w:eastAsia="zh-CN"/>
              </w:rPr>
              <w:t>是否有金属异物</w:t>
            </w:r>
            <w:r>
              <w:rPr>
                <w:rFonts w:hint="eastAsia" w:ascii="Times New Roman" w:hAnsi="Times New Roman" w:cs="Times New Roman"/>
                <w:color w:val="auto"/>
                <w:sz w:val="24"/>
                <w:szCs w:val="24"/>
                <w:lang w:val="en-US" w:eastAsia="zh-CN"/>
              </w:rPr>
              <w:t>，保证产品安全</w:t>
            </w:r>
            <w:r>
              <w:rPr>
                <w:rFonts w:hint="eastAsia" w:cs="Times New Roman"/>
                <w:color w:val="auto"/>
                <w:sz w:val="24"/>
                <w:szCs w:val="24"/>
                <w:lang w:val="en-US" w:eastAsia="zh-CN"/>
              </w:rPr>
              <w:t>，此过程产生金检不合格品S2</w:t>
            </w:r>
            <w:r>
              <w:rPr>
                <w:rFonts w:hint="eastAsia" w:ascii="Times New Roman" w:hAnsi="Times New Roman" w:cs="Times New Roman"/>
                <w:color w:val="auto"/>
                <w:sz w:val="24"/>
                <w:szCs w:val="24"/>
                <w:lang w:val="en-US" w:eastAsia="zh-CN"/>
              </w:rPr>
              <w:t>。</w:t>
            </w:r>
          </w:p>
          <w:p w14:paraId="1DBC8BBA">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cs="Times New Roman"/>
                <w:color w:val="auto"/>
                <w:sz w:val="24"/>
                <w:szCs w:val="24"/>
                <w:lang w:val="en-US" w:eastAsia="zh-CN"/>
              </w:rPr>
              <w:t>⑧</w:t>
            </w:r>
            <w:r>
              <w:rPr>
                <w:rFonts w:hint="eastAsia" w:ascii="Times New Roman" w:hAnsi="Times New Roman" w:cs="Times New Roman"/>
                <w:color w:val="auto"/>
                <w:sz w:val="24"/>
                <w:szCs w:val="24"/>
                <w:lang w:val="en-US" w:eastAsia="zh-CN"/>
              </w:rPr>
              <w:t>成品检验：</w:t>
            </w:r>
            <w:r>
              <w:rPr>
                <w:rFonts w:hint="default" w:ascii="Times New Roman" w:hAnsi="Times New Roman" w:eastAsia="宋体" w:cs="Times New Roman"/>
                <w:color w:val="auto"/>
                <w:sz w:val="24"/>
                <w:lang w:val="en-US" w:eastAsia="zh-CN"/>
              </w:rPr>
              <w:t>质检员抽样检查，经检验合格后入库待售。检验过程有少量的</w:t>
            </w:r>
            <w:r>
              <w:rPr>
                <w:rFonts w:hint="eastAsia" w:cs="Times New Roman"/>
                <w:color w:val="auto"/>
                <w:sz w:val="24"/>
                <w:lang w:val="en-US" w:eastAsia="zh-CN"/>
              </w:rPr>
              <w:t>包装</w:t>
            </w:r>
            <w:r>
              <w:rPr>
                <w:rFonts w:hint="default" w:ascii="Times New Roman" w:hAnsi="Times New Roman" w:eastAsia="宋体" w:cs="Times New Roman"/>
                <w:color w:val="auto"/>
                <w:sz w:val="24"/>
                <w:lang w:val="en-US" w:eastAsia="zh-CN"/>
              </w:rPr>
              <w:t>不合格产品</w:t>
            </w:r>
            <w:r>
              <w:rPr>
                <w:rFonts w:hint="eastAsia" w:cs="Times New Roman"/>
                <w:color w:val="auto"/>
                <w:sz w:val="24"/>
                <w:lang w:val="en-US" w:eastAsia="zh-CN"/>
              </w:rPr>
              <w:t>（充填重量不合格、充填漏气、包材不合格等）S3</w:t>
            </w:r>
            <w:r>
              <w:rPr>
                <w:rFonts w:hint="default" w:ascii="Times New Roman" w:hAnsi="Times New Roman" w:eastAsia="宋体" w:cs="Times New Roman"/>
                <w:color w:val="auto"/>
                <w:sz w:val="24"/>
                <w:lang w:val="en-US" w:eastAsia="zh-CN"/>
              </w:rPr>
              <w:t>产生。</w:t>
            </w:r>
          </w:p>
          <w:p w14:paraId="20E930D7">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color w:val="auto"/>
                <w:sz w:val="24"/>
                <w:lang w:val="en-US" w:eastAsia="zh-CN"/>
              </w:rPr>
              <w:t>⑨入库</w:t>
            </w:r>
            <w:r>
              <w:rPr>
                <w:rFonts w:hint="default" w:ascii="Times New Roman" w:hAnsi="Times New Roman" w:eastAsia="宋体" w:cs="Times New Roman"/>
                <w:color w:val="auto"/>
                <w:sz w:val="24"/>
                <w:lang w:val="en-US" w:eastAsia="zh-CN"/>
              </w:rPr>
              <w:t>：检验合格的成品送入仓库储存，待售。</w:t>
            </w:r>
          </w:p>
          <w:p w14:paraId="6FD5778A">
            <w:pPr>
              <w:pStyle w:val="16"/>
              <w:keepNext w:val="0"/>
              <w:keepLines w:val="0"/>
              <w:suppressLineNumbers w:val="0"/>
              <w:adjustRightInd w:val="0"/>
              <w:spacing w:before="0" w:beforeAutospacing="0" w:after="0" w:afterAutospacing="0" w:line="360" w:lineRule="auto"/>
              <w:ind w:left="-73" w:leftChars="-35" w:right="0" w:firstLine="482" w:firstLineChars="200"/>
              <w:rPr>
                <w:rFonts w:hint="default"/>
                <w:b/>
                <w:color w:val="auto"/>
                <w:szCs w:val="24"/>
              </w:rPr>
            </w:pPr>
            <w:r>
              <w:rPr>
                <w:rFonts w:hint="eastAsia"/>
                <w:b/>
                <w:color w:val="auto"/>
                <w:szCs w:val="24"/>
              </w:rPr>
              <w:t>2</w:t>
            </w:r>
            <w:r>
              <w:rPr>
                <w:rFonts w:hint="default"/>
                <w:b/>
                <w:color w:val="auto"/>
                <w:szCs w:val="24"/>
              </w:rPr>
              <w:t>、产污环节分析</w:t>
            </w:r>
          </w:p>
          <w:p w14:paraId="222B353D">
            <w:pPr>
              <w:keepNext w:val="0"/>
              <w:keepLines w:val="0"/>
              <w:suppressLineNumbers w:val="0"/>
              <w:spacing w:before="0" w:beforeAutospacing="0" w:after="0" w:afterAutospacing="0" w:line="360" w:lineRule="auto"/>
              <w:ind w:left="0" w:right="0" w:firstLine="480" w:firstLineChars="200"/>
              <w:rPr>
                <w:rFonts w:hint="eastAsia"/>
                <w:color w:val="auto"/>
                <w:kern w:val="0"/>
                <w:sz w:val="24"/>
              </w:rPr>
            </w:pPr>
            <w:r>
              <w:rPr>
                <w:rFonts w:hint="default"/>
                <w:color w:val="auto"/>
                <w:kern w:val="0"/>
                <w:sz w:val="24"/>
              </w:rPr>
              <w:t>本项目产污情况详见下表</w:t>
            </w:r>
            <w:r>
              <w:rPr>
                <w:rFonts w:hint="eastAsia"/>
                <w:color w:val="auto"/>
                <w:kern w:val="0"/>
                <w:sz w:val="24"/>
              </w:rPr>
              <w:t>：</w:t>
            </w:r>
          </w:p>
          <w:p w14:paraId="1AB2875D">
            <w:pPr>
              <w:keepNext w:val="0"/>
              <w:keepLines w:val="0"/>
              <w:numPr>
                <w:ilvl w:val="0"/>
                <w:numId w:val="8"/>
              </w:numPr>
              <w:suppressLineNumbers w:val="0"/>
              <w:spacing w:before="0" w:beforeAutospacing="0" w:after="0" w:afterAutospacing="0" w:line="360" w:lineRule="auto"/>
              <w:ind w:left="0" w:leftChars="0" w:right="0" w:firstLine="0" w:firstLineChars="0"/>
              <w:jc w:val="center"/>
              <w:rPr>
                <w:rFonts w:hint="default"/>
                <w:b/>
                <w:color w:val="auto"/>
                <w:sz w:val="24"/>
              </w:rPr>
            </w:pPr>
            <w:r>
              <w:rPr>
                <w:rFonts w:hint="default"/>
                <w:b/>
                <w:color w:val="auto"/>
                <w:sz w:val="24"/>
              </w:rPr>
              <w:t>项目产污情况一览表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715"/>
              <w:gridCol w:w="1935"/>
              <w:gridCol w:w="605"/>
              <w:gridCol w:w="3773"/>
            </w:tblGrid>
            <w:tr w14:paraId="67CC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2" w:type="pct"/>
                  <w:vAlign w:val="center"/>
                </w:tcPr>
                <w:p w14:paraId="5EEAC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bCs w:val="0"/>
                      <w:color w:val="auto"/>
                      <w:sz w:val="21"/>
                      <w:szCs w:val="21"/>
                      <w:vertAlign w:val="baseline"/>
                      <w:lang w:val="en-US" w:eastAsia="zh-CN"/>
                    </w:rPr>
                  </w:pPr>
                  <w:r>
                    <w:rPr>
                      <w:rFonts w:hint="eastAsia" w:ascii="Times New Roman" w:hAnsi="Times New Roman" w:eastAsia="宋体"/>
                      <w:b/>
                      <w:bCs w:val="0"/>
                      <w:color w:val="auto"/>
                      <w:sz w:val="21"/>
                      <w:szCs w:val="21"/>
                      <w:vertAlign w:val="baseline"/>
                      <w:lang w:val="en-US" w:eastAsia="zh-CN"/>
                    </w:rPr>
                    <w:t>类别</w:t>
                  </w:r>
                </w:p>
              </w:tc>
              <w:tc>
                <w:tcPr>
                  <w:tcW w:w="988" w:type="pct"/>
                  <w:vAlign w:val="center"/>
                </w:tcPr>
                <w:p w14:paraId="1C6B94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bCs w:val="0"/>
                      <w:color w:val="auto"/>
                      <w:sz w:val="21"/>
                      <w:szCs w:val="21"/>
                      <w:vertAlign w:val="baseline"/>
                      <w:lang w:val="en-US" w:eastAsia="zh-CN"/>
                    </w:rPr>
                  </w:pPr>
                  <w:r>
                    <w:rPr>
                      <w:rFonts w:hint="eastAsia" w:ascii="Times New Roman" w:hAnsi="Times New Roman" w:eastAsia="宋体"/>
                      <w:b/>
                      <w:bCs w:val="0"/>
                      <w:color w:val="auto"/>
                      <w:sz w:val="21"/>
                      <w:szCs w:val="21"/>
                      <w:vertAlign w:val="baseline"/>
                      <w:lang w:val="en-US" w:eastAsia="zh-CN"/>
                    </w:rPr>
                    <w:t>产污环节</w:t>
                  </w:r>
                </w:p>
              </w:tc>
              <w:tc>
                <w:tcPr>
                  <w:tcW w:w="1115" w:type="pct"/>
                  <w:vAlign w:val="center"/>
                </w:tcPr>
                <w:p w14:paraId="57E73C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bCs w:val="0"/>
                      <w:color w:val="auto"/>
                      <w:sz w:val="21"/>
                      <w:szCs w:val="21"/>
                      <w:vertAlign w:val="baseline"/>
                      <w:lang w:val="en-US" w:eastAsia="zh-CN"/>
                    </w:rPr>
                  </w:pPr>
                  <w:r>
                    <w:rPr>
                      <w:rFonts w:hint="eastAsia" w:ascii="Times New Roman" w:hAnsi="Times New Roman" w:eastAsia="宋体"/>
                      <w:b/>
                      <w:bCs w:val="0"/>
                      <w:color w:val="auto"/>
                      <w:sz w:val="21"/>
                      <w:szCs w:val="21"/>
                      <w:vertAlign w:val="baseline"/>
                      <w:lang w:val="en-US" w:eastAsia="zh-CN"/>
                    </w:rPr>
                    <w:t>污染物</w:t>
                  </w:r>
                  <w:r>
                    <w:rPr>
                      <w:rFonts w:hint="eastAsia"/>
                      <w:b/>
                      <w:bCs w:val="0"/>
                      <w:color w:val="auto"/>
                      <w:sz w:val="21"/>
                      <w:szCs w:val="21"/>
                      <w:vertAlign w:val="baseline"/>
                      <w:lang w:val="en-US" w:eastAsia="zh-CN"/>
                    </w:rPr>
                    <w:t>名称</w:t>
                  </w:r>
                </w:p>
              </w:tc>
              <w:tc>
                <w:tcPr>
                  <w:tcW w:w="348" w:type="pct"/>
                  <w:vAlign w:val="center"/>
                </w:tcPr>
                <w:p w14:paraId="405BDD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bCs w:val="0"/>
                      <w:color w:val="auto"/>
                      <w:sz w:val="21"/>
                      <w:szCs w:val="21"/>
                      <w:vertAlign w:val="baseline"/>
                      <w:lang w:val="en-US" w:eastAsia="zh-CN"/>
                    </w:rPr>
                  </w:pPr>
                  <w:r>
                    <w:rPr>
                      <w:rFonts w:hint="eastAsia"/>
                      <w:b/>
                      <w:bCs w:val="0"/>
                      <w:color w:val="auto"/>
                      <w:sz w:val="21"/>
                      <w:szCs w:val="21"/>
                      <w:vertAlign w:val="baseline"/>
                      <w:lang w:val="en-US" w:eastAsia="zh-CN"/>
                    </w:rPr>
                    <w:t>编号</w:t>
                  </w:r>
                </w:p>
              </w:tc>
              <w:tc>
                <w:tcPr>
                  <w:tcW w:w="2174" w:type="pct"/>
                  <w:vAlign w:val="center"/>
                </w:tcPr>
                <w:p w14:paraId="10AB76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bCs w:val="0"/>
                      <w:color w:val="auto"/>
                      <w:sz w:val="21"/>
                      <w:szCs w:val="21"/>
                      <w:vertAlign w:val="baseline"/>
                      <w:lang w:val="en-US" w:eastAsia="zh-CN"/>
                    </w:rPr>
                  </w:pPr>
                  <w:r>
                    <w:rPr>
                      <w:rFonts w:hint="eastAsia" w:ascii="Times New Roman" w:hAnsi="Times New Roman" w:eastAsia="宋体"/>
                      <w:b/>
                      <w:bCs w:val="0"/>
                      <w:color w:val="auto"/>
                      <w:sz w:val="21"/>
                      <w:szCs w:val="21"/>
                      <w:vertAlign w:val="baseline"/>
                      <w:lang w:val="en-US" w:eastAsia="zh-CN"/>
                    </w:rPr>
                    <w:t>治理措施</w:t>
                  </w:r>
                </w:p>
              </w:tc>
            </w:tr>
            <w:tr w14:paraId="3958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72" w:type="pct"/>
                  <w:vMerge w:val="restart"/>
                  <w:vAlign w:val="center"/>
                </w:tcPr>
                <w:p w14:paraId="2360E2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auto"/>
                      <w:lang w:val="en-US" w:eastAsia="zh-CN"/>
                    </w:rPr>
                  </w:pPr>
                  <w:r>
                    <w:rPr>
                      <w:rFonts w:hint="eastAsia"/>
                      <w:color w:val="auto"/>
                      <w:lang w:val="en-US" w:eastAsia="zh-CN"/>
                    </w:rPr>
                    <w:t>废气</w:t>
                  </w:r>
                </w:p>
              </w:tc>
              <w:tc>
                <w:tcPr>
                  <w:tcW w:w="988" w:type="pct"/>
                  <w:vAlign w:val="center"/>
                </w:tcPr>
                <w:p w14:paraId="55DC92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配料、混合</w:t>
                  </w:r>
                </w:p>
              </w:tc>
              <w:tc>
                <w:tcPr>
                  <w:tcW w:w="1115" w:type="pct"/>
                  <w:vAlign w:val="center"/>
                </w:tcPr>
                <w:p w14:paraId="707761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颗粒物</w:t>
                  </w:r>
                </w:p>
              </w:tc>
              <w:tc>
                <w:tcPr>
                  <w:tcW w:w="348" w:type="pct"/>
                  <w:vAlign w:val="center"/>
                </w:tcPr>
                <w:p w14:paraId="3DBF48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r>
                    <w:rPr>
                      <w:rFonts w:hint="eastAsia"/>
                      <w:bCs/>
                      <w:color w:val="auto"/>
                      <w:sz w:val="21"/>
                      <w:szCs w:val="21"/>
                      <w:vertAlign w:val="baseline"/>
                      <w:lang w:val="en-US" w:eastAsia="zh-CN"/>
                    </w:rPr>
                    <w:t>G1</w:t>
                  </w:r>
                </w:p>
              </w:tc>
              <w:tc>
                <w:tcPr>
                  <w:tcW w:w="2174" w:type="pct"/>
                  <w:vAlign w:val="center"/>
                </w:tcPr>
                <w:p w14:paraId="648BA2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color w:val="auto"/>
                      <w:lang w:val="en-US" w:eastAsia="zh-CN"/>
                    </w:rPr>
                    <w:t>集气罩收集+布袋除尘器+1根15m高排气筒</w:t>
                  </w:r>
                </w:p>
              </w:tc>
            </w:tr>
            <w:tr w14:paraId="3E3D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372" w:type="pct"/>
                  <w:vMerge w:val="continue"/>
                  <w:vAlign w:val="center"/>
                </w:tcPr>
                <w:p w14:paraId="6B1BAD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rPr>
                  </w:pPr>
                </w:p>
              </w:tc>
              <w:tc>
                <w:tcPr>
                  <w:tcW w:w="988" w:type="pct"/>
                  <w:shd w:val="clear" w:color="auto" w:fill="auto"/>
                  <w:vAlign w:val="center"/>
                </w:tcPr>
                <w:p w14:paraId="509B71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天然气燃烧装置</w:t>
                  </w:r>
                </w:p>
              </w:tc>
              <w:tc>
                <w:tcPr>
                  <w:tcW w:w="1115" w:type="pct"/>
                  <w:shd w:val="clear" w:color="auto" w:fill="auto"/>
                  <w:vAlign w:val="center"/>
                </w:tcPr>
                <w:p w14:paraId="2D9CA1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颗粒物、SO</w:t>
                  </w:r>
                  <w:r>
                    <w:rPr>
                      <w:rFonts w:hint="eastAsia"/>
                      <w:bCs/>
                      <w:color w:val="auto"/>
                      <w:sz w:val="21"/>
                      <w:szCs w:val="21"/>
                      <w:vertAlign w:val="subscript"/>
                      <w:lang w:val="en-US" w:eastAsia="zh-CN"/>
                    </w:rPr>
                    <w:t>2</w:t>
                  </w:r>
                  <w:r>
                    <w:rPr>
                      <w:rFonts w:hint="eastAsia"/>
                      <w:bCs/>
                      <w:color w:val="auto"/>
                      <w:sz w:val="21"/>
                      <w:szCs w:val="21"/>
                      <w:vertAlign w:val="baseline"/>
                      <w:lang w:val="en-US" w:eastAsia="zh-CN"/>
                    </w:rPr>
                    <w:t>、NO</w:t>
                  </w:r>
                  <w:r>
                    <w:rPr>
                      <w:rFonts w:hint="eastAsia"/>
                      <w:bCs/>
                      <w:color w:val="auto"/>
                      <w:sz w:val="21"/>
                      <w:szCs w:val="21"/>
                      <w:vertAlign w:val="subscript"/>
                      <w:lang w:val="en-US" w:eastAsia="zh-CN"/>
                    </w:rPr>
                    <w:t>x</w:t>
                  </w:r>
                </w:p>
              </w:tc>
              <w:tc>
                <w:tcPr>
                  <w:tcW w:w="348" w:type="pct"/>
                  <w:vAlign w:val="center"/>
                </w:tcPr>
                <w:p w14:paraId="4008C8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r>
                    <w:rPr>
                      <w:rFonts w:hint="eastAsia"/>
                      <w:bCs/>
                      <w:color w:val="auto"/>
                      <w:sz w:val="21"/>
                      <w:szCs w:val="21"/>
                      <w:vertAlign w:val="baseline"/>
                      <w:lang w:val="en-US" w:eastAsia="zh-CN"/>
                    </w:rPr>
                    <w:t>G2</w:t>
                  </w:r>
                </w:p>
              </w:tc>
              <w:tc>
                <w:tcPr>
                  <w:tcW w:w="2174" w:type="pct"/>
                  <w:shd w:val="clear" w:color="auto" w:fill="auto"/>
                  <w:vAlign w:val="center"/>
                </w:tcPr>
                <w:p w14:paraId="11E74C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低氮燃烧</w:t>
                  </w:r>
                  <w:r>
                    <w:rPr>
                      <w:rFonts w:hint="eastAsia"/>
                      <w:color w:val="auto"/>
                      <w:lang w:val="en-US" w:eastAsia="zh-CN"/>
                    </w:rPr>
                    <w:t>+1根不低于8m高排气筒</w:t>
                  </w:r>
                </w:p>
              </w:tc>
            </w:tr>
            <w:tr w14:paraId="5E5A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2" w:type="pct"/>
                  <w:vMerge w:val="restart"/>
                  <w:vAlign w:val="center"/>
                </w:tcPr>
                <w:p w14:paraId="199AAA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lang w:val="en-US" w:eastAsia="zh-CN"/>
                    </w:rPr>
                  </w:pPr>
                  <w:r>
                    <w:rPr>
                      <w:rFonts w:hint="eastAsia"/>
                      <w:color w:val="auto"/>
                      <w:lang w:val="en-US" w:eastAsia="zh-CN"/>
                    </w:rPr>
                    <w:t>废水</w:t>
                  </w:r>
                </w:p>
              </w:tc>
              <w:tc>
                <w:tcPr>
                  <w:tcW w:w="988" w:type="pct"/>
                  <w:vMerge w:val="restart"/>
                  <w:vAlign w:val="center"/>
                </w:tcPr>
                <w:p w14:paraId="5DFC2E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生产废水</w:t>
                  </w:r>
                </w:p>
              </w:tc>
              <w:tc>
                <w:tcPr>
                  <w:tcW w:w="1115" w:type="pct"/>
                  <w:vAlign w:val="center"/>
                </w:tcPr>
                <w:p w14:paraId="3C4488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循环冷却水</w:t>
                  </w:r>
                </w:p>
              </w:tc>
              <w:tc>
                <w:tcPr>
                  <w:tcW w:w="348" w:type="pct"/>
                  <w:vAlign w:val="center"/>
                </w:tcPr>
                <w:p w14:paraId="3C8FE0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W1</w:t>
                  </w:r>
                </w:p>
              </w:tc>
              <w:tc>
                <w:tcPr>
                  <w:tcW w:w="2174" w:type="pct"/>
                  <w:vAlign w:val="center"/>
                </w:tcPr>
                <w:p w14:paraId="644BB9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循环使用，不外排</w:t>
                  </w:r>
                </w:p>
              </w:tc>
            </w:tr>
            <w:tr w14:paraId="532D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72" w:type="pct"/>
                  <w:vMerge w:val="continue"/>
                  <w:vAlign w:val="center"/>
                </w:tcPr>
                <w:p w14:paraId="2B2C09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lang w:val="en-US" w:eastAsia="zh-CN"/>
                    </w:rPr>
                  </w:pPr>
                </w:p>
              </w:tc>
              <w:tc>
                <w:tcPr>
                  <w:tcW w:w="988" w:type="pct"/>
                  <w:vMerge w:val="continue"/>
                  <w:vAlign w:val="center"/>
                </w:tcPr>
                <w:p w14:paraId="7321AF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p>
              </w:tc>
              <w:tc>
                <w:tcPr>
                  <w:tcW w:w="1115" w:type="pct"/>
                  <w:vAlign w:val="center"/>
                </w:tcPr>
                <w:p w14:paraId="1C0610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CIP设备清洗废水</w:t>
                  </w:r>
                </w:p>
              </w:tc>
              <w:tc>
                <w:tcPr>
                  <w:tcW w:w="348" w:type="pct"/>
                  <w:shd w:val="clear" w:color="auto" w:fill="auto"/>
                  <w:vAlign w:val="center"/>
                </w:tcPr>
                <w:p w14:paraId="1B35B8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W2</w:t>
                  </w:r>
                </w:p>
              </w:tc>
              <w:tc>
                <w:tcPr>
                  <w:tcW w:w="2174" w:type="pct"/>
                  <w:vMerge w:val="restart"/>
                  <w:vAlign w:val="center"/>
                </w:tcPr>
                <w:p w14:paraId="1B84F5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经调节池+水解酸化池+接触氧化池+沉淀池处理后进入汴北污水处理厂</w:t>
                  </w:r>
                </w:p>
              </w:tc>
            </w:tr>
            <w:tr w14:paraId="31CA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72" w:type="pct"/>
                  <w:vMerge w:val="continue"/>
                  <w:vAlign w:val="center"/>
                </w:tcPr>
                <w:p w14:paraId="3B344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lang w:val="en-US" w:eastAsia="zh-CN"/>
                    </w:rPr>
                  </w:pPr>
                </w:p>
              </w:tc>
              <w:tc>
                <w:tcPr>
                  <w:tcW w:w="988" w:type="pct"/>
                  <w:vMerge w:val="continue"/>
                  <w:vAlign w:val="center"/>
                </w:tcPr>
                <w:p w14:paraId="6A09E5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p>
              </w:tc>
              <w:tc>
                <w:tcPr>
                  <w:tcW w:w="1115" w:type="pct"/>
                  <w:vAlign w:val="center"/>
                </w:tcPr>
                <w:p w14:paraId="0ADE67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保洁废水</w:t>
                  </w:r>
                </w:p>
              </w:tc>
              <w:tc>
                <w:tcPr>
                  <w:tcW w:w="348" w:type="pct"/>
                  <w:shd w:val="clear" w:color="auto" w:fill="auto"/>
                  <w:vAlign w:val="center"/>
                </w:tcPr>
                <w:p w14:paraId="4E54AF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W3</w:t>
                  </w:r>
                </w:p>
              </w:tc>
              <w:tc>
                <w:tcPr>
                  <w:tcW w:w="2174" w:type="pct"/>
                  <w:vMerge w:val="continue"/>
                  <w:vAlign w:val="center"/>
                </w:tcPr>
                <w:p w14:paraId="4C9A94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p>
              </w:tc>
            </w:tr>
            <w:tr w14:paraId="1888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72" w:type="pct"/>
                  <w:vMerge w:val="continue"/>
                  <w:vAlign w:val="center"/>
                </w:tcPr>
                <w:p w14:paraId="3F2785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lang w:val="en-US" w:eastAsia="zh-CN"/>
                    </w:rPr>
                  </w:pPr>
                </w:p>
              </w:tc>
              <w:tc>
                <w:tcPr>
                  <w:tcW w:w="988" w:type="pct"/>
                  <w:vMerge w:val="continue"/>
                  <w:vAlign w:val="center"/>
                </w:tcPr>
                <w:p w14:paraId="681FC7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p>
              </w:tc>
              <w:tc>
                <w:tcPr>
                  <w:tcW w:w="1115" w:type="pct"/>
                  <w:vAlign w:val="center"/>
                </w:tcPr>
                <w:p w14:paraId="4BA6FC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实验室清洗废水</w:t>
                  </w:r>
                </w:p>
              </w:tc>
              <w:tc>
                <w:tcPr>
                  <w:tcW w:w="348" w:type="pct"/>
                  <w:shd w:val="clear" w:color="auto" w:fill="auto"/>
                  <w:vAlign w:val="center"/>
                </w:tcPr>
                <w:p w14:paraId="0BC47E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W4</w:t>
                  </w:r>
                </w:p>
              </w:tc>
              <w:tc>
                <w:tcPr>
                  <w:tcW w:w="2174" w:type="pct"/>
                  <w:vMerge w:val="continue"/>
                  <w:vAlign w:val="center"/>
                </w:tcPr>
                <w:p w14:paraId="7D2293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p>
              </w:tc>
            </w:tr>
            <w:tr w14:paraId="6A3B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72" w:type="pct"/>
                  <w:vMerge w:val="continue"/>
                  <w:vAlign w:val="center"/>
                </w:tcPr>
                <w:p w14:paraId="7F5189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lang w:val="en-US" w:eastAsia="zh-CN"/>
                    </w:rPr>
                  </w:pPr>
                </w:p>
              </w:tc>
              <w:tc>
                <w:tcPr>
                  <w:tcW w:w="988" w:type="pct"/>
                  <w:vMerge w:val="continue"/>
                  <w:vAlign w:val="center"/>
                </w:tcPr>
                <w:p w14:paraId="1ED992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p>
              </w:tc>
              <w:tc>
                <w:tcPr>
                  <w:tcW w:w="1115" w:type="pct"/>
                  <w:vAlign w:val="center"/>
                </w:tcPr>
                <w:p w14:paraId="63F0BD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纯水制备系统废水</w:t>
                  </w:r>
                </w:p>
              </w:tc>
              <w:tc>
                <w:tcPr>
                  <w:tcW w:w="348" w:type="pct"/>
                  <w:shd w:val="clear" w:color="auto" w:fill="auto"/>
                  <w:vAlign w:val="center"/>
                </w:tcPr>
                <w:p w14:paraId="06CF14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W5</w:t>
                  </w:r>
                </w:p>
              </w:tc>
              <w:tc>
                <w:tcPr>
                  <w:tcW w:w="2174" w:type="pct"/>
                  <w:vAlign w:val="center"/>
                </w:tcPr>
                <w:p w14:paraId="14D274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进入汴北污水处理厂</w:t>
                  </w:r>
                </w:p>
              </w:tc>
            </w:tr>
            <w:tr w14:paraId="481F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72" w:type="pct"/>
                  <w:vMerge w:val="continue"/>
                  <w:vAlign w:val="center"/>
                </w:tcPr>
                <w:p w14:paraId="53F373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p>
              </w:tc>
              <w:tc>
                <w:tcPr>
                  <w:tcW w:w="988" w:type="pct"/>
                  <w:shd w:val="clear" w:color="auto" w:fill="auto"/>
                  <w:vAlign w:val="center"/>
                </w:tcPr>
                <w:p w14:paraId="08515F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bCs/>
                      <w:color w:val="auto"/>
                      <w:sz w:val="21"/>
                      <w:szCs w:val="21"/>
                      <w:vertAlign w:val="baseline"/>
                      <w:lang w:val="en-US" w:eastAsia="zh-CN"/>
                    </w:rPr>
                    <w:t>职工生活、办公</w:t>
                  </w:r>
                </w:p>
              </w:tc>
              <w:tc>
                <w:tcPr>
                  <w:tcW w:w="1115" w:type="pct"/>
                  <w:shd w:val="clear" w:color="auto" w:fill="auto"/>
                  <w:vAlign w:val="center"/>
                </w:tcPr>
                <w:p w14:paraId="02F683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bCs/>
                      <w:color w:val="auto"/>
                      <w:sz w:val="21"/>
                      <w:szCs w:val="21"/>
                      <w:vertAlign w:val="baseline"/>
                      <w:lang w:val="en-US" w:eastAsia="zh-CN"/>
                    </w:rPr>
                    <w:t>生活污水</w:t>
                  </w:r>
                </w:p>
              </w:tc>
              <w:tc>
                <w:tcPr>
                  <w:tcW w:w="348" w:type="pct"/>
                  <w:shd w:val="clear" w:color="auto" w:fill="auto"/>
                  <w:vAlign w:val="center"/>
                </w:tcPr>
                <w:p w14:paraId="6A79A5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W6</w:t>
                  </w:r>
                </w:p>
              </w:tc>
              <w:tc>
                <w:tcPr>
                  <w:tcW w:w="2174" w:type="pct"/>
                  <w:shd w:val="clear" w:color="auto" w:fill="auto"/>
                  <w:vAlign w:val="center"/>
                </w:tcPr>
                <w:p w14:paraId="713B39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隔油池、化粪池预处理后进入汴北污水处理厂</w:t>
                  </w:r>
                </w:p>
              </w:tc>
            </w:tr>
            <w:tr w14:paraId="441B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14:paraId="1A582C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ascii="Times New Roman" w:hAnsi="Times New Roman" w:eastAsia="宋体"/>
                      <w:bCs/>
                      <w:color w:val="auto"/>
                      <w:sz w:val="21"/>
                      <w:szCs w:val="21"/>
                      <w:vertAlign w:val="baseline"/>
                      <w:lang w:val="en-US" w:eastAsia="zh-CN"/>
                    </w:rPr>
                    <w:t>噪声</w:t>
                  </w:r>
                </w:p>
              </w:tc>
              <w:tc>
                <w:tcPr>
                  <w:tcW w:w="988" w:type="pct"/>
                  <w:vAlign w:val="center"/>
                </w:tcPr>
                <w:p w14:paraId="22C45F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ascii="Times New Roman" w:hAnsi="Times New Roman" w:eastAsia="宋体"/>
                      <w:bCs/>
                      <w:color w:val="auto"/>
                      <w:sz w:val="21"/>
                      <w:szCs w:val="21"/>
                      <w:vertAlign w:val="baseline"/>
                      <w:lang w:val="en-US" w:eastAsia="zh-CN"/>
                    </w:rPr>
                    <w:t>机械设备</w:t>
                  </w:r>
                </w:p>
              </w:tc>
              <w:tc>
                <w:tcPr>
                  <w:tcW w:w="1115" w:type="pct"/>
                  <w:vAlign w:val="center"/>
                </w:tcPr>
                <w:p w14:paraId="37675A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ascii="Times New Roman" w:hAnsi="Times New Roman" w:eastAsia="宋体"/>
                      <w:bCs/>
                      <w:color w:val="auto"/>
                      <w:sz w:val="21"/>
                      <w:szCs w:val="21"/>
                      <w:vertAlign w:val="baseline"/>
                      <w:lang w:val="en-US" w:eastAsia="zh-CN"/>
                    </w:rPr>
                    <w:t>噪声</w:t>
                  </w:r>
                </w:p>
              </w:tc>
              <w:tc>
                <w:tcPr>
                  <w:tcW w:w="348" w:type="pct"/>
                  <w:vAlign w:val="center"/>
                </w:tcPr>
                <w:p w14:paraId="274CA6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auto"/>
                      <w:sz w:val="21"/>
                      <w:szCs w:val="21"/>
                      <w:lang w:val="en-US" w:eastAsia="zh-CN"/>
                    </w:rPr>
                  </w:pPr>
                  <w:r>
                    <w:rPr>
                      <w:rFonts w:hint="eastAsia"/>
                      <w:color w:val="auto"/>
                      <w:sz w:val="21"/>
                      <w:szCs w:val="21"/>
                      <w:lang w:val="en-US" w:eastAsia="zh-CN"/>
                    </w:rPr>
                    <w:t>N</w:t>
                  </w:r>
                </w:p>
              </w:tc>
              <w:tc>
                <w:tcPr>
                  <w:tcW w:w="2174" w:type="pct"/>
                  <w:vAlign w:val="center"/>
                </w:tcPr>
                <w:p w14:paraId="01B593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default"/>
                      <w:color w:val="auto"/>
                      <w:sz w:val="21"/>
                      <w:szCs w:val="21"/>
                    </w:rPr>
                    <w:t>选用低噪声设备</w:t>
                  </w:r>
                  <w:r>
                    <w:rPr>
                      <w:rFonts w:hint="eastAsia"/>
                      <w:color w:val="auto"/>
                      <w:sz w:val="21"/>
                      <w:szCs w:val="21"/>
                      <w:lang w:eastAsia="zh-CN"/>
                    </w:rPr>
                    <w:t>、</w:t>
                  </w:r>
                  <w:r>
                    <w:rPr>
                      <w:rFonts w:hint="eastAsia"/>
                      <w:bCs/>
                      <w:color w:val="auto"/>
                      <w:sz w:val="21"/>
                      <w:szCs w:val="21"/>
                      <w:vertAlign w:val="baseline"/>
                      <w:lang w:val="en-US" w:eastAsia="zh-CN"/>
                    </w:rPr>
                    <w:t>减振、隔声</w:t>
                  </w:r>
                </w:p>
              </w:tc>
            </w:tr>
            <w:tr w14:paraId="301F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14:paraId="592719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ascii="Times New Roman" w:hAnsi="Times New Roman" w:eastAsia="宋体"/>
                      <w:bCs/>
                      <w:color w:val="auto"/>
                      <w:sz w:val="21"/>
                      <w:szCs w:val="21"/>
                      <w:vertAlign w:val="baseline"/>
                      <w:lang w:val="en-US" w:eastAsia="zh-CN"/>
                    </w:rPr>
                    <w:t>固废</w:t>
                  </w:r>
                </w:p>
              </w:tc>
              <w:tc>
                <w:tcPr>
                  <w:tcW w:w="988" w:type="pct"/>
                  <w:vAlign w:val="center"/>
                </w:tcPr>
                <w:p w14:paraId="62DA4D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原料拆包、成品包装</w:t>
                  </w:r>
                </w:p>
              </w:tc>
              <w:tc>
                <w:tcPr>
                  <w:tcW w:w="1115" w:type="pct"/>
                  <w:vAlign w:val="center"/>
                </w:tcPr>
                <w:p w14:paraId="62C73F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废包装材料</w:t>
                  </w:r>
                </w:p>
              </w:tc>
              <w:tc>
                <w:tcPr>
                  <w:tcW w:w="348" w:type="pct"/>
                  <w:vAlign w:val="center"/>
                </w:tcPr>
                <w:p w14:paraId="394E0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S1</w:t>
                  </w:r>
                </w:p>
              </w:tc>
              <w:tc>
                <w:tcPr>
                  <w:tcW w:w="2174" w:type="pct"/>
                  <w:vAlign w:val="center"/>
                </w:tcPr>
                <w:p w14:paraId="4B56FB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集中收集，综合外售利用</w:t>
                  </w:r>
                </w:p>
              </w:tc>
            </w:tr>
            <w:tr w14:paraId="0166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07DD8C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vMerge w:val="restart"/>
                  <w:shd w:val="clear" w:color="auto" w:fill="auto"/>
                  <w:vAlign w:val="center"/>
                </w:tcPr>
                <w:p w14:paraId="05B39F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成品检验</w:t>
                  </w:r>
                </w:p>
              </w:tc>
              <w:tc>
                <w:tcPr>
                  <w:tcW w:w="1115" w:type="pct"/>
                  <w:shd w:val="clear" w:color="auto" w:fill="auto"/>
                  <w:vAlign w:val="center"/>
                </w:tcPr>
                <w:p w14:paraId="2C5C68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金检不合格品</w:t>
                  </w:r>
                </w:p>
              </w:tc>
              <w:tc>
                <w:tcPr>
                  <w:tcW w:w="348" w:type="pct"/>
                  <w:vAlign w:val="center"/>
                </w:tcPr>
                <w:p w14:paraId="1C39AF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S2</w:t>
                  </w:r>
                </w:p>
              </w:tc>
              <w:tc>
                <w:tcPr>
                  <w:tcW w:w="2174" w:type="pct"/>
                  <w:vAlign w:val="center"/>
                </w:tcPr>
                <w:p w14:paraId="1A4B96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交由回收公司处理</w:t>
                  </w:r>
                </w:p>
              </w:tc>
            </w:tr>
            <w:tr w14:paraId="102A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53D6B6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vMerge w:val="continue"/>
                  <w:shd w:val="clear" w:color="auto" w:fill="auto"/>
                  <w:vAlign w:val="center"/>
                </w:tcPr>
                <w:p w14:paraId="6BA668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Cs/>
                      <w:color w:val="auto"/>
                      <w:kern w:val="2"/>
                      <w:sz w:val="21"/>
                      <w:szCs w:val="21"/>
                      <w:vertAlign w:val="baseline"/>
                      <w:lang w:val="en-US" w:eastAsia="zh-CN" w:bidi="ar-SA"/>
                    </w:rPr>
                  </w:pPr>
                </w:p>
              </w:tc>
              <w:tc>
                <w:tcPr>
                  <w:tcW w:w="1115" w:type="pct"/>
                  <w:shd w:val="clear" w:color="auto" w:fill="auto"/>
                  <w:vAlign w:val="center"/>
                </w:tcPr>
                <w:p w14:paraId="722905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包装不合格品</w:t>
                  </w:r>
                </w:p>
              </w:tc>
              <w:tc>
                <w:tcPr>
                  <w:tcW w:w="348" w:type="pct"/>
                  <w:shd w:val="clear" w:color="auto" w:fill="auto"/>
                  <w:vAlign w:val="center"/>
                </w:tcPr>
                <w:p w14:paraId="069268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S3</w:t>
                  </w:r>
                </w:p>
              </w:tc>
              <w:tc>
                <w:tcPr>
                  <w:tcW w:w="2174" w:type="pct"/>
                  <w:vAlign w:val="center"/>
                </w:tcPr>
                <w:p w14:paraId="37A043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粉状类包装不合格品回用于生产工序，饮品及果冻类产品集中收集后交由回收公司处理</w:t>
                  </w:r>
                </w:p>
              </w:tc>
            </w:tr>
            <w:tr w14:paraId="58B6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522EC1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shd w:val="clear" w:color="auto" w:fill="auto"/>
                  <w:vAlign w:val="center"/>
                </w:tcPr>
                <w:p w14:paraId="5931CB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除尘设备</w:t>
                  </w:r>
                </w:p>
              </w:tc>
              <w:tc>
                <w:tcPr>
                  <w:tcW w:w="1115" w:type="pct"/>
                  <w:shd w:val="clear" w:color="auto" w:fill="auto"/>
                  <w:vAlign w:val="center"/>
                </w:tcPr>
                <w:p w14:paraId="4EC35B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除尘器收集粉尘</w:t>
                  </w:r>
                </w:p>
              </w:tc>
              <w:tc>
                <w:tcPr>
                  <w:tcW w:w="348" w:type="pct"/>
                  <w:shd w:val="clear" w:color="auto" w:fill="auto"/>
                  <w:vAlign w:val="center"/>
                </w:tcPr>
                <w:p w14:paraId="4A4B22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S4</w:t>
                  </w:r>
                </w:p>
              </w:tc>
              <w:tc>
                <w:tcPr>
                  <w:tcW w:w="2174" w:type="pct"/>
                  <w:vAlign w:val="center"/>
                </w:tcPr>
                <w:p w14:paraId="50957D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集中收集，综合外售利用</w:t>
                  </w:r>
                </w:p>
              </w:tc>
            </w:tr>
            <w:tr w14:paraId="7B74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26A315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shd w:val="clear" w:color="auto" w:fill="auto"/>
                  <w:vAlign w:val="center"/>
                </w:tcPr>
                <w:p w14:paraId="6CB1FA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纯水制备</w:t>
                  </w:r>
                </w:p>
              </w:tc>
              <w:tc>
                <w:tcPr>
                  <w:tcW w:w="1115" w:type="pct"/>
                  <w:shd w:val="clear" w:color="auto" w:fill="auto"/>
                  <w:vAlign w:val="center"/>
                </w:tcPr>
                <w:p w14:paraId="70D4EC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废滤芯</w:t>
                  </w:r>
                </w:p>
              </w:tc>
              <w:tc>
                <w:tcPr>
                  <w:tcW w:w="348" w:type="pct"/>
                  <w:shd w:val="clear" w:color="auto" w:fill="auto"/>
                  <w:vAlign w:val="center"/>
                </w:tcPr>
                <w:p w14:paraId="29FFE0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S5</w:t>
                  </w:r>
                </w:p>
              </w:tc>
              <w:tc>
                <w:tcPr>
                  <w:tcW w:w="2174" w:type="pct"/>
                  <w:vAlign w:val="center"/>
                </w:tcPr>
                <w:p w14:paraId="34EFF1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厂家回收处理</w:t>
                  </w:r>
                </w:p>
              </w:tc>
            </w:tr>
            <w:tr w14:paraId="16BE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6FEB9E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shd w:val="clear" w:color="auto" w:fill="auto"/>
                  <w:vAlign w:val="center"/>
                </w:tcPr>
                <w:p w14:paraId="0F2978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污水处理站</w:t>
                  </w:r>
                </w:p>
              </w:tc>
              <w:tc>
                <w:tcPr>
                  <w:tcW w:w="1115" w:type="pct"/>
                  <w:shd w:val="clear" w:color="auto" w:fill="auto"/>
                  <w:vAlign w:val="center"/>
                </w:tcPr>
                <w:p w14:paraId="2C2A4D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污泥</w:t>
                  </w:r>
                </w:p>
              </w:tc>
              <w:tc>
                <w:tcPr>
                  <w:tcW w:w="348" w:type="pct"/>
                  <w:shd w:val="clear" w:color="auto" w:fill="auto"/>
                  <w:vAlign w:val="center"/>
                </w:tcPr>
                <w:p w14:paraId="699EF0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S6</w:t>
                  </w:r>
                </w:p>
              </w:tc>
              <w:tc>
                <w:tcPr>
                  <w:tcW w:w="2174" w:type="pct"/>
                  <w:vAlign w:val="center"/>
                </w:tcPr>
                <w:p w14:paraId="12CF9F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委托处理</w:t>
                  </w:r>
                </w:p>
              </w:tc>
            </w:tr>
            <w:tr w14:paraId="1DE2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5D6145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shd w:val="clear" w:color="auto" w:fill="auto"/>
                  <w:vAlign w:val="center"/>
                </w:tcPr>
                <w:p w14:paraId="1600F1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实验室</w:t>
                  </w:r>
                </w:p>
              </w:tc>
              <w:tc>
                <w:tcPr>
                  <w:tcW w:w="1115" w:type="pct"/>
                  <w:shd w:val="clear" w:color="auto" w:fill="auto"/>
                  <w:vAlign w:val="center"/>
                </w:tcPr>
                <w:p w14:paraId="63551A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实验室废液</w:t>
                  </w:r>
                </w:p>
              </w:tc>
              <w:tc>
                <w:tcPr>
                  <w:tcW w:w="348" w:type="pct"/>
                  <w:shd w:val="clear" w:color="auto" w:fill="auto"/>
                  <w:vAlign w:val="center"/>
                </w:tcPr>
                <w:p w14:paraId="52A64A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S7</w:t>
                  </w:r>
                </w:p>
              </w:tc>
              <w:tc>
                <w:tcPr>
                  <w:tcW w:w="2174" w:type="pct"/>
                  <w:vAlign w:val="center"/>
                </w:tcPr>
                <w:p w14:paraId="4B3CE2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委托有资质单位处置</w:t>
                  </w:r>
                </w:p>
              </w:tc>
            </w:tr>
            <w:tr w14:paraId="19BC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067AE2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shd w:val="clear" w:color="auto" w:fill="auto"/>
                  <w:vAlign w:val="center"/>
                </w:tcPr>
                <w:p w14:paraId="4081E5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bCs/>
                      <w:color w:val="auto"/>
                      <w:sz w:val="21"/>
                      <w:szCs w:val="21"/>
                      <w:vertAlign w:val="baseline"/>
                      <w:lang w:val="en-US" w:eastAsia="zh-CN"/>
                    </w:rPr>
                    <w:t>职工生活、办公</w:t>
                  </w:r>
                </w:p>
              </w:tc>
              <w:tc>
                <w:tcPr>
                  <w:tcW w:w="1115" w:type="pct"/>
                  <w:shd w:val="clear" w:color="auto" w:fill="auto"/>
                  <w:vAlign w:val="center"/>
                </w:tcPr>
                <w:p w14:paraId="0CD74A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bCs/>
                      <w:color w:val="auto"/>
                      <w:sz w:val="21"/>
                      <w:szCs w:val="21"/>
                      <w:vertAlign w:val="baseline"/>
                      <w:lang w:val="en-US" w:eastAsia="zh-CN"/>
                    </w:rPr>
                    <w:t>生活垃圾</w:t>
                  </w:r>
                </w:p>
              </w:tc>
              <w:tc>
                <w:tcPr>
                  <w:tcW w:w="348" w:type="pct"/>
                  <w:shd w:val="clear" w:color="auto" w:fill="auto"/>
                  <w:vAlign w:val="center"/>
                </w:tcPr>
                <w:p w14:paraId="5C8198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S8</w:t>
                  </w:r>
                </w:p>
              </w:tc>
              <w:tc>
                <w:tcPr>
                  <w:tcW w:w="2174" w:type="pct"/>
                  <w:vAlign w:val="center"/>
                </w:tcPr>
                <w:p w14:paraId="1CED79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集中收集后由环卫部门清运</w:t>
                  </w:r>
                </w:p>
              </w:tc>
            </w:tr>
          </w:tbl>
          <w:p w14:paraId="6426F00B">
            <w:pPr>
              <w:keepNext w:val="0"/>
              <w:keepLines w:val="0"/>
              <w:suppressLineNumbers w:val="0"/>
              <w:adjustRightInd w:val="0"/>
              <w:snapToGrid w:val="0"/>
              <w:spacing w:before="0" w:beforeAutospacing="0" w:after="0" w:afterAutospacing="0" w:line="360" w:lineRule="auto"/>
              <w:ind w:left="0" w:right="0"/>
              <w:rPr>
                <w:rFonts w:hint="eastAsia" w:eastAsia="宋体"/>
                <w:b/>
                <w:color w:val="auto"/>
                <w:szCs w:val="21"/>
                <w:lang w:eastAsia="zh-CN"/>
              </w:rPr>
            </w:pPr>
          </w:p>
        </w:tc>
      </w:tr>
      <w:tr w14:paraId="12463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48" w:hRule="atLeast"/>
          <w:jc w:val="center"/>
        </w:trPr>
        <w:tc>
          <w:tcPr>
            <w:tcW w:w="647" w:type="dxa"/>
            <w:vAlign w:val="center"/>
          </w:tcPr>
          <w:p w14:paraId="32291F05">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sz w:val="21"/>
                <w:szCs w:val="21"/>
              </w:rPr>
            </w:pPr>
            <w:r>
              <w:rPr>
                <w:rFonts w:hint="default" w:ascii="Times New Roman" w:hAnsi="Times New Roman"/>
                <w:b/>
                <w:bCs/>
                <w:color w:val="auto"/>
                <w:kern w:val="2"/>
                <w:sz w:val="21"/>
                <w:szCs w:val="21"/>
              </w:rPr>
              <w:t>与项目有关的原有环境污染问题</w:t>
            </w:r>
          </w:p>
        </w:tc>
        <w:tc>
          <w:tcPr>
            <w:tcW w:w="8903" w:type="dxa"/>
            <w:vAlign w:val="center"/>
          </w:tcPr>
          <w:p w14:paraId="7C1EAC00">
            <w:pPr>
              <w:keepNext w:val="0"/>
              <w:keepLines w:val="0"/>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bCs/>
                <w:color w:val="auto"/>
                <w:sz w:val="24"/>
                <w:szCs w:val="24"/>
                <w:lang w:val="en-US" w:eastAsia="zh-CN"/>
              </w:rPr>
            </w:pPr>
            <w:r>
              <w:rPr>
                <w:rFonts w:hint="eastAsia" w:cs="Times New Roman"/>
                <w:b/>
                <w:bCs/>
                <w:i w:val="0"/>
                <w:iCs w:val="0"/>
                <w:caps w:val="0"/>
                <w:color w:val="auto"/>
                <w:spacing w:val="0"/>
                <w:sz w:val="24"/>
                <w:szCs w:val="24"/>
                <w:lang w:val="en-US" w:eastAsia="zh-CN"/>
              </w:rPr>
              <w:t>1、租赁厂区环保手续：</w:t>
            </w:r>
            <w:r>
              <w:rPr>
                <w:rFonts w:hint="eastAsia"/>
                <w:bCs/>
                <w:color w:val="auto"/>
                <w:sz w:val="24"/>
                <w:szCs w:val="24"/>
                <w:lang w:val="en-US" w:eastAsia="zh-CN"/>
              </w:rPr>
              <w:t>安徽数字星空生物工业技术有限</w:t>
            </w:r>
            <w:r>
              <w:rPr>
                <w:rFonts w:hint="default" w:eastAsia="宋体"/>
                <w:bCs/>
                <w:color w:val="auto"/>
                <w:sz w:val="24"/>
                <w:szCs w:val="24"/>
                <w:lang w:val="en-US" w:eastAsia="zh-CN"/>
              </w:rPr>
              <w:t>公司</w:t>
            </w:r>
            <w:r>
              <w:rPr>
                <w:rFonts w:hint="eastAsia"/>
                <w:bCs/>
                <w:color w:val="auto"/>
                <w:sz w:val="24"/>
                <w:szCs w:val="24"/>
                <w:lang w:val="en-US" w:eastAsia="zh-CN"/>
              </w:rPr>
              <w:t>于2023年7月取得了宿州市生态环境局高新管理中心出具的《关于安徽数字星空工业技术有限公司年产1000万套母婴喂养、出行、益智类产品项目环境影响报告表的批复》，于2024年7月完成《年产1000万套母婴喂养、出行、益智类产品项目（阶段性）竣工环境保护验收监测报告表》</w:t>
            </w:r>
            <w:r>
              <w:rPr>
                <w:rFonts w:hint="default" w:eastAsia="宋体"/>
                <w:bCs/>
                <w:color w:val="auto"/>
                <w:sz w:val="24"/>
                <w:szCs w:val="24"/>
                <w:lang w:val="en-US" w:eastAsia="zh-CN"/>
              </w:rPr>
              <w:t>。</w:t>
            </w:r>
            <w:r>
              <w:rPr>
                <w:rFonts w:hint="eastAsia"/>
                <w:bCs/>
                <w:color w:val="auto"/>
                <w:sz w:val="24"/>
                <w:szCs w:val="24"/>
                <w:lang w:val="en-US" w:eastAsia="zh-CN"/>
              </w:rPr>
              <w:t>因市场原因，8号厂房自建成后一直处于空置状态、未投入生产使用。</w:t>
            </w:r>
          </w:p>
          <w:p w14:paraId="6684FC92">
            <w:pPr>
              <w:keepNext w:val="0"/>
              <w:keepLines w:val="0"/>
              <w:suppressLineNumbers w:val="0"/>
              <w:adjustRightInd w:val="0"/>
              <w:snapToGrid w:val="0"/>
              <w:spacing w:before="0" w:beforeAutospacing="0" w:after="0" w:afterAutospacing="0" w:line="360" w:lineRule="auto"/>
              <w:ind w:left="0" w:right="0" w:firstLine="482" w:firstLineChars="200"/>
              <w:rPr>
                <w:rFonts w:hint="eastAsia" w:cs="Times New Roman"/>
                <w:b w:val="0"/>
                <w:bCs w:val="0"/>
                <w:i w:val="0"/>
                <w:iCs w:val="0"/>
                <w:caps w:val="0"/>
                <w:color w:val="auto"/>
                <w:spacing w:val="0"/>
                <w:sz w:val="24"/>
                <w:szCs w:val="24"/>
                <w:lang w:val="en-US" w:eastAsia="zh-CN"/>
              </w:rPr>
            </w:pPr>
            <w:r>
              <w:rPr>
                <w:rFonts w:hint="eastAsia" w:cs="Times New Roman"/>
                <w:b/>
                <w:bCs/>
                <w:i w:val="0"/>
                <w:iCs w:val="0"/>
                <w:caps w:val="0"/>
                <w:color w:val="auto"/>
                <w:spacing w:val="0"/>
                <w:sz w:val="24"/>
                <w:szCs w:val="24"/>
                <w:lang w:val="en-US" w:eastAsia="zh-CN"/>
              </w:rPr>
              <w:t>2、现有项目基本概况：</w:t>
            </w:r>
            <w:r>
              <w:rPr>
                <w:rFonts w:hint="eastAsia" w:cs="Times New Roman"/>
                <w:b w:val="0"/>
                <w:bCs w:val="0"/>
                <w:i w:val="0"/>
                <w:iCs w:val="0"/>
                <w:caps w:val="0"/>
                <w:color w:val="auto"/>
                <w:spacing w:val="0"/>
                <w:sz w:val="24"/>
                <w:szCs w:val="24"/>
                <w:lang w:val="en-US" w:eastAsia="zh-CN"/>
              </w:rPr>
              <w:t>本项目租赁安徽数字星空生物工业有限公司8号厂房，现为产品包装销售项目，对外购的食品成品进行分装、贴标、包装和仓储销售，不涉及食品的生产、加工及任何可能导致环境污染的工艺环节。根据《建设项目环境影响评价分类管理名录》（2021年版）及相关地方环保管理规定，该类仅涉及简单分装、包装的销售类项目，原项目被认定为环评豁免项目。</w:t>
            </w:r>
          </w:p>
          <w:p w14:paraId="00A20A77">
            <w:pPr>
              <w:keepNext w:val="0"/>
              <w:keepLines w:val="0"/>
              <w:suppressLineNumbers w:val="0"/>
              <w:adjustRightInd w:val="0"/>
              <w:snapToGrid w:val="0"/>
              <w:spacing w:before="0" w:beforeAutospacing="0" w:after="0" w:afterAutospacing="0" w:line="360" w:lineRule="auto"/>
              <w:ind w:left="0" w:right="0" w:firstLine="482" w:firstLineChars="200"/>
              <w:rPr>
                <w:rFonts w:hint="eastAsia" w:cs="Times New Roman"/>
                <w:b/>
                <w:bCs/>
                <w:i w:val="0"/>
                <w:iCs w:val="0"/>
                <w:caps w:val="0"/>
                <w:color w:val="auto"/>
                <w:spacing w:val="0"/>
                <w:sz w:val="24"/>
                <w:szCs w:val="24"/>
                <w:lang w:val="en-US" w:eastAsia="zh-CN"/>
              </w:rPr>
            </w:pPr>
            <w:r>
              <w:rPr>
                <w:rFonts w:hint="eastAsia" w:cs="Times New Roman"/>
                <w:b/>
                <w:bCs/>
                <w:i w:val="0"/>
                <w:iCs w:val="0"/>
                <w:caps w:val="0"/>
                <w:color w:val="auto"/>
                <w:spacing w:val="0"/>
                <w:sz w:val="24"/>
                <w:szCs w:val="24"/>
                <w:lang w:val="en-US" w:eastAsia="zh-CN"/>
              </w:rPr>
              <w:t>3、现有项目污染物产生及排放情况：</w:t>
            </w:r>
          </w:p>
          <w:p w14:paraId="29BF9FD8">
            <w:pPr>
              <w:keepNext w:val="0"/>
              <w:keepLines w:val="0"/>
              <w:numPr>
                <w:ilvl w:val="0"/>
                <w:numId w:val="12"/>
              </w:numPr>
              <w:suppressLineNumbers w:val="0"/>
              <w:adjustRightInd w:val="0"/>
              <w:snapToGrid w:val="0"/>
              <w:spacing w:before="0" w:beforeAutospacing="0" w:after="0" w:afterAutospacing="0" w:line="360" w:lineRule="auto"/>
              <w:ind w:left="0" w:right="0" w:firstLine="480" w:firstLineChars="200"/>
              <w:rPr>
                <w:rFonts w:hint="eastAsia"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废气排放情况：</w:t>
            </w:r>
          </w:p>
          <w:p w14:paraId="60D90245">
            <w:pPr>
              <w:keepNext w:val="0"/>
              <w:keepLines w:val="0"/>
              <w:numPr>
                <w:ilvl w:val="0"/>
                <w:numId w:val="0"/>
              </w:numPr>
              <w:suppressLineNumbers w:val="0"/>
              <w:adjustRightInd w:val="0"/>
              <w:snapToGrid w:val="0"/>
              <w:spacing w:before="0" w:beforeAutospacing="0" w:after="0" w:afterAutospacing="0" w:line="360" w:lineRule="auto"/>
              <w:ind w:left="0" w:right="0" w:rightChars="0" w:firstLine="480" w:firstLineChars="200"/>
              <w:rPr>
                <w:rFonts w:hint="eastAsia"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现有项目对外购的坚果成品进行分装、贴标、包装和仓储销售，不涉及食品的生产、加工的工艺环节，因此无废气排放。</w:t>
            </w:r>
          </w:p>
          <w:p w14:paraId="3E9355D4">
            <w:pPr>
              <w:keepNext w:val="0"/>
              <w:keepLines w:val="0"/>
              <w:numPr>
                <w:ilvl w:val="0"/>
                <w:numId w:val="12"/>
              </w:numPr>
              <w:suppressLineNumbers w:val="0"/>
              <w:adjustRightInd w:val="0"/>
              <w:snapToGrid w:val="0"/>
              <w:spacing w:before="0" w:beforeAutospacing="0" w:after="0" w:afterAutospacing="0" w:line="360" w:lineRule="auto"/>
              <w:ind w:left="0" w:right="0" w:firstLine="480" w:firstLineChars="200"/>
              <w:rPr>
                <w:rFonts w:hint="default"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废水排放情况：</w:t>
            </w:r>
          </w:p>
          <w:p w14:paraId="477AC164">
            <w:pPr>
              <w:keepNext w:val="0"/>
              <w:keepLines w:val="0"/>
              <w:numPr>
                <w:ilvl w:val="0"/>
                <w:numId w:val="0"/>
              </w:numPr>
              <w:suppressLineNumbers w:val="0"/>
              <w:adjustRightInd w:val="0"/>
              <w:snapToGrid w:val="0"/>
              <w:spacing w:before="0" w:beforeAutospacing="0" w:after="0" w:afterAutospacing="0" w:line="360" w:lineRule="auto"/>
              <w:ind w:left="0" w:right="0" w:rightChars="0" w:firstLine="480" w:firstLineChars="200"/>
              <w:rPr>
                <w:rFonts w:hint="default"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现有项目职工生活污水由隔油池+化粪池处理后由市政污水管网进入宿州市汴北污水处理厂集中处理，处理达标后排入运粮河。</w:t>
            </w:r>
          </w:p>
          <w:p w14:paraId="7785F666">
            <w:pPr>
              <w:keepNext w:val="0"/>
              <w:keepLines w:val="0"/>
              <w:numPr>
                <w:ilvl w:val="0"/>
                <w:numId w:val="12"/>
              </w:numPr>
              <w:suppressLineNumbers w:val="0"/>
              <w:adjustRightInd w:val="0"/>
              <w:snapToGrid w:val="0"/>
              <w:spacing w:before="0" w:beforeAutospacing="0" w:after="0" w:afterAutospacing="0" w:line="360" w:lineRule="auto"/>
              <w:ind w:left="0" w:right="0" w:firstLine="480" w:firstLineChars="200"/>
              <w:rPr>
                <w:rFonts w:hint="default"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噪声排放情况：</w:t>
            </w:r>
          </w:p>
          <w:p w14:paraId="7BEE157A">
            <w:pPr>
              <w:keepNext w:val="0"/>
              <w:keepLines w:val="0"/>
              <w:numPr>
                <w:ilvl w:val="0"/>
                <w:numId w:val="0"/>
              </w:numPr>
              <w:suppressLineNumbers w:val="0"/>
              <w:adjustRightInd w:val="0"/>
              <w:snapToGrid w:val="0"/>
              <w:spacing w:before="0" w:beforeAutospacing="0" w:after="0" w:afterAutospacing="0" w:line="360" w:lineRule="auto"/>
              <w:ind w:left="0" w:right="0" w:rightChars="0" w:firstLine="480" w:firstLineChars="200"/>
              <w:rPr>
                <w:rFonts w:hint="default"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现有项目噪声源主要为包装设备，通过采取基础减振、车间隔声、低噪声设备选型等措施，经距离衰减和厂房隔声后，厂界噪声能够满足《工业企业厂界环境噪声排放标准》（GB12348-2008）中3类标准，噪声达标排放，无扰民投诉记录。</w:t>
            </w:r>
          </w:p>
          <w:p w14:paraId="60AE7336">
            <w:pPr>
              <w:keepNext w:val="0"/>
              <w:keepLines w:val="0"/>
              <w:numPr>
                <w:ilvl w:val="0"/>
                <w:numId w:val="12"/>
              </w:numPr>
              <w:suppressLineNumbers w:val="0"/>
              <w:adjustRightInd w:val="0"/>
              <w:snapToGrid w:val="0"/>
              <w:spacing w:before="0" w:beforeAutospacing="0" w:after="0" w:afterAutospacing="0" w:line="360" w:lineRule="auto"/>
              <w:ind w:left="0" w:right="0" w:firstLine="480" w:firstLineChars="200"/>
              <w:rPr>
                <w:rFonts w:hint="default"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固体废物排放情况：</w:t>
            </w:r>
          </w:p>
          <w:p w14:paraId="448368D5">
            <w:pPr>
              <w:keepNext w:val="0"/>
              <w:keepLines w:val="0"/>
              <w:numPr>
                <w:ilvl w:val="0"/>
                <w:numId w:val="0"/>
              </w:numPr>
              <w:suppressLineNumbers w:val="0"/>
              <w:adjustRightInd w:val="0"/>
              <w:snapToGrid w:val="0"/>
              <w:spacing w:before="0" w:beforeAutospacing="0" w:after="0" w:afterAutospacing="0" w:line="360" w:lineRule="auto"/>
              <w:ind w:left="0" w:right="0" w:rightChars="0" w:firstLine="480" w:firstLineChars="200"/>
              <w:rPr>
                <w:rFonts w:hint="eastAsia"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现有项目固体废物分为一般工业固废和生活垃圾两类。一般工业固废主要为外购成品拆包产生的废包装材料（纸箱、塑料袋等），集中收集后外售综合利用；生活垃圾由环卫部门统一清运。各类固体废物均分类收集、得到妥善处置。</w:t>
            </w:r>
          </w:p>
          <w:p w14:paraId="6D183515">
            <w:pPr>
              <w:keepNext w:val="0"/>
              <w:keepLines w:val="0"/>
              <w:numPr>
                <w:ilvl w:val="0"/>
                <w:numId w:val="12"/>
              </w:numPr>
              <w:suppressLineNumbers w:val="0"/>
              <w:adjustRightInd w:val="0"/>
              <w:snapToGrid w:val="0"/>
              <w:spacing w:before="0" w:beforeAutospacing="0" w:after="0" w:afterAutospacing="0" w:line="360" w:lineRule="auto"/>
              <w:ind w:left="0" w:leftChars="0" w:right="0" w:rightChars="0" w:firstLine="480" w:firstLineChars="200"/>
              <w:rPr>
                <w:rFonts w:hint="eastAsia"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现有污染物排放量汇总</w:t>
            </w:r>
          </w:p>
          <w:p w14:paraId="1EE5FB01">
            <w:pPr>
              <w:keepNext w:val="0"/>
              <w:keepLines w:val="0"/>
              <w:numPr>
                <w:ilvl w:val="0"/>
                <w:numId w:val="8"/>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现有项目污染物排放情况一览表</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3400"/>
              <w:gridCol w:w="3316"/>
            </w:tblGrid>
            <w:tr w14:paraId="24FC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1127" w:type="pct"/>
                  <w:noWrap w:val="0"/>
                  <w:vAlign w:val="center"/>
                </w:tcPr>
                <w:p w14:paraId="1EF6983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类别</w:t>
                  </w:r>
                </w:p>
              </w:tc>
              <w:tc>
                <w:tcPr>
                  <w:tcW w:w="1960" w:type="pct"/>
                  <w:noWrap w:val="0"/>
                  <w:vAlign w:val="center"/>
                </w:tcPr>
                <w:p w14:paraId="20630DA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污染物名称</w:t>
                  </w:r>
                </w:p>
              </w:tc>
              <w:tc>
                <w:tcPr>
                  <w:tcW w:w="1911" w:type="pct"/>
                  <w:noWrap w:val="0"/>
                  <w:vAlign w:val="center"/>
                </w:tcPr>
                <w:p w14:paraId="009CF86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排放量（固体废物为产生量）</w:t>
                  </w:r>
                </w:p>
              </w:tc>
            </w:tr>
            <w:tr w14:paraId="6E9D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1127" w:type="pct"/>
                  <w:vMerge w:val="restart"/>
                  <w:noWrap w:val="0"/>
                  <w:vAlign w:val="center"/>
                </w:tcPr>
                <w:p w14:paraId="77D1139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960" w:type="pct"/>
                  <w:noWrap w:val="0"/>
                  <w:vAlign w:val="center"/>
                </w:tcPr>
                <w:p w14:paraId="55F28A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废水量（m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/a）</w:t>
                  </w:r>
                </w:p>
              </w:tc>
              <w:tc>
                <w:tcPr>
                  <w:tcW w:w="1911" w:type="pct"/>
                  <w:noWrap w:val="0"/>
                  <w:vAlign w:val="center"/>
                </w:tcPr>
                <w:p w14:paraId="3D73AF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120</w:t>
                  </w:r>
                </w:p>
              </w:tc>
            </w:tr>
            <w:tr w14:paraId="0CCB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27" w:type="pct"/>
                  <w:vMerge w:val="continue"/>
                  <w:noWrap w:val="0"/>
                  <w:vAlign w:val="center"/>
                </w:tcPr>
                <w:p w14:paraId="203749C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1960" w:type="pct"/>
                  <w:noWrap w:val="0"/>
                  <w:vAlign w:val="center"/>
                </w:tcPr>
                <w:p w14:paraId="72012D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COD</w:t>
                  </w:r>
                </w:p>
              </w:tc>
              <w:tc>
                <w:tcPr>
                  <w:tcW w:w="1911" w:type="pct"/>
                  <w:noWrap w:val="0"/>
                  <w:vAlign w:val="center"/>
                </w:tcPr>
                <w:p w14:paraId="5D1CAE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0.042</w:t>
                  </w:r>
                </w:p>
              </w:tc>
            </w:tr>
            <w:tr w14:paraId="1493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blHeader/>
                <w:jc w:val="center"/>
              </w:trPr>
              <w:tc>
                <w:tcPr>
                  <w:tcW w:w="1127" w:type="pct"/>
                  <w:vMerge w:val="continue"/>
                  <w:noWrap w:val="0"/>
                  <w:vAlign w:val="center"/>
                </w:tcPr>
                <w:p w14:paraId="18E2DB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960" w:type="pct"/>
                  <w:noWrap w:val="0"/>
                  <w:vAlign w:val="center"/>
                </w:tcPr>
                <w:p w14:paraId="7B2E7B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BOD</w:t>
                  </w:r>
                  <w:r>
                    <w:rPr>
                      <w:rFonts w:hint="default" w:ascii="Times New Roman" w:hAnsi="Times New Roman" w:eastAsia="宋体" w:cs="Times New Roman"/>
                      <w:color w:val="auto"/>
                      <w:kern w:val="0"/>
                      <w:szCs w:val="21"/>
                      <w:vertAlign w:val="subscript"/>
                    </w:rPr>
                    <w:t>5</w:t>
                  </w:r>
                </w:p>
              </w:tc>
              <w:tc>
                <w:tcPr>
                  <w:tcW w:w="1911" w:type="pct"/>
                  <w:noWrap w:val="0"/>
                  <w:vAlign w:val="center"/>
                </w:tcPr>
                <w:p w14:paraId="5B4283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0.018</w:t>
                  </w:r>
                </w:p>
              </w:tc>
            </w:tr>
            <w:tr w14:paraId="10A1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27" w:type="pct"/>
                  <w:vMerge w:val="continue"/>
                  <w:noWrap w:val="0"/>
                  <w:vAlign w:val="center"/>
                </w:tcPr>
                <w:p w14:paraId="68B913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960" w:type="pct"/>
                  <w:noWrap w:val="0"/>
                  <w:vAlign w:val="center"/>
                </w:tcPr>
                <w:p w14:paraId="302405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NH</w:t>
                  </w:r>
                  <w:r>
                    <w:rPr>
                      <w:rFonts w:hint="default" w:ascii="Times New Roman" w:hAnsi="Times New Roman" w:eastAsia="宋体" w:cs="Times New Roman"/>
                      <w:color w:val="auto"/>
                      <w:kern w:val="0"/>
                      <w:szCs w:val="21"/>
                      <w:vertAlign w:val="subscript"/>
                    </w:rPr>
                    <w:t>3</w:t>
                  </w:r>
                  <w:r>
                    <w:rPr>
                      <w:rStyle w:val="153"/>
                      <w:rFonts w:eastAsia="宋体"/>
                      <w:color w:val="auto"/>
                    </w:rPr>
                    <w:t>-N</w:t>
                  </w:r>
                </w:p>
              </w:tc>
              <w:tc>
                <w:tcPr>
                  <w:tcW w:w="1911" w:type="pct"/>
                  <w:noWrap w:val="0"/>
                  <w:vAlign w:val="center"/>
                </w:tcPr>
                <w:p w14:paraId="528FA8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0.004</w:t>
                  </w:r>
                </w:p>
              </w:tc>
            </w:tr>
            <w:tr w14:paraId="764C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27" w:type="pct"/>
                  <w:vMerge w:val="continue"/>
                  <w:noWrap w:val="0"/>
                  <w:vAlign w:val="center"/>
                </w:tcPr>
                <w:p w14:paraId="7F3CC2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960" w:type="pct"/>
                  <w:noWrap w:val="0"/>
                  <w:vAlign w:val="center"/>
                </w:tcPr>
                <w:p w14:paraId="516C52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SS</w:t>
                  </w:r>
                </w:p>
              </w:tc>
              <w:tc>
                <w:tcPr>
                  <w:tcW w:w="1911" w:type="pct"/>
                  <w:noWrap w:val="0"/>
                  <w:vAlign w:val="center"/>
                </w:tcPr>
                <w:p w14:paraId="65698A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0.024</w:t>
                  </w:r>
                </w:p>
              </w:tc>
            </w:tr>
            <w:tr w14:paraId="0935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blHeader/>
                <w:jc w:val="center"/>
              </w:trPr>
              <w:tc>
                <w:tcPr>
                  <w:tcW w:w="1127" w:type="pct"/>
                  <w:vMerge w:val="restart"/>
                  <w:noWrap w:val="0"/>
                  <w:vAlign w:val="center"/>
                </w:tcPr>
                <w:p w14:paraId="650E9F2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1960" w:type="pct"/>
                  <w:shd w:val="clear" w:color="auto" w:fill="auto"/>
                  <w:noWrap w:val="0"/>
                  <w:vAlign w:val="top"/>
                </w:tcPr>
                <w:p w14:paraId="13CAF5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废包装材料</w:t>
                  </w:r>
                </w:p>
              </w:tc>
              <w:tc>
                <w:tcPr>
                  <w:tcW w:w="1911" w:type="pct"/>
                  <w:noWrap w:val="0"/>
                  <w:vAlign w:val="top"/>
                </w:tcPr>
                <w:p w14:paraId="462895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1.2</w:t>
                  </w:r>
                </w:p>
              </w:tc>
            </w:tr>
            <w:tr w14:paraId="12D3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27" w:type="pct"/>
                  <w:vMerge w:val="continue"/>
                  <w:noWrap w:val="0"/>
                  <w:vAlign w:val="center"/>
                </w:tcPr>
                <w:p w14:paraId="3212F2B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1960" w:type="pct"/>
                  <w:shd w:val="clear" w:color="auto" w:fill="auto"/>
                  <w:noWrap w:val="0"/>
                  <w:vAlign w:val="top"/>
                </w:tcPr>
                <w:p w14:paraId="663144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Cs w:val="21"/>
                    </w:rPr>
                    <w:t>生活垃圾</w:t>
                  </w:r>
                </w:p>
              </w:tc>
              <w:tc>
                <w:tcPr>
                  <w:tcW w:w="1911" w:type="pct"/>
                  <w:noWrap w:val="0"/>
                  <w:vAlign w:val="top"/>
                </w:tcPr>
                <w:p w14:paraId="71705B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0.9</w:t>
                  </w:r>
                </w:p>
              </w:tc>
            </w:tr>
          </w:tbl>
          <w:p w14:paraId="2C20485B">
            <w:pPr>
              <w:keepNext w:val="0"/>
              <w:keepLines w:val="0"/>
              <w:numPr>
                <w:ilvl w:val="0"/>
                <w:numId w:val="0"/>
              </w:numPr>
              <w:suppressLineNumbers w:val="0"/>
              <w:adjustRightInd w:val="0"/>
              <w:snapToGrid w:val="0"/>
              <w:spacing w:before="0" w:beforeAutospacing="0" w:after="0" w:afterAutospacing="0" w:line="360" w:lineRule="auto"/>
              <w:ind w:left="0" w:right="0" w:rightChars="0" w:firstLine="482" w:firstLineChars="200"/>
              <w:rPr>
                <w:rFonts w:hint="default" w:eastAsia="宋体"/>
                <w:b/>
                <w:bCs w:val="0"/>
                <w:color w:val="auto"/>
                <w:sz w:val="24"/>
                <w:szCs w:val="24"/>
                <w:lang w:val="en-US" w:eastAsia="zh-CN"/>
              </w:rPr>
            </w:pPr>
            <w:r>
              <w:rPr>
                <w:rFonts w:hint="eastAsia"/>
                <w:b/>
                <w:bCs w:val="0"/>
                <w:color w:val="auto"/>
                <w:sz w:val="24"/>
                <w:szCs w:val="24"/>
                <w:lang w:val="en-US" w:eastAsia="zh-CN"/>
              </w:rPr>
              <w:t>4、</w:t>
            </w:r>
            <w:r>
              <w:rPr>
                <w:rFonts w:hint="default" w:eastAsia="宋体"/>
                <w:b/>
                <w:bCs w:val="0"/>
                <w:color w:val="auto"/>
                <w:sz w:val="24"/>
                <w:szCs w:val="24"/>
                <w:lang w:val="en-US" w:eastAsia="zh-CN"/>
              </w:rPr>
              <w:t>现有工程存在的环境问题</w:t>
            </w:r>
            <w:r>
              <w:rPr>
                <w:rFonts w:hint="eastAsia"/>
                <w:b/>
                <w:bCs w:val="0"/>
                <w:color w:val="auto"/>
                <w:sz w:val="24"/>
                <w:szCs w:val="24"/>
                <w:lang w:val="en-US" w:eastAsia="zh-CN"/>
              </w:rPr>
              <w:t>：</w:t>
            </w:r>
          </w:p>
          <w:p w14:paraId="73A20994">
            <w:pPr>
              <w:keepNext w:val="0"/>
              <w:keepLines w:val="0"/>
              <w:numPr>
                <w:ilvl w:val="0"/>
                <w:numId w:val="0"/>
              </w:numPr>
              <w:suppressLineNumbers w:val="0"/>
              <w:adjustRightInd w:val="0"/>
              <w:snapToGrid w:val="0"/>
              <w:spacing w:before="0" w:beforeAutospacing="0" w:after="0" w:afterAutospacing="0" w:line="360" w:lineRule="auto"/>
              <w:ind w:left="0" w:right="0" w:rightChars="0" w:firstLine="480" w:firstLineChars="200"/>
              <w:rPr>
                <w:rFonts w:hint="default" w:eastAsia="宋体"/>
                <w:bCs/>
                <w:color w:val="auto"/>
                <w:sz w:val="24"/>
                <w:szCs w:val="24"/>
                <w:lang w:val="en-US" w:eastAsia="zh-CN"/>
              </w:rPr>
            </w:pPr>
            <w:r>
              <w:rPr>
                <w:rFonts w:hint="default" w:eastAsia="宋体"/>
                <w:bCs/>
                <w:color w:val="auto"/>
                <w:sz w:val="24"/>
                <w:szCs w:val="24"/>
                <w:lang w:val="en-US" w:eastAsia="zh-CN"/>
              </w:rPr>
              <w:t>现有项目自运行以来，生产运行正常，未发生重大事故，未收到群众投诉，无引发环境污染纠纷事件。</w:t>
            </w:r>
            <w:r>
              <w:rPr>
                <w:rFonts w:hint="eastAsia"/>
                <w:bCs/>
                <w:color w:val="auto"/>
                <w:sz w:val="24"/>
                <w:szCs w:val="24"/>
                <w:lang w:val="en-US" w:eastAsia="zh-CN"/>
              </w:rPr>
              <w:t>项目改造后，不再进行成品坚果的包装销售，不存在相关的历史遗留环境问题。</w:t>
            </w:r>
          </w:p>
        </w:tc>
      </w:tr>
    </w:tbl>
    <w:p w14:paraId="48EB3854">
      <w:pPr>
        <w:pStyle w:val="31"/>
        <w:jc w:val="center"/>
        <w:rPr>
          <w:rFonts w:ascii="Times New Roman" w:hAnsi="Times New Roman"/>
          <w:snapToGrid w:val="0"/>
          <w:sz w:val="36"/>
          <w:szCs w:val="36"/>
        </w:rPr>
        <w:sectPr>
          <w:headerReference r:id="rId7" w:type="default"/>
          <w:footerReference r:id="rId8" w:type="default"/>
          <w:pgSz w:w="11906" w:h="16838"/>
          <w:pgMar w:top="1417" w:right="1134" w:bottom="1587" w:left="1247" w:header="851" w:footer="851" w:gutter="0"/>
          <w:cols w:space="720" w:num="1"/>
          <w:docGrid w:linePitch="312" w:charSpace="0"/>
        </w:sectPr>
      </w:pPr>
    </w:p>
    <w:p w14:paraId="4E9D21FB">
      <w:pPr>
        <w:pStyle w:val="31"/>
        <w:adjustRightInd w:val="0"/>
        <w:snapToGrid w:val="0"/>
        <w:spacing w:before="0" w:beforeAutospacing="0" w:after="0" w:afterAutospacing="0" w:line="15" w:lineRule="auto"/>
        <w:jc w:val="center"/>
        <w:rPr>
          <w:rFonts w:ascii="Times New Roman" w:hAnsi="Times New Roman"/>
          <w:snapToGrid w:val="0"/>
          <w:sz w:val="30"/>
          <w:szCs w:val="30"/>
        </w:rPr>
      </w:pPr>
    </w:p>
    <w:p w14:paraId="3AA6307B">
      <w:pPr>
        <w:pStyle w:val="31"/>
        <w:jc w:val="center"/>
        <w:outlineLvl w:val="0"/>
        <w:rPr>
          <w:rFonts w:ascii="Times New Roman" w:hAnsi="Times New Roman"/>
          <w:b/>
          <w:snapToGrid w:val="0"/>
          <w:sz w:val="30"/>
          <w:szCs w:val="30"/>
        </w:rPr>
      </w:pPr>
      <w:r>
        <w:rPr>
          <w:rFonts w:ascii="Times New Roman" w:hAnsi="Times New Roman"/>
          <w:b/>
          <w:snapToGrid w:val="0"/>
          <w:sz w:val="30"/>
          <w:szCs w:val="30"/>
        </w:rPr>
        <w:t>三、区域环境质量现状、环境保护目标及评价标准</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9051"/>
      </w:tblGrid>
      <w:tr w14:paraId="21CA4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14:paraId="3F6B0062">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区域</w:t>
            </w:r>
          </w:p>
          <w:p w14:paraId="55D8CB61">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环境</w:t>
            </w:r>
          </w:p>
          <w:p w14:paraId="3E5C40C8">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质量</w:t>
            </w:r>
          </w:p>
          <w:p w14:paraId="5F444948">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b/>
                <w:kern w:val="0"/>
                <w:szCs w:val="21"/>
              </w:rPr>
              <w:t>现状</w:t>
            </w:r>
          </w:p>
        </w:tc>
        <w:tc>
          <w:tcPr>
            <w:tcW w:w="9051" w:type="dxa"/>
          </w:tcPr>
          <w:p w14:paraId="48557227">
            <w:pPr>
              <w:keepNext w:val="0"/>
              <w:keepLines w:val="0"/>
              <w:suppressLineNumbers w:val="0"/>
              <w:spacing w:before="0" w:beforeAutospacing="0" w:after="0" w:afterAutospacing="0" w:line="360" w:lineRule="auto"/>
              <w:ind w:left="0" w:right="0" w:firstLine="482" w:firstLineChars="200"/>
              <w:jc w:val="left"/>
              <w:rPr>
                <w:rFonts w:hint="default"/>
                <w:b/>
                <w:bCs/>
                <w:sz w:val="24"/>
                <w:szCs w:val="32"/>
              </w:rPr>
            </w:pPr>
            <w:bookmarkStart w:id="3" w:name="_Toc16819358"/>
            <w:bookmarkStart w:id="4" w:name="_Toc17555435"/>
            <w:r>
              <w:rPr>
                <w:rFonts w:hint="default"/>
                <w:b/>
                <w:bCs/>
                <w:sz w:val="24"/>
                <w:szCs w:val="32"/>
              </w:rPr>
              <w:t>1、大气环境质量状况</w:t>
            </w:r>
            <w:bookmarkEnd w:id="3"/>
            <w:bookmarkEnd w:id="4"/>
          </w:p>
          <w:p w14:paraId="2F6705B5">
            <w:pPr>
              <w:pStyle w:val="99"/>
              <w:keepNext w:val="0"/>
              <w:keepLines w:val="0"/>
              <w:suppressLineNumbers w:val="0"/>
              <w:spacing w:before="0" w:beforeAutospacing="0" w:after="0" w:afterAutospacing="0"/>
              <w:ind w:left="0" w:right="0" w:firstLine="480"/>
              <w:jc w:val="left"/>
              <w:rPr>
                <w:rFonts w:hint="default" w:ascii="Times New Roman" w:hAnsi="Times New Roman"/>
                <w:color w:val="auto"/>
                <w:sz w:val="24"/>
                <w:szCs w:val="32"/>
                <w:highlight w:val="none"/>
              </w:rPr>
            </w:pPr>
            <w:bookmarkStart w:id="5" w:name="OLE_LINK5"/>
            <w:r>
              <w:rPr>
                <w:rFonts w:hint="default" w:ascii="Times New Roman" w:hAnsi="Times New Roman"/>
                <w:color w:val="auto"/>
                <w:sz w:val="24"/>
                <w:szCs w:val="32"/>
                <w:highlight w:val="none"/>
              </w:rPr>
              <w:t>根据《环境影响评价技术导则</w:t>
            </w:r>
            <w:r>
              <w:rPr>
                <w:rFonts w:hint="eastAsia" w:ascii="Times New Roman" w:hAnsi="Times New Roman"/>
                <w:color w:val="auto"/>
                <w:sz w:val="24"/>
                <w:szCs w:val="32"/>
                <w:highlight w:val="none"/>
              </w:rPr>
              <w:t xml:space="preserve"> </w:t>
            </w:r>
            <w:r>
              <w:rPr>
                <w:rFonts w:hint="default" w:ascii="Times New Roman" w:hAnsi="Times New Roman"/>
                <w:color w:val="auto"/>
                <w:sz w:val="24"/>
                <w:szCs w:val="32"/>
                <w:highlight w:val="none"/>
              </w:rPr>
              <w:t>大气环境》（HJ2.2-2018），项目所在区域达标情况判定优先采用国家或地方生态环境主管部门公开发布的环境质量公告或环境质量报告中的数据或结论。</w:t>
            </w:r>
          </w:p>
          <w:p w14:paraId="7C94207C">
            <w:pPr>
              <w:pStyle w:val="31"/>
              <w:keepNext w:val="0"/>
              <w:keepLines w:val="0"/>
              <w:suppressLineNumbers w:val="0"/>
              <w:spacing w:before="0" w:beforeAutospacing="0" w:after="0" w:afterAutospacing="0" w:line="360" w:lineRule="auto"/>
              <w:ind w:left="0" w:right="0" w:firstLine="480" w:firstLineChars="200"/>
              <w:rPr>
                <w:rFonts w:hint="default" w:ascii="Times New Roman" w:hAnsi="Times New Roman"/>
                <w:b/>
                <w:bCs/>
                <w:kern w:val="2"/>
                <w:szCs w:val="24"/>
              </w:rPr>
            </w:pPr>
            <w:r>
              <w:rPr>
                <w:rFonts w:hint="default" w:ascii="Times New Roman" w:hAnsi="Times New Roman"/>
                <w:color w:val="auto"/>
                <w:sz w:val="24"/>
                <w:szCs w:val="32"/>
                <w:highlight w:val="none"/>
              </w:rPr>
              <w:t>根据</w:t>
            </w:r>
            <w:r>
              <w:rPr>
                <w:rFonts w:hint="eastAsia" w:ascii="Times New Roman" w:hAnsi="Times New Roman"/>
                <w:color w:val="auto"/>
                <w:sz w:val="24"/>
                <w:szCs w:val="32"/>
                <w:highlight w:val="none"/>
              </w:rPr>
              <w:t>宿州市生态环境局发布的《宿州市202</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年环境质量状况报告》及“基于互联网的环境影响评价技术服务平台”发布的信息</w:t>
            </w:r>
            <w:r>
              <w:rPr>
                <w:rFonts w:hint="default" w:ascii="Times New Roman" w:hAnsi="Times New Roman"/>
                <w:color w:val="auto"/>
                <w:sz w:val="24"/>
                <w:szCs w:val="32"/>
                <w:highlight w:val="none"/>
              </w:rPr>
              <w:t>，宿州市202</w:t>
            </w:r>
            <w:r>
              <w:rPr>
                <w:rFonts w:hint="eastAsia" w:ascii="Times New Roman" w:hAnsi="Times New Roman"/>
                <w:color w:val="auto"/>
                <w:sz w:val="24"/>
                <w:szCs w:val="32"/>
                <w:highlight w:val="none"/>
                <w:lang w:val="en-US" w:eastAsia="zh-CN"/>
              </w:rPr>
              <w:t>4</w:t>
            </w:r>
            <w:r>
              <w:rPr>
                <w:rFonts w:hint="default" w:ascii="Times New Roman" w:hAnsi="Times New Roman"/>
                <w:color w:val="auto"/>
                <w:sz w:val="24"/>
                <w:szCs w:val="32"/>
                <w:highlight w:val="none"/>
              </w:rPr>
              <w:t>年环境空气质量基础污染物监测浓度见下表</w:t>
            </w:r>
            <w:r>
              <w:rPr>
                <w:rFonts w:hint="default" w:ascii="Times New Roman" w:hAnsi="Times New Roman"/>
                <w:kern w:val="2"/>
                <w:szCs w:val="24"/>
              </w:rPr>
              <w:t>。</w:t>
            </w:r>
          </w:p>
          <w:p w14:paraId="1702AEB4">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b/>
                <w:sz w:val="24"/>
              </w:rPr>
            </w:pPr>
            <w:r>
              <w:rPr>
                <w:rFonts w:hint="default"/>
                <w:b/>
                <w:sz w:val="24"/>
              </w:rPr>
              <w:t>区域空气质量现状评价表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0"/>
              <w:gridCol w:w="3261"/>
              <w:gridCol w:w="1235"/>
              <w:gridCol w:w="1106"/>
              <w:gridCol w:w="1141"/>
              <w:gridCol w:w="1072"/>
            </w:tblGrid>
            <w:tr w14:paraId="2768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vAlign w:val="center"/>
                </w:tcPr>
                <w:p w14:paraId="435CFD93">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污染物</w:t>
                  </w:r>
                </w:p>
              </w:tc>
              <w:tc>
                <w:tcPr>
                  <w:tcW w:w="1846" w:type="pct"/>
                  <w:tcBorders>
                    <w:top w:val="single" w:color="auto" w:sz="4" w:space="0"/>
                    <w:left w:val="single" w:color="auto" w:sz="4" w:space="0"/>
                    <w:bottom w:val="single" w:color="auto" w:sz="4" w:space="0"/>
                    <w:right w:val="single" w:color="auto" w:sz="4" w:space="0"/>
                  </w:tcBorders>
                  <w:vAlign w:val="center"/>
                </w:tcPr>
                <w:p w14:paraId="38F185F6">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年评价指标</w:t>
                  </w:r>
                </w:p>
              </w:tc>
              <w:tc>
                <w:tcPr>
                  <w:tcW w:w="699" w:type="pct"/>
                  <w:tcBorders>
                    <w:top w:val="single" w:color="auto" w:sz="4" w:space="0"/>
                    <w:left w:val="single" w:color="auto" w:sz="4" w:space="0"/>
                    <w:bottom w:val="single" w:color="auto" w:sz="4" w:space="0"/>
                    <w:right w:val="single" w:color="auto" w:sz="4" w:space="0"/>
                  </w:tcBorders>
                  <w:vAlign w:val="center"/>
                </w:tcPr>
                <w:p w14:paraId="210AFBA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现状浓度</w:t>
                  </w:r>
                </w:p>
                <w:p w14:paraId="69C21A4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（μg/m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c>
                <w:tcPr>
                  <w:tcW w:w="626" w:type="pct"/>
                  <w:tcBorders>
                    <w:top w:val="single" w:color="auto" w:sz="4" w:space="0"/>
                    <w:left w:val="single" w:color="auto" w:sz="4" w:space="0"/>
                    <w:bottom w:val="single" w:color="auto" w:sz="4" w:space="0"/>
                    <w:right w:val="single" w:color="auto" w:sz="4" w:space="0"/>
                  </w:tcBorders>
                  <w:vAlign w:val="center"/>
                </w:tcPr>
                <w:p w14:paraId="2C5423A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标准值</w:t>
                  </w:r>
                </w:p>
                <w:p w14:paraId="02C0D1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（μg/m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c>
                <w:tcPr>
                  <w:tcW w:w="646" w:type="pct"/>
                  <w:tcBorders>
                    <w:top w:val="single" w:color="auto" w:sz="4" w:space="0"/>
                    <w:left w:val="single" w:color="auto" w:sz="4" w:space="0"/>
                    <w:bottom w:val="single" w:color="auto" w:sz="4" w:space="0"/>
                    <w:right w:val="single" w:color="auto" w:sz="4" w:space="0"/>
                  </w:tcBorders>
                  <w:vAlign w:val="center"/>
                </w:tcPr>
                <w:p w14:paraId="608F3597">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占标率</w:t>
                  </w:r>
                </w:p>
                <w:p w14:paraId="35A30662">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w:t>
                  </w:r>
                </w:p>
              </w:tc>
              <w:tc>
                <w:tcPr>
                  <w:tcW w:w="607" w:type="pct"/>
                  <w:tcBorders>
                    <w:top w:val="single" w:color="auto" w:sz="4" w:space="0"/>
                    <w:left w:val="single" w:color="auto" w:sz="4" w:space="0"/>
                    <w:bottom w:val="single" w:color="auto" w:sz="4" w:space="0"/>
                    <w:right w:val="single" w:color="auto" w:sz="4" w:space="0"/>
                  </w:tcBorders>
                  <w:vAlign w:val="center"/>
                </w:tcPr>
                <w:p w14:paraId="7E6B5E5B">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达标情况</w:t>
                  </w:r>
                </w:p>
              </w:tc>
            </w:tr>
            <w:tr w14:paraId="68FB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vAlign w:val="center"/>
                </w:tcPr>
                <w:p w14:paraId="50A39463">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SO</w:t>
                  </w:r>
                  <w:r>
                    <w:rPr>
                      <w:rFonts w:hint="default"/>
                      <w:color w:val="auto"/>
                      <w:szCs w:val="21"/>
                      <w:highlight w:val="none"/>
                      <w:vertAlign w:val="subscript"/>
                    </w:rPr>
                    <w:t>2</w:t>
                  </w:r>
                </w:p>
              </w:tc>
              <w:tc>
                <w:tcPr>
                  <w:tcW w:w="1846" w:type="pct"/>
                  <w:tcBorders>
                    <w:top w:val="single" w:color="auto" w:sz="4" w:space="0"/>
                    <w:left w:val="single" w:color="auto" w:sz="4" w:space="0"/>
                    <w:bottom w:val="single" w:color="auto" w:sz="4" w:space="0"/>
                    <w:right w:val="single" w:color="auto" w:sz="4" w:space="0"/>
                  </w:tcBorders>
                  <w:vAlign w:val="center"/>
                </w:tcPr>
                <w:p w14:paraId="4BD8EC34">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年平均质量浓度</w:t>
                  </w:r>
                </w:p>
              </w:tc>
              <w:tc>
                <w:tcPr>
                  <w:tcW w:w="1226" w:type="dxa"/>
                  <w:tcBorders>
                    <w:top w:val="single" w:color="auto" w:sz="4" w:space="0"/>
                    <w:left w:val="single" w:color="auto" w:sz="4" w:space="0"/>
                    <w:bottom w:val="single" w:color="auto" w:sz="4" w:space="0"/>
                    <w:right w:val="single" w:color="auto" w:sz="4" w:space="0"/>
                  </w:tcBorders>
                  <w:vAlign w:val="center"/>
                </w:tcPr>
                <w:p w14:paraId="3AF7ABE3">
                  <w:pPr>
                    <w:keepNext w:val="0"/>
                    <w:keepLines w:val="0"/>
                    <w:widowControl/>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lang w:val="en-US" w:eastAsia="zh-CN"/>
                    </w:rPr>
                    <w:t>6</w:t>
                  </w:r>
                </w:p>
              </w:tc>
              <w:tc>
                <w:tcPr>
                  <w:tcW w:w="1098" w:type="dxa"/>
                  <w:tcBorders>
                    <w:top w:val="single" w:color="auto" w:sz="4" w:space="0"/>
                    <w:left w:val="single" w:color="auto" w:sz="4" w:space="0"/>
                    <w:bottom w:val="single" w:color="auto" w:sz="4" w:space="0"/>
                    <w:right w:val="single" w:color="auto" w:sz="4" w:space="0"/>
                  </w:tcBorders>
                  <w:vAlign w:val="center"/>
                </w:tcPr>
                <w:p w14:paraId="714B2A0A">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60</w:t>
                  </w:r>
                </w:p>
              </w:tc>
              <w:tc>
                <w:tcPr>
                  <w:tcW w:w="1146" w:type="dxa"/>
                  <w:tcBorders>
                    <w:top w:val="single" w:color="auto" w:sz="4" w:space="0"/>
                    <w:left w:val="single" w:color="auto" w:sz="4" w:space="0"/>
                    <w:bottom w:val="single" w:color="auto" w:sz="4" w:space="0"/>
                    <w:right w:val="single" w:color="auto" w:sz="4" w:space="0"/>
                  </w:tcBorders>
                  <w:vAlign w:val="center"/>
                </w:tcPr>
                <w:p w14:paraId="3B34147F">
                  <w:pPr>
                    <w:keepNext w:val="0"/>
                    <w:keepLines w:val="0"/>
                    <w:widowControl/>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lang w:val="en-US" w:eastAsia="zh-CN"/>
                    </w:rPr>
                    <w:t>10</w:t>
                  </w:r>
                </w:p>
              </w:tc>
              <w:tc>
                <w:tcPr>
                  <w:tcW w:w="1064" w:type="dxa"/>
                  <w:tcBorders>
                    <w:top w:val="single" w:color="auto" w:sz="4" w:space="0"/>
                    <w:left w:val="single" w:color="auto" w:sz="4" w:space="0"/>
                    <w:bottom w:val="single" w:color="auto" w:sz="4" w:space="0"/>
                    <w:right w:val="single" w:color="auto" w:sz="4" w:space="0"/>
                  </w:tcBorders>
                  <w:vAlign w:val="center"/>
                </w:tcPr>
                <w:p w14:paraId="59716F62">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达标</w:t>
                  </w:r>
                </w:p>
              </w:tc>
            </w:tr>
            <w:tr w14:paraId="6A01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09513BE">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NO</w:t>
                  </w:r>
                  <w:r>
                    <w:rPr>
                      <w:rFonts w:hint="default"/>
                      <w:color w:val="auto"/>
                      <w:szCs w:val="21"/>
                      <w:highlight w:val="none"/>
                      <w:vertAlign w:val="subscript"/>
                    </w:rPr>
                    <w:t>2</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A7AB1CC">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年平均质量浓度</w:t>
                  </w:r>
                </w:p>
              </w:tc>
              <w:tc>
                <w:tcPr>
                  <w:tcW w:w="12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F38E598">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lang w:val="en-US" w:eastAsia="zh-CN"/>
                    </w:rPr>
                    <w:t>18</w:t>
                  </w:r>
                </w:p>
              </w:tc>
              <w:tc>
                <w:tcPr>
                  <w:tcW w:w="10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0243A96">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40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385E599">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lang w:val="en-US"/>
                    </w:rPr>
                  </w:pPr>
                  <w:r>
                    <w:rPr>
                      <w:rFonts w:hint="eastAsia"/>
                      <w:color w:val="auto"/>
                      <w:szCs w:val="21"/>
                      <w:lang w:val="en-US" w:eastAsia="zh-CN"/>
                    </w:rPr>
                    <w:t>45</w:t>
                  </w:r>
                </w:p>
              </w:tc>
              <w:tc>
                <w:tcPr>
                  <w:tcW w:w="10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EB8DA4E">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达标</w:t>
                  </w:r>
                </w:p>
              </w:tc>
            </w:tr>
            <w:tr w14:paraId="5884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EF5D50">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PM</w:t>
                  </w:r>
                  <w:r>
                    <w:rPr>
                      <w:rFonts w:hint="default"/>
                      <w:color w:val="auto"/>
                      <w:szCs w:val="21"/>
                      <w:highlight w:val="none"/>
                      <w:vertAlign w:val="subscript"/>
                    </w:rPr>
                    <w:t>10</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9C51A19">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年平均质量浓度</w:t>
                  </w:r>
                </w:p>
              </w:tc>
              <w:tc>
                <w:tcPr>
                  <w:tcW w:w="12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21C882">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7</w:t>
                  </w:r>
                  <w:r>
                    <w:rPr>
                      <w:rFonts w:hint="eastAsia"/>
                      <w:color w:val="auto"/>
                      <w:szCs w:val="21"/>
                      <w:lang w:val="en-US" w:eastAsia="zh-CN"/>
                    </w:rPr>
                    <w:t>1</w:t>
                  </w:r>
                </w:p>
              </w:tc>
              <w:tc>
                <w:tcPr>
                  <w:tcW w:w="10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86D9634">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70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A7448D0">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lang w:val="en-US"/>
                    </w:rPr>
                  </w:pPr>
                  <w:r>
                    <w:rPr>
                      <w:rFonts w:hint="eastAsia"/>
                      <w:color w:val="auto"/>
                      <w:szCs w:val="21"/>
                      <w:lang w:val="en-US" w:eastAsia="zh-CN"/>
                    </w:rPr>
                    <w:t>101.4</w:t>
                  </w:r>
                </w:p>
              </w:tc>
              <w:tc>
                <w:tcPr>
                  <w:tcW w:w="10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70340A6">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lang w:val="en-US" w:eastAsia="zh-CN"/>
                    </w:rPr>
                    <w:t>不</w:t>
                  </w:r>
                  <w:r>
                    <w:rPr>
                      <w:rFonts w:hint="default"/>
                      <w:color w:val="auto"/>
                      <w:szCs w:val="21"/>
                    </w:rPr>
                    <w:t>达标</w:t>
                  </w:r>
                </w:p>
              </w:tc>
            </w:tr>
            <w:tr w14:paraId="4893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62C496">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PM</w:t>
                  </w:r>
                  <w:r>
                    <w:rPr>
                      <w:rFonts w:hint="default"/>
                      <w:color w:val="auto"/>
                      <w:szCs w:val="21"/>
                      <w:highlight w:val="none"/>
                      <w:vertAlign w:val="subscript"/>
                    </w:rPr>
                    <w:t>2.5</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C1D8E5E">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年平均质量浓度</w:t>
                  </w:r>
                </w:p>
              </w:tc>
              <w:tc>
                <w:tcPr>
                  <w:tcW w:w="12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9E0E9C4">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4</w:t>
                  </w:r>
                  <w:r>
                    <w:rPr>
                      <w:rFonts w:hint="eastAsia"/>
                      <w:color w:val="auto"/>
                      <w:szCs w:val="21"/>
                      <w:lang w:val="en-US" w:eastAsia="zh-CN"/>
                    </w:rPr>
                    <w:t>3</w:t>
                  </w:r>
                </w:p>
              </w:tc>
              <w:tc>
                <w:tcPr>
                  <w:tcW w:w="10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742D7A2">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35</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6BCB4AA">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lang w:val="en-US"/>
                    </w:rPr>
                  </w:pPr>
                  <w:r>
                    <w:rPr>
                      <w:rFonts w:hint="eastAsia"/>
                      <w:color w:val="auto"/>
                      <w:szCs w:val="21"/>
                      <w:lang w:val="en-US" w:eastAsia="zh-CN"/>
                    </w:rPr>
                    <w:t>123</w:t>
                  </w:r>
                </w:p>
              </w:tc>
              <w:tc>
                <w:tcPr>
                  <w:tcW w:w="10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AB65E3D">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不达标</w:t>
                  </w:r>
                </w:p>
              </w:tc>
            </w:tr>
            <w:tr w14:paraId="3101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F356900">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CO</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BA8CC1D">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24小时平均第95百分位数</w:t>
                  </w:r>
                </w:p>
              </w:tc>
              <w:tc>
                <w:tcPr>
                  <w:tcW w:w="12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6676D37">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lang w:val="en-US"/>
                    </w:rPr>
                  </w:pPr>
                  <w:r>
                    <w:rPr>
                      <w:rFonts w:hint="eastAsia"/>
                      <w:color w:val="auto"/>
                      <w:szCs w:val="21"/>
                      <w:lang w:val="en-US" w:eastAsia="zh-CN"/>
                    </w:rPr>
                    <w:t>900</w:t>
                  </w:r>
                </w:p>
              </w:tc>
              <w:tc>
                <w:tcPr>
                  <w:tcW w:w="10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0EA481D">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4000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2E14ADC">
                  <w:pPr>
                    <w:keepNext w:val="0"/>
                    <w:keepLines w:val="0"/>
                    <w:widowControl/>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lang w:val="en-US" w:eastAsia="zh-CN"/>
                    </w:rPr>
                    <w:t>22.5</w:t>
                  </w:r>
                </w:p>
              </w:tc>
              <w:tc>
                <w:tcPr>
                  <w:tcW w:w="10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3C19DE2">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达标</w:t>
                  </w:r>
                </w:p>
              </w:tc>
            </w:tr>
            <w:tr w14:paraId="5310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AB25ECB">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O</w:t>
                  </w:r>
                  <w:r>
                    <w:rPr>
                      <w:rFonts w:hint="default"/>
                      <w:color w:val="auto"/>
                      <w:szCs w:val="21"/>
                      <w:highlight w:val="none"/>
                      <w:vertAlign w:val="subscript"/>
                    </w:rPr>
                    <w:t>3</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3C6102E">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日最大8小时平均第90百分位数</w:t>
                  </w:r>
                </w:p>
              </w:tc>
              <w:tc>
                <w:tcPr>
                  <w:tcW w:w="12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5D17D4D">
                  <w:pPr>
                    <w:keepNext w:val="0"/>
                    <w:keepLines w:val="0"/>
                    <w:widowControl/>
                    <w:suppressLineNumbers w:val="0"/>
                    <w:adjustRightInd w:val="0"/>
                    <w:snapToGrid w:val="0"/>
                    <w:spacing w:before="0" w:beforeAutospacing="0" w:after="0" w:afterAutospacing="0"/>
                    <w:ind w:left="0" w:right="0"/>
                    <w:jc w:val="center"/>
                    <w:rPr>
                      <w:rFonts w:hint="default" w:eastAsia="宋体"/>
                      <w:color w:val="auto"/>
                      <w:szCs w:val="21"/>
                      <w:highlight w:val="none"/>
                      <w:lang w:val="en-US" w:eastAsia="zh-CN"/>
                    </w:rPr>
                  </w:pPr>
                  <w:r>
                    <w:rPr>
                      <w:rFonts w:hint="default"/>
                      <w:color w:val="auto"/>
                      <w:szCs w:val="21"/>
                    </w:rPr>
                    <w:t>1</w:t>
                  </w:r>
                  <w:r>
                    <w:rPr>
                      <w:rFonts w:hint="eastAsia"/>
                      <w:color w:val="auto"/>
                      <w:szCs w:val="21"/>
                      <w:lang w:val="en-US" w:eastAsia="zh-CN"/>
                    </w:rPr>
                    <w:t>70</w:t>
                  </w:r>
                </w:p>
              </w:tc>
              <w:tc>
                <w:tcPr>
                  <w:tcW w:w="10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9B3162D">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160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36B4725">
                  <w:pPr>
                    <w:keepNext w:val="0"/>
                    <w:keepLines w:val="0"/>
                    <w:widowControl/>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lang w:val="en-US" w:eastAsia="zh-CN"/>
                    </w:rPr>
                    <w:t>106</w:t>
                  </w:r>
                </w:p>
              </w:tc>
              <w:tc>
                <w:tcPr>
                  <w:tcW w:w="10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76C13D5">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不达标</w:t>
                  </w:r>
                </w:p>
              </w:tc>
            </w:tr>
          </w:tbl>
          <w:p w14:paraId="326F5367">
            <w:pPr>
              <w:pStyle w:val="31"/>
              <w:keepNext w:val="0"/>
              <w:keepLines w:val="0"/>
              <w:suppressLineNumbers w:val="0"/>
              <w:spacing w:before="0" w:beforeAutospacing="0" w:after="0" w:afterAutospacing="0" w:line="360" w:lineRule="auto"/>
              <w:ind w:left="0" w:right="0" w:firstLine="480" w:firstLineChars="200"/>
              <w:rPr>
                <w:rFonts w:hint="eastAsia" w:ascii="Times New Roman" w:hAnsi="Times New Roman"/>
                <w:kern w:val="2"/>
                <w:szCs w:val="24"/>
              </w:rPr>
            </w:pPr>
            <w:r>
              <w:rPr>
                <w:rFonts w:hint="default" w:ascii="Times New Roman" w:hAnsi="Times New Roman"/>
                <w:kern w:val="2"/>
                <w:szCs w:val="24"/>
              </w:rPr>
              <w:t>由上表可知，宿州市</w:t>
            </w:r>
            <w:r>
              <w:rPr>
                <w:rFonts w:hint="eastAsia" w:ascii="Times New Roman" w:hAnsi="Times New Roman"/>
                <w:kern w:val="2"/>
                <w:szCs w:val="24"/>
                <w:lang w:val="en-US" w:eastAsia="zh-CN"/>
              </w:rPr>
              <w:t>2024年PM</w:t>
            </w:r>
            <w:r>
              <w:rPr>
                <w:rFonts w:hint="eastAsia" w:ascii="Times New Roman" w:hAnsi="Times New Roman"/>
                <w:kern w:val="2"/>
                <w:szCs w:val="24"/>
                <w:vertAlign w:val="subscript"/>
                <w:lang w:val="en-US" w:eastAsia="zh-CN"/>
              </w:rPr>
              <w:t>10</w:t>
            </w:r>
            <w:r>
              <w:rPr>
                <w:rFonts w:hint="eastAsia" w:ascii="Times New Roman" w:hAnsi="Times New Roman"/>
                <w:kern w:val="2"/>
                <w:szCs w:val="24"/>
                <w:lang w:val="en-US" w:eastAsia="zh-CN"/>
              </w:rPr>
              <w:t>、</w:t>
            </w:r>
            <w:r>
              <w:rPr>
                <w:rFonts w:hint="default" w:ascii="Times New Roman" w:hAnsi="Times New Roman"/>
                <w:kern w:val="2"/>
                <w:szCs w:val="24"/>
              </w:rPr>
              <w:t>PM</w:t>
            </w:r>
            <w:r>
              <w:rPr>
                <w:rFonts w:hint="default" w:ascii="Times New Roman" w:hAnsi="Times New Roman"/>
                <w:kern w:val="2"/>
                <w:szCs w:val="24"/>
                <w:vertAlign w:val="subscript"/>
              </w:rPr>
              <w:t>2.5</w:t>
            </w:r>
            <w:r>
              <w:rPr>
                <w:rFonts w:hint="default" w:ascii="Times New Roman" w:hAnsi="Times New Roman"/>
                <w:kern w:val="2"/>
                <w:szCs w:val="24"/>
              </w:rPr>
              <w:t>、O</w:t>
            </w:r>
            <w:r>
              <w:rPr>
                <w:rFonts w:hint="default" w:ascii="Times New Roman" w:hAnsi="Times New Roman"/>
                <w:kern w:val="2"/>
                <w:szCs w:val="24"/>
                <w:vertAlign w:val="subscript"/>
              </w:rPr>
              <w:t>3</w:t>
            </w:r>
            <w:r>
              <w:rPr>
                <w:rFonts w:hint="default" w:ascii="Times New Roman" w:hAnsi="Times New Roman"/>
                <w:kern w:val="2"/>
                <w:szCs w:val="24"/>
              </w:rPr>
              <w:t>浓度超过了《环境空气质量标准》（GB3095-2012）中二级标准限值。因此，宿州市环境空气质量不达标，项目所在区域属于不达标区。</w:t>
            </w:r>
          </w:p>
          <w:p w14:paraId="663B3392">
            <w:pPr>
              <w:keepNext w:val="0"/>
              <w:keepLines w:val="0"/>
              <w:widowControl/>
              <w:suppressLineNumbers w:val="0"/>
              <w:spacing w:before="0" w:beforeAutospacing="0" w:after="0" w:afterAutospacing="0" w:line="360" w:lineRule="auto"/>
              <w:ind w:left="0" w:right="0" w:firstLine="480" w:firstLineChars="200"/>
              <w:rPr>
                <w:rFonts w:hint="default"/>
                <w:sz w:val="24"/>
                <w:szCs w:val="32"/>
              </w:rPr>
            </w:pPr>
            <w:r>
              <w:rPr>
                <w:rFonts w:hint="eastAsia" w:ascii="Times New Roman" w:hAnsi="Times New Roman" w:eastAsia="宋体" w:cs="Times New Roman"/>
                <w:color w:val="auto"/>
                <w:kern w:val="2"/>
                <w:sz w:val="24"/>
                <w:szCs w:val="24"/>
                <w:lang w:val="en-US" w:eastAsia="zh-CN" w:bidi="ar-SA"/>
              </w:rPr>
              <w:t>针对基本污染物不达标问题，宿州市人民政府采取了以下措施以改善区域环境现状</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加快传统产业改造提升</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全面推进水泥行业及生物质发电行业生物质锅炉超低排放改造。强化挥发性有机物深度治理</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大力推动家具制造、板材加工、化工等涉挥发性有机物工业源重点行业全过程治理。加强秸秆禁烧</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实行全年全时段全区域禁止在人口集中地区、机场周围、交通干线附近以及政府划定的区域露天焚烧秸秆、落叶、垃圾等产生烟尘污染的物质，确保实现零火点，推进全市空气质量持续改善。通过采取以上措施，宿州市区域环境控制质量可得到有效改善</w:t>
            </w:r>
            <w:r>
              <w:rPr>
                <w:rFonts w:hint="default"/>
                <w:sz w:val="24"/>
                <w:szCs w:val="32"/>
              </w:rPr>
              <w:t>。</w:t>
            </w:r>
          </w:p>
          <w:p w14:paraId="5753630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（2）其他污染物环境质量现状</w:t>
            </w:r>
          </w:p>
          <w:p w14:paraId="4A0ABEE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rPr>
              <w:t>本项目</w:t>
            </w:r>
            <w:r>
              <w:rPr>
                <w:rFonts w:hint="eastAsia" w:cs="Times New Roman"/>
                <w:color w:val="auto"/>
                <w:sz w:val="24"/>
                <w:lang w:val="en-US" w:eastAsia="zh-CN"/>
              </w:rPr>
              <w:t>产生废气污染物主要为颗粒物。</w:t>
            </w:r>
            <w:r>
              <w:rPr>
                <w:rFonts w:hint="eastAsia" w:ascii="Times New Roman" w:hAnsi="Times New Roman" w:eastAsia="宋体" w:cs="Times New Roman"/>
                <w:color w:val="auto"/>
                <w:sz w:val="24"/>
                <w:highlight w:val="none"/>
                <w:lang w:val="en-US" w:eastAsia="zh-CN"/>
              </w:rPr>
              <w:t>TSP</w:t>
            </w:r>
            <w:r>
              <w:rPr>
                <w:rFonts w:hint="eastAsia" w:cs="Times New Roman"/>
                <w:color w:val="auto"/>
                <w:sz w:val="24"/>
                <w:highlight w:val="none"/>
                <w:lang w:val="en-US" w:eastAsia="zh-CN"/>
              </w:rPr>
              <w:t>监测数据引用《安徽宿州高新技术产业开发区总体发展规划（2023-2035年）环境影响报告书》中数据，检测时间：2023年05月15日至2023年05月21日，引用的检测点位为GG2，</w:t>
            </w:r>
            <w:r>
              <w:rPr>
                <w:rFonts w:hint="eastAsia" w:ascii="Times New Roman" w:hAnsi="Times New Roman" w:eastAsia="宋体" w:cs="Times New Roman"/>
                <w:color w:val="auto"/>
                <w:sz w:val="24"/>
                <w:highlight w:val="none"/>
              </w:rPr>
              <w:t>监测点位在本项目5km范围内，现状监测的时效与范围符合《建设项目环境影响报告表编制技术指南</w:t>
            </w:r>
            <w:r>
              <w:rPr>
                <w:rFonts w:hint="default" w:ascii="Times New Roman" w:hAnsi="Times New Roman" w:eastAsia="宋体" w:cs="Times New Roman"/>
                <w:color w:val="auto"/>
                <w:sz w:val="24"/>
                <w:highlight w:val="none"/>
              </w:rPr>
              <w:t>（污染影响类）（试行）》的要求，故本报告引用该报告中大气环境质量中</w:t>
            </w:r>
            <w:r>
              <w:rPr>
                <w:rFonts w:hint="eastAsia" w:ascii="Times New Roman" w:hAnsi="Times New Roman" w:eastAsia="宋体" w:cs="Times New Roman"/>
                <w:color w:val="auto"/>
                <w:sz w:val="24"/>
                <w:highlight w:val="none"/>
                <w:lang w:val="en-US" w:eastAsia="zh-CN"/>
              </w:rPr>
              <w:t>TSP</w:t>
            </w:r>
            <w:r>
              <w:rPr>
                <w:rFonts w:hint="default" w:ascii="Times New Roman" w:hAnsi="Times New Roman" w:eastAsia="宋体" w:cs="Times New Roman"/>
                <w:color w:val="auto"/>
                <w:sz w:val="24"/>
                <w:highlight w:val="none"/>
              </w:rPr>
              <w:t>监测数据。</w:t>
            </w:r>
          </w:p>
          <w:p w14:paraId="309CEBC6">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color w:val="auto"/>
                <w:sz w:val="24"/>
                <w:szCs w:val="32"/>
                <w:highlight w:val="none"/>
              </w:rPr>
            </w:pPr>
            <w:r>
              <w:rPr>
                <w:rFonts w:hint="default" w:ascii="Times New Roman" w:hAnsi="Times New Roman" w:eastAsia="宋体" w:cs="Times New Roman"/>
                <w:b/>
                <w:color w:val="auto"/>
                <w:sz w:val="24"/>
                <w:szCs w:val="32"/>
                <w:highlight w:val="none"/>
              </w:rPr>
              <w:t>环境空气质量监测布点表</w:t>
            </w:r>
          </w:p>
          <w:tbl>
            <w:tblPr>
              <w:tblStyle w:val="3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10"/>
              <w:gridCol w:w="846"/>
              <w:gridCol w:w="983"/>
              <w:gridCol w:w="1041"/>
              <w:gridCol w:w="1905"/>
              <w:gridCol w:w="860"/>
              <w:gridCol w:w="1075"/>
            </w:tblGrid>
            <w:tr w14:paraId="4579E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96" w:type="pct"/>
                  <w:vMerge w:val="restart"/>
                  <w:vAlign w:val="center"/>
                </w:tcPr>
                <w:p w14:paraId="414DE74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监测点名称</w:t>
                  </w:r>
                </w:p>
              </w:tc>
              <w:tc>
                <w:tcPr>
                  <w:tcW w:w="1036" w:type="pct"/>
                  <w:gridSpan w:val="2"/>
                  <w:vAlign w:val="center"/>
                </w:tcPr>
                <w:p w14:paraId="64D69EF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监测点坐标</w:t>
                  </w:r>
                </w:p>
              </w:tc>
              <w:tc>
                <w:tcPr>
                  <w:tcW w:w="590" w:type="pct"/>
                  <w:vMerge w:val="restart"/>
                  <w:vAlign w:val="center"/>
                </w:tcPr>
                <w:p w14:paraId="4E64CE0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监测因子</w:t>
                  </w:r>
                </w:p>
              </w:tc>
              <w:tc>
                <w:tcPr>
                  <w:tcW w:w="1079" w:type="pct"/>
                  <w:vMerge w:val="restart"/>
                  <w:vAlign w:val="center"/>
                </w:tcPr>
                <w:p w14:paraId="2A7B21C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监测</w:t>
                  </w:r>
                  <w:r>
                    <w:rPr>
                      <w:rFonts w:hint="eastAsia" w:cs="Times New Roman"/>
                      <w:bCs/>
                      <w:color w:val="auto"/>
                      <w:szCs w:val="21"/>
                      <w:highlight w:val="none"/>
                      <w:lang w:val="en-US" w:eastAsia="zh-CN"/>
                    </w:rPr>
                    <w:t>时间和频次</w:t>
                  </w:r>
                </w:p>
              </w:tc>
              <w:tc>
                <w:tcPr>
                  <w:tcW w:w="487" w:type="pct"/>
                  <w:vMerge w:val="restart"/>
                  <w:vAlign w:val="center"/>
                </w:tcPr>
                <w:p w14:paraId="1FDE051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相对厂址方位</w:t>
                  </w:r>
                </w:p>
              </w:tc>
              <w:tc>
                <w:tcPr>
                  <w:tcW w:w="609" w:type="pct"/>
                  <w:vMerge w:val="restart"/>
                  <w:vAlign w:val="center"/>
                </w:tcPr>
                <w:p w14:paraId="50EEF84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相对厂界距离/m</w:t>
                  </w:r>
                </w:p>
              </w:tc>
            </w:tr>
            <w:tr w14:paraId="6D04C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96" w:type="pct"/>
                  <w:vMerge w:val="continue"/>
                  <w:vAlign w:val="center"/>
                </w:tcPr>
                <w:p w14:paraId="69C52A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tc>
              <w:tc>
                <w:tcPr>
                  <w:tcW w:w="479" w:type="pct"/>
                  <w:vAlign w:val="center"/>
                </w:tcPr>
                <w:p w14:paraId="5AFEED0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X</w:t>
                  </w:r>
                </w:p>
              </w:tc>
              <w:tc>
                <w:tcPr>
                  <w:tcW w:w="557" w:type="pct"/>
                  <w:vAlign w:val="center"/>
                </w:tcPr>
                <w:p w14:paraId="19DE4A0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Y</w:t>
                  </w:r>
                </w:p>
              </w:tc>
              <w:tc>
                <w:tcPr>
                  <w:tcW w:w="590" w:type="pct"/>
                  <w:vMerge w:val="continue"/>
                  <w:vAlign w:val="center"/>
                </w:tcPr>
                <w:p w14:paraId="6E3CA88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tc>
              <w:tc>
                <w:tcPr>
                  <w:tcW w:w="1079" w:type="pct"/>
                  <w:vMerge w:val="continue"/>
                  <w:vAlign w:val="center"/>
                </w:tcPr>
                <w:p w14:paraId="074CEF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tc>
              <w:tc>
                <w:tcPr>
                  <w:tcW w:w="487" w:type="pct"/>
                  <w:vMerge w:val="continue"/>
                  <w:vAlign w:val="center"/>
                </w:tcPr>
                <w:p w14:paraId="6222811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tc>
              <w:tc>
                <w:tcPr>
                  <w:tcW w:w="609" w:type="pct"/>
                  <w:vMerge w:val="continue"/>
                  <w:vAlign w:val="center"/>
                </w:tcPr>
                <w:p w14:paraId="626B207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p>
              </w:tc>
            </w:tr>
            <w:tr w14:paraId="458C3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96" w:type="pct"/>
                  <w:vAlign w:val="center"/>
                </w:tcPr>
                <w:p w14:paraId="5CC798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w:t>
                  </w:r>
                  <w:r>
                    <w:rPr>
                      <w:rFonts w:hint="eastAsia" w:cs="Times New Roman"/>
                      <w:color w:val="auto"/>
                      <w:szCs w:val="21"/>
                      <w:highlight w:val="none"/>
                      <w:lang w:val="en-US" w:eastAsia="zh-CN"/>
                    </w:rPr>
                    <w:t>G2电子产业园</w:t>
                  </w:r>
                </w:p>
              </w:tc>
              <w:tc>
                <w:tcPr>
                  <w:tcW w:w="479" w:type="pct"/>
                  <w:vAlign w:val="center"/>
                </w:tcPr>
                <w:p w14:paraId="20E242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-2660</w:t>
                  </w:r>
                </w:p>
              </w:tc>
              <w:tc>
                <w:tcPr>
                  <w:tcW w:w="557" w:type="pct"/>
                  <w:vAlign w:val="center"/>
                </w:tcPr>
                <w:p w14:paraId="4F8C47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226</w:t>
                  </w:r>
                </w:p>
              </w:tc>
              <w:tc>
                <w:tcPr>
                  <w:tcW w:w="590" w:type="pct"/>
                  <w:vAlign w:val="center"/>
                </w:tcPr>
                <w:p w14:paraId="1CD6C5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TSP</w:t>
                  </w:r>
                </w:p>
              </w:tc>
              <w:tc>
                <w:tcPr>
                  <w:tcW w:w="1079" w:type="pct"/>
                  <w:vAlign w:val="center"/>
                </w:tcPr>
                <w:p w14:paraId="3A748970">
                  <w:pPr>
                    <w:keepNext w:val="0"/>
                    <w:keepLines w:val="0"/>
                    <w:suppressLineNumbers w:val="0"/>
                    <w:spacing w:before="0" w:beforeAutospacing="0" w:after="0" w:afterAutospacing="0"/>
                    <w:ind w:left="0" w:right="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 xml:space="preserve">连续监测7天，每天连续采样时间 </w:t>
                  </w:r>
                </w:p>
                <w:p w14:paraId="3A1EDA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24h</w:t>
                  </w:r>
                </w:p>
              </w:tc>
              <w:tc>
                <w:tcPr>
                  <w:tcW w:w="487" w:type="pct"/>
                  <w:vAlign w:val="center"/>
                </w:tcPr>
                <w:p w14:paraId="361BAF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NW</w:t>
                  </w:r>
                </w:p>
              </w:tc>
              <w:tc>
                <w:tcPr>
                  <w:tcW w:w="609" w:type="pct"/>
                  <w:vAlign w:val="center"/>
                </w:tcPr>
                <w:p w14:paraId="1D1BE9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2670</w:t>
                  </w:r>
                </w:p>
              </w:tc>
            </w:tr>
          </w:tbl>
          <w:p w14:paraId="3DF76ABC">
            <w:pPr>
              <w:keepNext w:val="0"/>
              <w:keepLines w:val="0"/>
              <w:suppressLineNumbers w:val="0"/>
              <w:spacing w:before="0" w:beforeAutospacing="0" w:after="0" w:afterAutospacing="0" w:line="360" w:lineRule="auto"/>
              <w:ind w:left="0" w:right="0"/>
              <w:jc w:val="both"/>
              <w:rPr>
                <w:rFonts w:hint="eastAsia" w:eastAsia="宋体"/>
                <w:color w:val="0000FF"/>
                <w:lang w:eastAsia="zh-CN"/>
              </w:rPr>
            </w:pPr>
            <w:r>
              <w:rPr>
                <w:rFonts w:hint="default" w:ascii="Times New Roman" w:hAnsi="Times New Roman" w:eastAsia="宋体" w:cs="Times New Roman"/>
                <w:bCs/>
                <w:color w:val="auto"/>
                <w:szCs w:val="21"/>
              </w:rPr>
              <w:t>注：本项目</w:t>
            </w:r>
            <w:r>
              <w:rPr>
                <w:rFonts w:hint="eastAsia" w:ascii="Times New Roman" w:hAnsi="Times New Roman" w:eastAsia="宋体" w:cs="Times New Roman"/>
                <w:bCs/>
                <w:color w:val="auto"/>
                <w:szCs w:val="21"/>
              </w:rPr>
              <w:t>以</w:t>
            </w:r>
            <w:r>
              <w:rPr>
                <w:rFonts w:hint="eastAsia" w:ascii="Times New Roman" w:hAnsi="Times New Roman" w:eastAsia="宋体" w:cs="Times New Roman"/>
                <w:bCs/>
                <w:color w:val="auto"/>
                <w:szCs w:val="21"/>
                <w:lang w:val="en-US" w:eastAsia="zh-CN"/>
              </w:rPr>
              <w:t>租赁厂房西北</w:t>
            </w:r>
            <w:r>
              <w:rPr>
                <w:rFonts w:hint="eastAsia" w:ascii="Times New Roman" w:hAnsi="Times New Roman" w:eastAsia="宋体" w:cs="Times New Roman"/>
                <w:bCs/>
                <w:color w:val="auto"/>
                <w:szCs w:val="21"/>
              </w:rPr>
              <w:t>角（N</w:t>
            </w:r>
            <w:r>
              <w:rPr>
                <w:rFonts w:hint="eastAsia" w:ascii="Times New Roman" w:hAnsi="Times New Roman" w:eastAsia="宋体" w:cs="Times New Roman"/>
                <w:bCs/>
                <w:color w:val="auto"/>
                <w:szCs w:val="21"/>
                <w:lang w:val="en-US" w:eastAsia="zh-CN"/>
              </w:rPr>
              <w:t>116.982610</w:t>
            </w:r>
            <w:r>
              <w:rPr>
                <w:rFonts w:hint="eastAsia" w:ascii="Times New Roman" w:hAnsi="Times New Roman" w:eastAsia="宋体" w:cs="Times New Roman"/>
                <w:bCs/>
                <w:color w:val="auto"/>
                <w:szCs w:val="21"/>
              </w:rPr>
              <w:t>°，E</w:t>
            </w:r>
            <w:r>
              <w:rPr>
                <w:rFonts w:hint="eastAsia" w:ascii="Times New Roman" w:hAnsi="Times New Roman" w:eastAsia="宋体" w:cs="Times New Roman"/>
                <w:bCs/>
                <w:color w:val="auto"/>
                <w:szCs w:val="21"/>
                <w:lang w:val="en-US" w:eastAsia="zh-CN"/>
              </w:rPr>
              <w:t>33.698317</w:t>
            </w:r>
            <w:r>
              <w:rPr>
                <w:rFonts w:hint="eastAsia" w:ascii="Times New Roman" w:hAnsi="Times New Roman" w:eastAsia="宋体" w:cs="Times New Roman"/>
                <w:bCs/>
                <w:color w:val="auto"/>
                <w:szCs w:val="21"/>
              </w:rPr>
              <w:t>°）为</w:t>
            </w:r>
            <w:r>
              <w:rPr>
                <w:rFonts w:hint="default" w:ascii="Times New Roman" w:hAnsi="Times New Roman" w:eastAsia="宋体" w:cs="Times New Roman"/>
                <w:bCs/>
                <w:color w:val="auto"/>
                <w:szCs w:val="21"/>
              </w:rPr>
              <w:t>坐标原点</w:t>
            </w:r>
            <w:r>
              <w:rPr>
                <w:rFonts w:hint="eastAsia" w:ascii="Times New Roman" w:hAnsi="Times New Roman" w:eastAsia="宋体" w:cs="Times New Roman"/>
                <w:bCs/>
                <w:color w:val="auto"/>
                <w:szCs w:val="21"/>
                <w:lang w:eastAsia="zh-CN"/>
              </w:rPr>
              <w:t>。</w:t>
            </w:r>
          </w:p>
          <w:p w14:paraId="35A94A1E">
            <w:pPr>
              <w:keepNext w:val="0"/>
              <w:keepLines w:val="0"/>
              <w:suppressLineNumbers w:val="0"/>
              <w:spacing w:before="0" w:beforeAutospacing="0" w:after="0" w:afterAutospacing="0" w:line="360" w:lineRule="auto"/>
              <w:ind w:left="0" w:right="0"/>
              <w:jc w:val="center"/>
              <w:rPr>
                <w:rFonts w:hint="default"/>
              </w:rPr>
            </w:pPr>
            <w:r>
              <w:rPr>
                <w:rFonts w:hint="default"/>
                <w:sz w:val="21"/>
              </w:rPr>
              <mc:AlternateContent>
                <mc:Choice Requires="wps">
                  <w:drawing>
                    <wp:anchor distT="0" distB="0" distL="0" distR="0" simplePos="0" relativeHeight="251659264" behindDoc="0" locked="0" layoutInCell="1" allowOverlap="1">
                      <wp:simplePos x="0" y="0"/>
                      <wp:positionH relativeFrom="column">
                        <wp:posOffset>3281680</wp:posOffset>
                      </wp:positionH>
                      <wp:positionV relativeFrom="paragraph">
                        <wp:posOffset>1795145</wp:posOffset>
                      </wp:positionV>
                      <wp:extent cx="760730" cy="257810"/>
                      <wp:effectExtent l="0" t="0" r="0" b="0"/>
                      <wp:wrapNone/>
                      <wp:docPr id="1033" name="文本框 48"/>
                      <wp:cNvGraphicFramePr/>
                      <a:graphic xmlns:a="http://schemas.openxmlformats.org/drawingml/2006/main">
                        <a:graphicData uri="http://schemas.microsoft.com/office/word/2010/wordprocessingShape">
                          <wps:wsp>
                            <wps:cNvSpPr/>
                            <wps:spPr>
                              <a:xfrm>
                                <a:off x="0" y="0"/>
                                <a:ext cx="760729" cy="257810"/>
                              </a:xfrm>
                              <a:prstGeom prst="rect">
                                <a:avLst/>
                              </a:prstGeom>
                              <a:ln>
                                <a:noFill/>
                              </a:ln>
                            </wps:spPr>
                            <wps:txbx>
                              <w:txbxContent>
                                <w:p w14:paraId="55B67DB7">
                                  <w:pPr>
                                    <w:jc w:val="center"/>
                                    <w:rPr>
                                      <w:rFonts w:hint="default" w:eastAsia="宋体"/>
                                      <w:b/>
                                      <w:bCs/>
                                      <w:color w:val="FFFF00"/>
                                      <w:sz w:val="24"/>
                                      <w:szCs w:val="32"/>
                                      <w:highlight w:val="none"/>
                                      <w:lang w:val="en-US" w:eastAsia="zh-CN"/>
                                    </w:rPr>
                                  </w:pPr>
                                  <w:r>
                                    <w:rPr>
                                      <w:rFonts w:hint="eastAsia"/>
                                      <w:b/>
                                      <w:bCs/>
                                      <w:color w:val="FFFF00"/>
                                      <w:sz w:val="24"/>
                                      <w:szCs w:val="32"/>
                                      <w:highlight w:val="none"/>
                                      <w:lang w:val="en-US" w:eastAsia="zh-CN"/>
                                    </w:rPr>
                                    <w:t>2670m</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258.4pt;margin-top:141.35pt;height:20.3pt;width:59.9pt;z-index:251659264;mso-width-relative:page;mso-height-relative:page;" filled="f" stroked="f" coordsize="21600,21600" o:gfxdata="UEsDBAoAAAAAAIdO4kAAAAAAAAAAAAAAAAAEAAAAZHJzL1BLAwQUAAAACACHTuJAE9VVkNwAAAAL&#10;AQAADwAAAGRycy9kb3ducmV2LnhtbE2PT0vDQBTE74LfYXmCF7GbPxhLzEsPBbGIUJpqz9vsMwlm&#10;36bZbVK/vetJj8MMM78pVhfTi4lG11lGiBcRCOLa6o4bhPf98/0ShPOKteotE8I3OViV11eFyrWd&#10;eUdT5RsRStjlCqH1fsildHVLRrmFHYiD92lHo3yQYyP1qOZQbnqZRFEmjeo4LLRqoHVL9Vd1Nghz&#10;vZ0O+7cXub07bCyfNqd19fGKeHsTR08gPF38Xxh+8QM6lIHpaM+snegRHuIsoHuEZJk8ggiJLM0y&#10;EEeENElTkGUh/38ofwBQSwMEFAAAAAgAh07iQLh8WYncAQAAowMAAA4AAABkcnMvZTJvRG9jLnht&#10;bK1TQW7bMBC8F+gfCN5ryYoTO4LloICRokDRBkj7AJoiLQIilyVpS+4D2h/01EvveZff0SWlOkZy&#10;ySEXmstdz87MrpY3vW7JXjivwFR0OskpEYZDrcy2ot++3r5bUOIDMzVrwYiKHoSnN6u3b5adLUUB&#10;DbS1cARBjC87W9EmBFtmmeeN0MxPwAqDSQlOs4Ch22a1Yx2i6zYr8vwq68DV1gEX3uPrekjSEdG9&#10;BBCkVFysge+0MGFAdaJlASX5RllPV4mtlIKHL1J6EUhbUVQa0olN8L6JZ7ZasnLrmG0UHymwl1B4&#10;okkzZbDpCWrNAiM7p55BacUdeJBhwkFng5DkCKqY5k+8uW+YFUkLWu3tyXT/erD88/7OEVXjJuQX&#10;F5QYpnHmx9+/jn8ejn9/ktkiWtRZX2Llvb1zY+TxGvX20un4i0pIn2w9nGwVfSAcH+dX+by4poRj&#10;qricL6bJ9uzxz9b58EGAJvFSUYdTS2ay/ScfsCGW/i+JvVoTTwO3qm2HbHzJIsmBVryFftOPXDdQ&#10;H1Ak7jyCN+B+UNLhxCvqv++YE5S0Hw1aej2dzeKKpGB2OS8wcOeZzXmGGY5QFR2YGni/CyBVYhvb&#10;Dz1HVji7JGLcs7gc53Gqevy2V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9VVkNwAAAALAQAA&#10;DwAAAAAAAAABACAAAAAiAAAAZHJzL2Rvd25yZXYueG1sUEsBAhQAFAAAAAgAh07iQLh8WYncAQAA&#10;owMAAA4AAAAAAAAAAQAgAAAAKwEAAGRycy9lMm9Eb2MueG1sUEsFBgAAAAAGAAYAWQEAAHkFAAAA&#10;AA==&#10;">
                      <v:fill on="f" focussize="0,0"/>
                      <v:stroke on="f"/>
                      <v:imagedata o:title=""/>
                      <o:lock v:ext="edit" aspectratio="f"/>
                      <v:textbox>
                        <w:txbxContent>
                          <w:p w14:paraId="55B67DB7">
                            <w:pPr>
                              <w:jc w:val="center"/>
                              <w:rPr>
                                <w:rFonts w:hint="default" w:eastAsia="宋体"/>
                                <w:b/>
                                <w:bCs/>
                                <w:color w:val="FFFF00"/>
                                <w:sz w:val="24"/>
                                <w:szCs w:val="32"/>
                                <w:highlight w:val="none"/>
                                <w:lang w:val="en-US" w:eastAsia="zh-CN"/>
                              </w:rPr>
                            </w:pPr>
                            <w:r>
                              <w:rPr>
                                <w:rFonts w:hint="eastAsia"/>
                                <w:b/>
                                <w:bCs/>
                                <w:color w:val="FFFF00"/>
                                <w:sz w:val="24"/>
                                <w:szCs w:val="32"/>
                                <w:highlight w:val="none"/>
                                <w:lang w:val="en-US" w:eastAsia="zh-CN"/>
                              </w:rPr>
                              <w:t>2670m</w:t>
                            </w:r>
                          </w:p>
                        </w:txbxContent>
                      </v:textbox>
                    </v:rect>
                  </w:pict>
                </mc:Fallback>
              </mc:AlternateContent>
            </w:r>
            <w:r>
              <w:rPr>
                <w:rFonts w:hint="default"/>
                <w:sz w:val="21"/>
              </w:rPr>
              <mc:AlternateContent>
                <mc:Choice Requires="wps">
                  <w:drawing>
                    <wp:anchor distT="0" distB="0" distL="0" distR="0" simplePos="0" relativeHeight="251659264" behindDoc="0" locked="0" layoutInCell="1" allowOverlap="1">
                      <wp:simplePos x="0" y="0"/>
                      <wp:positionH relativeFrom="column">
                        <wp:posOffset>4205605</wp:posOffset>
                      </wp:positionH>
                      <wp:positionV relativeFrom="paragraph">
                        <wp:posOffset>1804670</wp:posOffset>
                      </wp:positionV>
                      <wp:extent cx="608965" cy="257810"/>
                      <wp:effectExtent l="0" t="0" r="635" b="8890"/>
                      <wp:wrapNone/>
                      <wp:docPr id="1035" name="文本框 46"/>
                      <wp:cNvGraphicFramePr/>
                      <a:graphic xmlns:a="http://schemas.openxmlformats.org/drawingml/2006/main">
                        <a:graphicData uri="http://schemas.microsoft.com/office/word/2010/wordprocessingShape">
                          <wps:wsp>
                            <wps:cNvSpPr/>
                            <wps:spPr>
                              <a:xfrm>
                                <a:off x="0" y="0"/>
                                <a:ext cx="608965" cy="257810"/>
                              </a:xfrm>
                              <a:prstGeom prst="rect">
                                <a:avLst/>
                              </a:prstGeom>
                              <a:ln>
                                <a:noFill/>
                              </a:ln>
                            </wps:spPr>
                            <wps:txbx>
                              <w:txbxContent>
                                <w:p w14:paraId="5F9E7FA5">
                                  <w:pPr>
                                    <w:jc w:val="center"/>
                                    <w:rPr>
                                      <w:rFonts w:hint="default" w:eastAsia="宋体"/>
                                      <w:b/>
                                      <w:bCs/>
                                      <w:color w:val="FF0000"/>
                                      <w:highlight w:val="none"/>
                                      <w:lang w:val="en-US" w:eastAsia="zh-CN"/>
                                    </w:rPr>
                                  </w:pPr>
                                  <w:r>
                                    <w:rPr>
                                      <w:rFonts w:hint="eastAsia"/>
                                      <w:b/>
                                      <w:bCs/>
                                      <w:color w:val="FF0000"/>
                                      <w:highlight w:val="none"/>
                                      <w:lang w:val="en-US" w:eastAsia="zh-CN"/>
                                    </w:rPr>
                                    <w:t>本项目</w:t>
                                  </w:r>
                                </w:p>
                              </w:txbxContent>
                            </wps:txbx>
                            <wps:bodyPr vert="horz" wrap="square" lIns="91440" tIns="45720" rIns="91440" bIns="45720" anchor="t">
                              <a:noAutofit/>
                            </wps:bodyPr>
                          </wps:wsp>
                        </a:graphicData>
                      </a:graphic>
                    </wp:anchor>
                  </w:drawing>
                </mc:Choice>
                <mc:Fallback>
                  <w:pict>
                    <v:rect id="文本框 46" o:spid="_x0000_s1026" o:spt="1" style="position:absolute;left:0pt;margin-left:331.15pt;margin-top:142.1pt;height:20.3pt;width:47.95pt;z-index:251659264;mso-width-relative:page;mso-height-relative:page;" filled="f" stroked="f" coordsize="21600,21600" o:gfxdata="UEsDBAoAAAAAAIdO4kAAAAAAAAAAAAAAAAAEAAAAZHJzL1BLAwQUAAAACACHTuJAdky3XNwAAAAL&#10;AQAADwAAAGRycy9kb3ducmV2LnhtbE2PwUrDQBCG74LvsIzgReymaY0hZtJDQSwiFFPteZsdk2B2&#10;Ns1uk/r2bk96m2E+/vn+fHU2nRhpcK1lhPksAkFcWd1yjfCxe75PQTivWKvOMiH8kINVcX2Vq0zb&#10;id9pLH0tQgi7TCE03veZlK5qyCg3sz1xuH3ZwSgf1qGWelBTCDedjKMokUa1HD40qqd1Q9V3eTII&#10;U7Ud97u3F7m9228sHzfHdfn5inh7M4+eQHg6+z8YLvpBHYrgdLAn1k50CEkSLwKKEKfLGEQgHh/S&#10;MBwQFvEyBVnk8n+H4hdQSwMEFAAAAAgAh07iQFy6gJ3bAQAAowMAAA4AAABkcnMvZTJvRG9jLnht&#10;bK1TwW4TMRC9I/EPlu9kNyFJ0yibCikqQkJQqfABjtfOWrI9xnayGz4A/oATF+58V76DsXebRu2l&#10;By6OxzN5896b2dVNZzQ5CB8U2IqORyUlwnKold1V9OuX2zcLSkJktmYarKjoUQR6s379atW6pZhA&#10;A7oWniCIDcvWVbSJ0S2LIvBGGBZG4ITFpARvWMTQ74rasxbRjS4mZTkvWvC188BFCPi66ZN0QPQv&#10;AQQpFRcb4HsjbOxRvdAsoqTQKBfoOrOVUvD4WcogItEVRaUxn9gE79t0FusVW+48c43iAwX2EgpP&#10;NBmmLDY9Q21YZGTv1TMoo7iHADKOOJiiF5IdQRXj8ok39w1zImtBq4M7mx7+Hyz/dLjzRNW4CeXb&#10;GSWWGZz56dfP0++/pz8/yHSeLGpdWGLlvbvzQxTwmvR20pv0i0pIl209nm0VXSQcH+fl4nqO2BxT&#10;k9nVYpxtLx7/7HyI7wUYki4V9Ti1bCY7fAwRG2LpQ0nqpW06LdwqrftseikSyZ5WusVu2w1ct1Af&#10;USTuPII34L9T0uLEKxq+7ZkXlOgPFi29Hk+naUVyMJ1dTTDwl5ntZYZZjlAV7ZlaeLePIFVmm9r3&#10;PQdWOLssYtiztByXca56/LbW/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2TLdc3AAAAAsBAAAP&#10;AAAAAAAAAAEAIAAAACIAAABkcnMvZG93bnJldi54bWxQSwECFAAUAAAACACHTuJAXLqAndsBAACj&#10;AwAADgAAAAAAAAABACAAAAArAQAAZHJzL2Uyb0RvYy54bWxQSwUGAAAAAAYABgBZAQAAeAUAAAAA&#10;">
                      <v:fill on="f" focussize="0,0"/>
                      <v:stroke on="f"/>
                      <v:imagedata o:title=""/>
                      <o:lock v:ext="edit" aspectratio="f"/>
                      <v:textbox>
                        <w:txbxContent>
                          <w:p w14:paraId="5F9E7FA5">
                            <w:pPr>
                              <w:jc w:val="center"/>
                              <w:rPr>
                                <w:rFonts w:hint="default" w:eastAsia="宋体"/>
                                <w:b/>
                                <w:bCs/>
                                <w:color w:val="FF0000"/>
                                <w:highlight w:val="none"/>
                                <w:lang w:val="en-US" w:eastAsia="zh-CN"/>
                              </w:rPr>
                            </w:pPr>
                            <w:r>
                              <w:rPr>
                                <w:rFonts w:hint="eastAsia"/>
                                <w:b/>
                                <w:bCs/>
                                <w:color w:val="FF0000"/>
                                <w:highlight w:val="none"/>
                                <w:lang w:val="en-US" w:eastAsia="zh-CN"/>
                              </w:rPr>
                              <w:t>本项目</w:t>
                            </w:r>
                          </w:p>
                        </w:txbxContent>
                      </v:textbox>
                    </v:rect>
                  </w:pict>
                </mc:Fallback>
              </mc:AlternateContent>
            </w:r>
            <w:r>
              <w:rPr>
                <w:rFonts w:hint="default"/>
                <w:sz w:val="21"/>
              </w:rPr>
              <mc:AlternateContent>
                <mc:Choice Requires="wps">
                  <w:drawing>
                    <wp:anchor distT="0" distB="0" distL="0" distR="0" simplePos="0" relativeHeight="251659264" behindDoc="0" locked="0" layoutInCell="1" allowOverlap="1">
                      <wp:simplePos x="0" y="0"/>
                      <wp:positionH relativeFrom="column">
                        <wp:posOffset>4358005</wp:posOffset>
                      </wp:positionH>
                      <wp:positionV relativeFrom="paragraph">
                        <wp:posOffset>1718945</wp:posOffset>
                      </wp:positionV>
                      <wp:extent cx="104775" cy="95250"/>
                      <wp:effectExtent l="12700" t="12700" r="15875" b="25400"/>
                      <wp:wrapNone/>
                      <wp:docPr id="1036" name="椭圆 45"/>
                      <wp:cNvGraphicFramePr/>
                      <a:graphic xmlns:a="http://schemas.openxmlformats.org/drawingml/2006/main">
                        <a:graphicData uri="http://schemas.microsoft.com/office/word/2010/wordprocessingShape">
                          <wps:wsp>
                            <wps:cNvSpPr/>
                            <wps:spPr>
                              <a:xfrm>
                                <a:off x="0" y="0"/>
                                <a:ext cx="104775" cy="95250"/>
                              </a:xfrm>
                              <a:prstGeom prst="ellipse">
                                <a:avLst/>
                              </a:prstGeom>
                              <a:solidFill>
                                <a:srgbClr val="FF0000"/>
                              </a:solidFill>
                              <a:ln w="25400" cap="flat" cmpd="sng">
                                <a:solidFill>
                                  <a:srgbClr val="FF0000"/>
                                </a:solidFill>
                                <a:prstDash val="solid"/>
                                <a:round/>
                              </a:ln>
                            </wps:spPr>
                            <wps:bodyPr/>
                          </wps:wsp>
                        </a:graphicData>
                      </a:graphic>
                    </wp:anchor>
                  </w:drawing>
                </mc:Choice>
                <mc:Fallback>
                  <w:pict>
                    <v:shape id="椭圆 45" o:spid="_x0000_s1026" o:spt="3" type="#_x0000_t3" style="position:absolute;left:0pt;margin-left:343.15pt;margin-top:135.35pt;height:7.5pt;width:8.25pt;z-index:251659264;mso-width-relative:page;mso-height-relative:page;" fillcolor="#FF0000" filled="t" stroked="t" coordsize="21600,21600" o:gfxdata="UEsDBAoAAAAAAIdO4kAAAAAAAAAAAAAAAAAEAAAAZHJzL1BLAwQUAAAACACHTuJAK/D6XNgAAAAL&#10;AQAADwAAAGRycy9kb3ducmV2LnhtbE2PsU7DMBCGdyTewTokNmon0CQKcTogEANTS8Xs2kccEtsh&#10;dtvw9hwTHe/u03/f32wWN7ITzrEPXkK2EsDQ62B630nYv7/cVcBiUt6oMXiU8IMRNu31VaNqE85+&#10;i6dd6hiF+FgrCTalqeY8aotOxVWY0NPtM8xOJRrnjptZnSncjTwXouBO9Z4+WDXhk0U97I5OwvCx&#10;hId1vn1+s/PX9/Cqq30WtZS3N5l4BJZwSf8w/OmTOrTkdAhHbyIbJRRVcU+ohLwUJTAiSpFTmQNt&#10;qnUJvG34ZYf2F1BLAwQUAAAACACHTuJAMgpncNYBAADEAwAADgAAAGRycy9lMm9Eb2MueG1srVNL&#10;ktMwEN1TxR1U2hM7IZ4BV5xZkAobCqZq4ACKPraq9Cu1EicX4BQs2XIsOActOWSYYZMFXtjdrdbT&#10;e0/t1d3RGnKQEbR3HZ3Pakqk415o13f0y+ftqzeUQGJOMOOd7OhJAr1bv3yxGkMrF37wRshIEMRB&#10;O4aODimFtqqAD9IymPkgHS4qHy1LmMa+EpGNiG5Ntajrm2r0UYTouQTA6mZapGfEeA2gV0pzufF8&#10;b6VLE2qUhiWUBIMOQNeFrVKSp09KgUzEdBSVpvLGQzDe5Xe1XrG2jywMmp8psGsoPNNkmXZ46AVq&#10;wxIj+6j/gbKaRw9epRn3tpqEFEdQxbx+5s3DwIIsWtBqCBfT4f/B8o+H+0i0wEmoX99Q4pjFO//1&#10;/cfPb1/Jssn+jAFabHsI9/GcAYZZ7FFFm78ogxyLp6eLp/KYCMfivF7e3jaUcFx62yyaYnn1uDdE&#10;SO+ltyQHHZXG4P1l0axlhw+Q8Ejs/tOVy+CNFlttTEliv3tnIjkwvODttsYnc8YtT9qMI2NHF80S&#10;lwlnOLYKxwVDG1A6uL4c+GQLXIecmW0YDBODgjANVfR7JyYqxiGjbONkXI52XpyKn6WOl1s4nwcx&#10;T8/fedn9+PO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r8Ppc2AAAAAsBAAAPAAAAAAAAAAEA&#10;IAAAACIAAABkcnMvZG93bnJldi54bWxQSwECFAAUAAAACACHTuJAMgpncNYBAADEAwAADgAAAAAA&#10;AAABACAAAAAnAQAAZHJzL2Uyb0RvYy54bWxQSwUGAAAAAAYABgBZAQAAbwUAAAAA&#10;">
                      <v:fill on="t" focussize="0,0"/>
                      <v:stroke weight="2pt" color="#FF0000" joinstyle="round"/>
                      <v:imagedata o:title=""/>
                      <o:lock v:ext="edit" aspectratio="f"/>
                    </v:shape>
                  </w:pict>
                </mc:Fallback>
              </mc:AlternateContent>
            </w:r>
            <w:r>
              <w:rPr>
                <w:rFonts w:hint="default"/>
                <w:sz w:val="21"/>
              </w:rPr>
              <mc:AlternateContent>
                <mc:Choice Requires="wps">
                  <w:drawing>
                    <wp:anchor distT="0" distB="0" distL="0" distR="0" simplePos="0" relativeHeight="251659264" behindDoc="0" locked="0" layoutInCell="1" allowOverlap="1">
                      <wp:simplePos x="0" y="0"/>
                      <wp:positionH relativeFrom="column">
                        <wp:posOffset>2661920</wp:posOffset>
                      </wp:positionH>
                      <wp:positionV relativeFrom="paragraph">
                        <wp:posOffset>1607185</wp:posOffset>
                      </wp:positionV>
                      <wp:extent cx="1696085" cy="159385"/>
                      <wp:effectExtent l="0" t="47625" r="18415" b="59690"/>
                      <wp:wrapNone/>
                      <wp:docPr id="1034" name="直接箭头连接符 47"/>
                      <wp:cNvGraphicFramePr/>
                      <a:graphic xmlns:a="http://schemas.openxmlformats.org/drawingml/2006/main">
                        <a:graphicData uri="http://schemas.microsoft.com/office/word/2010/wordprocessingShape">
                          <wps:wsp>
                            <wps:cNvCnPr>
                              <a:endCxn id="1036" idx="2"/>
                            </wps:cNvCnPr>
                            <wps:spPr>
                              <a:xfrm>
                                <a:off x="0" y="0"/>
                                <a:ext cx="1696085" cy="159385"/>
                              </a:xfrm>
                              <a:prstGeom prst="straightConnector1">
                                <a:avLst/>
                              </a:prstGeom>
                              <a:ln w="25400" cap="flat" cmpd="sng">
                                <a:solidFill>
                                  <a:srgbClr val="FFFF00"/>
                                </a:solidFill>
                                <a:prstDash val="solid"/>
                                <a:round/>
                                <a:headEnd type="arrow" w="med" len="med"/>
                                <a:tailEnd type="arrow" w="med" len="med"/>
                              </a:ln>
                            </wps:spPr>
                            <wps:bodyPr/>
                          </wps:wsp>
                        </a:graphicData>
                      </a:graphic>
                    </wp:anchor>
                  </w:drawing>
                </mc:Choice>
                <mc:Fallback>
                  <w:pict>
                    <v:shape id="直接箭头连接符 47" o:spid="_x0000_s1026" o:spt="32" type="#_x0000_t32" style="position:absolute;left:0pt;margin-left:209.6pt;margin-top:126.55pt;height:12.55pt;width:133.55pt;z-index:251659264;mso-width-relative:page;mso-height-relative:page;" filled="f" stroked="t" coordsize="21600,21600" o:gfxdata="UEsDBAoAAAAAAIdO4kAAAAAAAAAAAAAAAAAEAAAAZHJzL1BLAwQUAAAACACHTuJAy02TM9kAAAAL&#10;AQAADwAAAGRycy9kb3ducmV2LnhtbE2PTU+DQBCG7yb+h82YeLMLVBekLI2aeDYWTXpcYAqk7Cyy&#10;269/73iqx5l58s7zFuuzHcURZz840hAvIhBIjWsH6jR8Ve8PGQgfDLVmdIQaLuhhXd7eFCZv3Yk+&#10;8bgJneAQ8rnR0Icw5VL6pkdr/MJNSHzbudmawOPcyXY2Jw63o0yiSElrBuIPvZnwrcdmvzlYDXXz&#10;sxvUy0dXpZVSr/6ynb7Trdb3d3G0AhHwHK4w/OmzOpTsVLsDtV6MGh7j54RRDcnTMgbBhMrUEkTN&#10;mzRLQJaF/N+h/AVQSwMEFAAAAAgAh07iQMIDKuwfAgAALAQAAA4AAABkcnMvZTJvRG9jLnhtbK1T&#10;zY7TMBC+I/EOlu80abctu1HTPbSUC4KVgAeY2k5iyX+y3aZ9CV4AiRNwAk5752lgeQzGSVvY5dID&#10;OUTj+Pu+mflmMrveaUW2wgdpTUmHg5wSYZjl0tQlfftm9eSSkhDBcFDWiJLuRaDX88ePZq0rxMg2&#10;VnHhCYqYULSupE2MrsiywBqhIQysEwYvK+s1RDz6OuMeWlTXKhvl+TRrrefOWyZCwK/L/pIeFP05&#10;graqJBNLyzZamNireqEgYkuhkS7QeVdtVQkWX1VVEJGokmKnsXtjEozX6Z3NZ1DUHlwj2aEEOKeE&#10;Bz1pkAaTnqSWEIFsvPxHSkvmbbBVHDCrs76RzhHsYpg/8OZ1A050vaDVwZ1MD/9Plr3c3ngiOW5C&#10;fjGmxIDGmd+9v/357tPdt68/Pt7++v4hxV8+k/HTZFfrQoGshbnxqWFh+GJnjgpTitGupKOEzO5B&#10;0yG4nrSrvE5k7J8gGoexPw1D7CJh+HE4vZrmlxNKGN4NJ1cXGCdRKI5s50N8LqwmKShpiB5k3cSF&#10;NQbnbv2wmwhsX4TYE4+ElFoZ0mKdk3GO2RngIle4QBhqh2YEU3fkYJXkK6lUogRfrxfKky3gMq3w&#10;QWovfA+WsiwhND2uu0owKLzdGN5FjQD+zHAS9w7dBu9tS1M5WnBKlMD/MkUdNIJUZ0HRGGUOpvc+&#10;J8fXlu9vfKoynXCJOgcPC5+29O9zh/rzk8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tNkzPZ&#10;AAAACwEAAA8AAAAAAAAAAQAgAAAAIgAAAGRycy9kb3ducmV2LnhtbFBLAQIUABQAAAAIAIdO4kDC&#10;AyrsHwIAACwEAAAOAAAAAAAAAAEAIAAAACgBAABkcnMvZTJvRG9jLnhtbFBLBQYAAAAABgAGAFkB&#10;AAC5BQAAAAA=&#10;">
                      <v:fill on="f" focussize="0,0"/>
                      <v:stroke weight="2pt" color="#FFFF00" joinstyle="round" startarrow="open" endarrow="open"/>
                      <v:imagedata o:title=""/>
                      <o:lock v:ext="edit" aspectratio="f"/>
                    </v:shape>
                  </w:pict>
                </mc:Fallback>
              </mc:AlternateContent>
            </w:r>
            <w:r>
              <w:rPr>
                <w:rFonts w:hint="default"/>
              </w:rPr>
              <w:drawing>
                <wp:inline distT="0" distB="0" distL="0" distR="0">
                  <wp:extent cx="4968240" cy="3862070"/>
                  <wp:effectExtent l="0" t="0" r="3810" b="5080"/>
                  <wp:docPr id="1037" name="图片 9"/>
                  <wp:cNvGraphicFramePr/>
                  <a:graphic xmlns:a="http://schemas.openxmlformats.org/drawingml/2006/main">
                    <a:graphicData uri="http://schemas.openxmlformats.org/drawingml/2006/picture">
                      <pic:pic xmlns:pic="http://schemas.openxmlformats.org/drawingml/2006/picture">
                        <pic:nvPicPr>
                          <pic:cNvPr id="1037" name="图片 9"/>
                          <pic:cNvPicPr/>
                        </pic:nvPicPr>
                        <pic:blipFill>
                          <a:blip r:embed="rId21" cstate="print"/>
                          <a:srcRect/>
                          <a:stretch>
                            <a:fillRect/>
                          </a:stretch>
                        </pic:blipFill>
                        <pic:spPr>
                          <a:xfrm>
                            <a:off x="0" y="0"/>
                            <a:ext cx="4968240" cy="3862070"/>
                          </a:xfrm>
                          <a:prstGeom prst="rect">
                            <a:avLst/>
                          </a:prstGeom>
                          <a:ln>
                            <a:noFill/>
                          </a:ln>
                        </pic:spPr>
                      </pic:pic>
                    </a:graphicData>
                  </a:graphic>
                </wp:inline>
              </w:drawing>
            </w:r>
          </w:p>
          <w:p w14:paraId="7A124CDF">
            <w:pPr>
              <w:keepNext w:val="0"/>
              <w:keepLines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图3-1 大气环境质量现状监测布点图</w:t>
            </w:r>
          </w:p>
          <w:p w14:paraId="41519DAE">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32"/>
              </w:rPr>
              <w:t>②</w:t>
            </w:r>
            <w:r>
              <w:rPr>
                <w:rFonts w:hint="default" w:ascii="Times New Roman" w:hAnsi="Times New Roman" w:eastAsia="宋体" w:cs="Times New Roman"/>
                <w:color w:val="auto"/>
                <w:sz w:val="24"/>
              </w:rPr>
              <w:t>评价方法</w:t>
            </w:r>
          </w:p>
          <w:p w14:paraId="739560E1">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评价方法采用单因子污染指数法，其计算公式为：</w:t>
            </w:r>
          </w:p>
          <w:p w14:paraId="2BA5CC9F">
            <w:pPr>
              <w:keepNext w:val="0"/>
              <w:keepLines w:val="0"/>
              <w:suppressLineNumbers w:val="0"/>
              <w:spacing w:before="0" w:beforeAutospacing="0" w:after="0" w:afterAutospacing="0" w:line="360" w:lineRule="auto"/>
              <w:ind w:left="0" w:right="0" w:firstLine="1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Pi ＝Ci/ Csi</w:t>
            </w:r>
          </w:p>
          <w:p w14:paraId="4F07A5CC">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式中：P</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——i污染物单因子指数；</w:t>
            </w:r>
          </w:p>
          <w:p w14:paraId="252D58F6">
            <w:pPr>
              <w:keepNext w:val="0"/>
              <w:keepLines w:val="0"/>
              <w:suppressLineNumbers w:val="0"/>
              <w:spacing w:before="0" w:beforeAutospacing="0" w:after="0" w:afterAutospacing="0" w:line="360" w:lineRule="auto"/>
              <w:ind w:left="0" w:right="0" w:firstLine="1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——i污染物实测浓度，mg/m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37CCF5F8">
            <w:pPr>
              <w:keepNext w:val="0"/>
              <w:keepLines w:val="0"/>
              <w:suppressLineNumbers w:val="0"/>
              <w:spacing w:before="0" w:beforeAutospacing="0" w:after="0" w:afterAutospacing="0" w:line="360" w:lineRule="auto"/>
              <w:ind w:left="0" w:right="0" w:firstLine="1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si</w:t>
            </w:r>
            <w:r>
              <w:rPr>
                <w:rFonts w:hint="default" w:ascii="Times New Roman" w:hAnsi="Times New Roman" w:eastAsia="宋体" w:cs="Times New Roman"/>
                <w:color w:val="auto"/>
                <w:sz w:val="24"/>
              </w:rPr>
              <w:t>——i污染物评价标准，mg/m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21878BFB">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当P</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&gt;1时，即该因子超标。</w:t>
            </w:r>
          </w:p>
          <w:p w14:paraId="15FE4D1D">
            <w:pPr>
              <w:keepNext w:val="0"/>
              <w:keepLines w:val="0"/>
              <w:suppressLineNumbers w:val="0"/>
              <w:spacing w:before="0" w:beforeAutospacing="0" w:after="0" w:afterAutospacing="0" w:line="360" w:lineRule="auto"/>
              <w:ind w:left="0" w:right="0" w:firstLine="482"/>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③监测结果</w:t>
            </w:r>
          </w:p>
          <w:p w14:paraId="526F993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环境空气现状监测结果见下表。</w:t>
            </w:r>
          </w:p>
          <w:p w14:paraId="4185B7A9">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color w:val="auto"/>
                <w:sz w:val="24"/>
                <w:szCs w:val="32"/>
                <w:highlight w:val="none"/>
              </w:rPr>
            </w:pPr>
            <w:r>
              <w:rPr>
                <w:rFonts w:hint="default" w:ascii="Times New Roman" w:hAnsi="Times New Roman" w:eastAsia="宋体" w:cs="Times New Roman"/>
                <w:b/>
                <w:color w:val="auto"/>
                <w:sz w:val="24"/>
                <w:szCs w:val="32"/>
                <w:highlight w:val="none"/>
              </w:rPr>
              <w:t>各监测点监测统计结果</w:t>
            </w:r>
            <w:r>
              <w:rPr>
                <w:rFonts w:hint="eastAsia" w:ascii="Times New Roman" w:hAnsi="Times New Roman" w:eastAsia="宋体" w:cs="Times New Roman"/>
                <w:b/>
                <w:color w:val="auto"/>
                <w:sz w:val="24"/>
                <w:szCs w:val="32"/>
                <w:highlight w:val="none"/>
                <w:lang w:val="en-US" w:eastAsia="zh-CN"/>
              </w:rPr>
              <w:t xml:space="preserve"> </w:t>
            </w:r>
          </w:p>
          <w:tbl>
            <w:tblPr>
              <w:tblStyle w:val="35"/>
              <w:tblW w:w="48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2"/>
              <w:gridCol w:w="2475"/>
              <w:gridCol w:w="3550"/>
            </w:tblGrid>
            <w:tr w14:paraId="300D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58" w:type="pct"/>
                  <w:vAlign w:val="center"/>
                </w:tcPr>
                <w:p w14:paraId="2B17DE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采样地点</w:t>
                  </w:r>
                </w:p>
              </w:tc>
              <w:tc>
                <w:tcPr>
                  <w:tcW w:w="1454" w:type="pct"/>
                  <w:vAlign w:val="center"/>
                </w:tcPr>
                <w:p w14:paraId="52F894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采样时间</w:t>
                  </w:r>
                </w:p>
              </w:tc>
              <w:tc>
                <w:tcPr>
                  <w:tcW w:w="2086" w:type="pct"/>
                  <w:vAlign w:val="center"/>
                </w:tcPr>
                <w:p w14:paraId="3C17785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TSP</w:t>
                  </w:r>
                  <w:r>
                    <w:rPr>
                      <w:rFonts w:hint="default" w:ascii="Times New Roman" w:hAnsi="Times New Roman" w:eastAsia="宋体" w:cs="Times New Roman"/>
                      <w:color w:val="auto"/>
                      <w:sz w:val="21"/>
                      <w:szCs w:val="21"/>
                      <w:highlight w:val="none"/>
                    </w:rPr>
                    <w:t>（</w:t>
                  </w:r>
                  <w:r>
                    <w:rPr>
                      <w:rFonts w:hint="default"/>
                      <w:color w:val="auto"/>
                      <w:szCs w:val="21"/>
                      <w:highlight w:val="none"/>
                    </w:rPr>
                    <w:t>μ</w:t>
                  </w:r>
                  <w:r>
                    <w:rPr>
                      <w:rFonts w:hint="default" w:ascii="Times New Roman" w:hAnsi="Times New Roman" w:eastAsia="宋体" w:cs="Times New Roman"/>
                      <w:color w:val="auto"/>
                      <w:sz w:val="21"/>
                      <w:szCs w:val="21"/>
                      <w:highlight w:val="none"/>
                    </w:rPr>
                    <w:t>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r>
            <w:tr w14:paraId="7F79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8" w:type="pct"/>
                  <w:vMerge w:val="restart"/>
                  <w:vAlign w:val="center"/>
                </w:tcPr>
                <w:p w14:paraId="11FF42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Cs w:val="21"/>
                      <w:highlight w:val="none"/>
                      <w:lang w:val="en-US" w:eastAsia="zh-CN"/>
                    </w:rPr>
                    <w:t>GG2电子产业园</w:t>
                  </w:r>
                </w:p>
              </w:tc>
              <w:tc>
                <w:tcPr>
                  <w:tcW w:w="1454" w:type="pct"/>
                  <w:tcBorders>
                    <w:bottom w:val="single" w:color="000000" w:sz="2" w:space="0"/>
                  </w:tcBorders>
                  <w:vAlign w:val="center"/>
                </w:tcPr>
                <w:p w14:paraId="2485AE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2023.05.15</w:t>
                  </w:r>
                </w:p>
              </w:tc>
              <w:tc>
                <w:tcPr>
                  <w:tcW w:w="2086" w:type="pct"/>
                  <w:vAlign w:val="center"/>
                </w:tcPr>
                <w:p w14:paraId="30B60D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96</w:t>
                  </w:r>
                </w:p>
              </w:tc>
            </w:tr>
            <w:tr w14:paraId="22C1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8" w:type="pct"/>
                  <w:vMerge w:val="continue"/>
                  <w:vAlign w:val="center"/>
                </w:tcPr>
                <w:p w14:paraId="1FE8D6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54" w:type="pct"/>
                  <w:tcBorders>
                    <w:top w:val="single" w:color="000000" w:sz="2" w:space="0"/>
                    <w:bottom w:val="single" w:color="000000" w:sz="2" w:space="0"/>
                  </w:tcBorders>
                  <w:vAlign w:val="center"/>
                </w:tcPr>
                <w:p w14:paraId="31F078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2023.05.16</w:t>
                  </w:r>
                </w:p>
              </w:tc>
              <w:tc>
                <w:tcPr>
                  <w:tcW w:w="2086" w:type="pct"/>
                  <w:vAlign w:val="center"/>
                </w:tcPr>
                <w:p w14:paraId="080EC7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94</w:t>
                  </w:r>
                </w:p>
              </w:tc>
            </w:tr>
            <w:tr w14:paraId="24E7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8" w:type="pct"/>
                  <w:vMerge w:val="continue"/>
                  <w:vAlign w:val="center"/>
                </w:tcPr>
                <w:p w14:paraId="3545F5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54" w:type="pct"/>
                  <w:tcBorders>
                    <w:top w:val="single" w:color="000000" w:sz="2" w:space="0"/>
                    <w:bottom w:val="single" w:color="000000" w:sz="2" w:space="0"/>
                  </w:tcBorders>
                  <w:vAlign w:val="center"/>
                </w:tcPr>
                <w:p w14:paraId="2929DE0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2023.05.17</w:t>
                  </w:r>
                </w:p>
              </w:tc>
              <w:tc>
                <w:tcPr>
                  <w:tcW w:w="2086" w:type="pct"/>
                  <w:vAlign w:val="center"/>
                </w:tcPr>
                <w:p w14:paraId="24C694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93</w:t>
                  </w:r>
                </w:p>
              </w:tc>
            </w:tr>
            <w:tr w14:paraId="6AC0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8" w:type="pct"/>
                  <w:vMerge w:val="continue"/>
                  <w:vAlign w:val="center"/>
                </w:tcPr>
                <w:p w14:paraId="5E6BA9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54" w:type="pct"/>
                  <w:tcBorders>
                    <w:top w:val="single" w:color="000000" w:sz="2" w:space="0"/>
                    <w:bottom w:val="single" w:color="000000" w:sz="2" w:space="0"/>
                  </w:tcBorders>
                  <w:vAlign w:val="center"/>
                </w:tcPr>
                <w:p w14:paraId="39A7E8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2023.05.18</w:t>
                  </w:r>
                </w:p>
              </w:tc>
              <w:tc>
                <w:tcPr>
                  <w:tcW w:w="2086" w:type="pct"/>
                  <w:vAlign w:val="center"/>
                </w:tcPr>
                <w:p w14:paraId="2375F5C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94</w:t>
                  </w:r>
                </w:p>
              </w:tc>
            </w:tr>
            <w:tr w14:paraId="29FF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8" w:type="pct"/>
                  <w:vMerge w:val="continue"/>
                  <w:vAlign w:val="center"/>
                </w:tcPr>
                <w:p w14:paraId="324689E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54" w:type="pct"/>
                  <w:tcBorders>
                    <w:top w:val="single" w:color="000000" w:sz="2" w:space="0"/>
                    <w:bottom w:val="single" w:color="000000" w:sz="2" w:space="0"/>
                  </w:tcBorders>
                  <w:vAlign w:val="center"/>
                </w:tcPr>
                <w:p w14:paraId="08B893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2023.05.19</w:t>
                  </w:r>
                </w:p>
              </w:tc>
              <w:tc>
                <w:tcPr>
                  <w:tcW w:w="2086" w:type="pct"/>
                  <w:vAlign w:val="center"/>
                </w:tcPr>
                <w:p w14:paraId="619906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97</w:t>
                  </w:r>
                </w:p>
              </w:tc>
            </w:tr>
            <w:tr w14:paraId="619B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8" w:type="pct"/>
                  <w:vMerge w:val="continue"/>
                  <w:vAlign w:val="center"/>
                </w:tcPr>
                <w:p w14:paraId="13BD6A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54" w:type="pct"/>
                  <w:tcBorders>
                    <w:top w:val="single" w:color="000000" w:sz="2" w:space="0"/>
                    <w:bottom w:val="single" w:color="000000" w:sz="2" w:space="0"/>
                  </w:tcBorders>
                  <w:vAlign w:val="center"/>
                </w:tcPr>
                <w:p w14:paraId="4869047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2023.05.20</w:t>
                  </w:r>
                </w:p>
              </w:tc>
              <w:tc>
                <w:tcPr>
                  <w:tcW w:w="2086" w:type="pct"/>
                  <w:vAlign w:val="center"/>
                </w:tcPr>
                <w:p w14:paraId="3EE8B6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w:t>
                  </w:r>
                </w:p>
              </w:tc>
            </w:tr>
            <w:tr w14:paraId="68A7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458" w:type="pct"/>
                  <w:vMerge w:val="continue"/>
                  <w:vAlign w:val="center"/>
                </w:tcPr>
                <w:p w14:paraId="359EFB2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54" w:type="pct"/>
                  <w:tcBorders>
                    <w:top w:val="single" w:color="000000" w:sz="2" w:space="0"/>
                  </w:tcBorders>
                  <w:vAlign w:val="center"/>
                </w:tcPr>
                <w:p w14:paraId="692A6F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2023.05.21</w:t>
                  </w:r>
                </w:p>
              </w:tc>
              <w:tc>
                <w:tcPr>
                  <w:tcW w:w="2086" w:type="pct"/>
                  <w:vAlign w:val="center"/>
                </w:tcPr>
                <w:p w14:paraId="0B404B6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91</w:t>
                  </w:r>
                </w:p>
              </w:tc>
            </w:tr>
          </w:tbl>
          <w:p w14:paraId="7A30D44B">
            <w:pPr>
              <w:keepNext w:val="0"/>
              <w:keepLines w:val="0"/>
              <w:suppressLineNumbers w:val="0"/>
              <w:spacing w:before="0" w:beforeAutospacing="0" w:after="0" w:afterAutospacing="0" w:line="360" w:lineRule="auto"/>
              <w:ind w:left="0" w:right="0" w:firstLine="482"/>
              <w:jc w:val="left"/>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评价结果</w:t>
            </w:r>
          </w:p>
          <w:p w14:paraId="3A56DE2A">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color w:val="auto"/>
                <w:sz w:val="24"/>
                <w:szCs w:val="32"/>
                <w:highlight w:val="none"/>
              </w:rPr>
            </w:pPr>
            <w:r>
              <w:rPr>
                <w:rFonts w:hint="default" w:ascii="Times New Roman" w:hAnsi="Times New Roman" w:eastAsia="宋体" w:cs="Times New Roman"/>
                <w:color w:val="auto"/>
                <w:sz w:val="24"/>
                <w:szCs w:val="32"/>
                <w:highlight w:val="none"/>
              </w:rPr>
              <w:t>环境空气现状评价结果见下表。</w:t>
            </w:r>
          </w:p>
          <w:p w14:paraId="5015079C">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color w:val="auto"/>
                <w:sz w:val="24"/>
                <w:szCs w:val="32"/>
                <w:highlight w:val="none"/>
              </w:rPr>
            </w:pPr>
            <w:r>
              <w:rPr>
                <w:rFonts w:hint="default" w:ascii="Times New Roman" w:hAnsi="Times New Roman" w:eastAsia="宋体" w:cs="Times New Roman"/>
                <w:b/>
                <w:color w:val="auto"/>
                <w:sz w:val="24"/>
                <w:szCs w:val="32"/>
                <w:highlight w:val="none"/>
              </w:rPr>
              <w:t>各监测点评价结果</w:t>
            </w:r>
          </w:p>
          <w:tbl>
            <w:tblPr>
              <w:tblStyle w:val="35"/>
              <w:tblW w:w="48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08"/>
              <w:gridCol w:w="930"/>
              <w:gridCol w:w="810"/>
              <w:gridCol w:w="1410"/>
              <w:gridCol w:w="1110"/>
              <w:gridCol w:w="1110"/>
              <w:gridCol w:w="1005"/>
              <w:gridCol w:w="876"/>
            </w:tblGrid>
            <w:tr w14:paraId="3FF87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jc w:val="center"/>
              </w:trPr>
              <w:tc>
                <w:tcPr>
                  <w:tcW w:w="764" w:type="pct"/>
                  <w:vMerge w:val="restart"/>
                  <w:vAlign w:val="center"/>
                </w:tcPr>
                <w:p w14:paraId="04C7C0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监测点位</w:t>
                  </w:r>
                </w:p>
              </w:tc>
              <w:tc>
                <w:tcPr>
                  <w:tcW w:w="543" w:type="pct"/>
                  <w:vMerge w:val="restart"/>
                  <w:vAlign w:val="center"/>
                </w:tcPr>
                <w:p w14:paraId="72D6E0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w:t>
                  </w:r>
                </w:p>
              </w:tc>
              <w:tc>
                <w:tcPr>
                  <w:tcW w:w="473" w:type="pct"/>
                  <w:vMerge w:val="restart"/>
                  <w:vAlign w:val="center"/>
                </w:tcPr>
                <w:p w14:paraId="65E4D420">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平均时间</w:t>
                  </w:r>
                </w:p>
              </w:tc>
              <w:tc>
                <w:tcPr>
                  <w:tcW w:w="823" w:type="pct"/>
                  <w:vMerge w:val="restart"/>
                  <w:vAlign w:val="center"/>
                </w:tcPr>
                <w:p w14:paraId="2352B2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监测浓度范围</w:t>
                  </w:r>
                  <w:r>
                    <w:rPr>
                      <w:rFonts w:hint="default"/>
                      <w:color w:val="auto"/>
                      <w:szCs w:val="21"/>
                      <w:highlight w:val="none"/>
                    </w:rPr>
                    <w:t>μ</w:t>
                  </w:r>
                  <w:r>
                    <w:rPr>
                      <w:rFonts w:hint="default" w:ascii="Times New Roman" w:hAnsi="Times New Roman" w:eastAsia="宋体" w:cs="Times New Roman"/>
                      <w:color w:val="auto"/>
                      <w:szCs w:val="21"/>
                      <w:highlight w:val="none"/>
                    </w:rPr>
                    <w:t>g/m</w:t>
                  </w:r>
                  <w:r>
                    <w:rPr>
                      <w:rFonts w:hint="default" w:ascii="Times New Roman" w:hAnsi="Times New Roman" w:eastAsia="宋体" w:cs="Times New Roman"/>
                      <w:color w:val="auto"/>
                      <w:szCs w:val="21"/>
                      <w:highlight w:val="none"/>
                      <w:vertAlign w:val="superscript"/>
                    </w:rPr>
                    <w:t>3</w:t>
                  </w:r>
                </w:p>
              </w:tc>
              <w:tc>
                <w:tcPr>
                  <w:tcW w:w="648" w:type="pct"/>
                  <w:vMerge w:val="restart"/>
                  <w:vAlign w:val="center"/>
                </w:tcPr>
                <w:p w14:paraId="07A1C2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评价标准μg/m</w:t>
                  </w:r>
                  <w:r>
                    <w:rPr>
                      <w:rFonts w:hint="default" w:ascii="Times New Roman" w:hAnsi="Times New Roman" w:eastAsia="宋体" w:cs="Times New Roman"/>
                      <w:color w:val="auto"/>
                      <w:szCs w:val="21"/>
                      <w:highlight w:val="none"/>
                      <w:vertAlign w:val="superscript"/>
                    </w:rPr>
                    <w:t>3</w:t>
                  </w:r>
                </w:p>
              </w:tc>
              <w:tc>
                <w:tcPr>
                  <w:tcW w:w="648" w:type="pct"/>
                  <w:vMerge w:val="restart"/>
                  <w:vAlign w:val="center"/>
                </w:tcPr>
                <w:p w14:paraId="4ACF36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最大浓度占标率%</w:t>
                  </w:r>
                </w:p>
              </w:tc>
              <w:tc>
                <w:tcPr>
                  <w:tcW w:w="587" w:type="pct"/>
                  <w:vMerge w:val="restart"/>
                  <w:vAlign w:val="center"/>
                </w:tcPr>
                <w:p w14:paraId="6C7DA7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超标率</w:t>
                  </w:r>
                </w:p>
                <w:p w14:paraId="316D3D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511" w:type="pct"/>
                  <w:vMerge w:val="restart"/>
                  <w:vAlign w:val="center"/>
                </w:tcPr>
                <w:p w14:paraId="72A814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p w14:paraId="4CB1A3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情况</w:t>
                  </w:r>
                </w:p>
              </w:tc>
            </w:tr>
            <w:tr w14:paraId="49AF6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jc w:val="center"/>
              </w:trPr>
              <w:tc>
                <w:tcPr>
                  <w:tcW w:w="764" w:type="pct"/>
                  <w:vMerge w:val="continue"/>
                  <w:vAlign w:val="center"/>
                </w:tcPr>
                <w:p w14:paraId="56FF94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43" w:type="pct"/>
                  <w:vMerge w:val="continue"/>
                  <w:vAlign w:val="center"/>
                </w:tcPr>
                <w:p w14:paraId="5CF4A40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473" w:type="pct"/>
                  <w:vMerge w:val="continue"/>
                  <w:vAlign w:val="center"/>
                </w:tcPr>
                <w:p w14:paraId="6F6BC98E">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
                      <w:bCs/>
                      <w:color w:val="auto"/>
                      <w:szCs w:val="21"/>
                      <w:highlight w:val="none"/>
                    </w:rPr>
                  </w:pPr>
                </w:p>
              </w:tc>
              <w:tc>
                <w:tcPr>
                  <w:tcW w:w="823" w:type="pct"/>
                  <w:vMerge w:val="continue"/>
                  <w:vAlign w:val="center"/>
                </w:tcPr>
                <w:p w14:paraId="4F8783F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648" w:type="pct"/>
                  <w:vMerge w:val="continue"/>
                  <w:vAlign w:val="center"/>
                </w:tcPr>
                <w:p w14:paraId="7AB20DE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648" w:type="pct"/>
                  <w:vMerge w:val="continue"/>
                  <w:vAlign w:val="center"/>
                </w:tcPr>
                <w:p w14:paraId="4EC84E6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587" w:type="pct"/>
                  <w:vMerge w:val="continue"/>
                  <w:vAlign w:val="center"/>
                </w:tcPr>
                <w:p w14:paraId="56C5616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511" w:type="pct"/>
                  <w:vMerge w:val="continue"/>
                  <w:vAlign w:val="center"/>
                </w:tcPr>
                <w:p w14:paraId="099F375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r>
            <w:tr w14:paraId="3E25D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07" w:hRule="atLeast"/>
                <w:jc w:val="center"/>
              </w:trPr>
              <w:tc>
                <w:tcPr>
                  <w:tcW w:w="764" w:type="pct"/>
                  <w:vAlign w:val="center"/>
                </w:tcPr>
                <w:p w14:paraId="0D0856A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GG2电子产业园</w:t>
                  </w:r>
                </w:p>
              </w:tc>
              <w:tc>
                <w:tcPr>
                  <w:tcW w:w="543" w:type="pct"/>
                  <w:vAlign w:val="center"/>
                </w:tcPr>
                <w:p w14:paraId="0F0A28B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TSP</w:t>
                  </w:r>
                </w:p>
              </w:tc>
              <w:tc>
                <w:tcPr>
                  <w:tcW w:w="473" w:type="pct"/>
                  <w:vAlign w:val="center"/>
                </w:tcPr>
                <w:p w14:paraId="4AA2BEFD">
                  <w:pPr>
                    <w:keepNext w:val="0"/>
                    <w:keepLines w:val="0"/>
                    <w:suppressLineNumbers w:val="0"/>
                    <w:spacing w:before="0" w:beforeAutospacing="0" w:after="0" w:afterAutospacing="0"/>
                    <w:ind w:left="-63" w:leftChars="-30" w:right="-63" w:rightChars="-3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日平均</w:t>
                  </w:r>
                </w:p>
              </w:tc>
              <w:tc>
                <w:tcPr>
                  <w:tcW w:w="823" w:type="pct"/>
                  <w:vAlign w:val="center"/>
                </w:tcPr>
                <w:p w14:paraId="000A42F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rPr>
                  </w:pPr>
                  <w:r>
                    <w:rPr>
                      <w:rFonts w:hint="eastAsia" w:cs="Times New Roman"/>
                      <w:color w:val="auto"/>
                      <w:sz w:val="21"/>
                      <w:szCs w:val="21"/>
                      <w:highlight w:val="none"/>
                      <w:lang w:val="en-US" w:eastAsia="zh-CN"/>
                    </w:rPr>
                    <w:t>90~97</w:t>
                  </w:r>
                </w:p>
              </w:tc>
              <w:tc>
                <w:tcPr>
                  <w:tcW w:w="648" w:type="pct"/>
                  <w:vAlign w:val="center"/>
                </w:tcPr>
                <w:p w14:paraId="6F8F0DA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300</w:t>
                  </w:r>
                </w:p>
              </w:tc>
              <w:tc>
                <w:tcPr>
                  <w:tcW w:w="648" w:type="pct"/>
                  <w:vAlign w:val="center"/>
                </w:tcPr>
                <w:p w14:paraId="5D0783E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32.33</w:t>
                  </w:r>
                </w:p>
              </w:tc>
              <w:tc>
                <w:tcPr>
                  <w:tcW w:w="587" w:type="pct"/>
                  <w:vAlign w:val="center"/>
                </w:tcPr>
                <w:p w14:paraId="6DE221B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0</w:t>
                  </w:r>
                </w:p>
              </w:tc>
              <w:tc>
                <w:tcPr>
                  <w:tcW w:w="511" w:type="pct"/>
                  <w:vAlign w:val="center"/>
                </w:tcPr>
                <w:p w14:paraId="173CC1A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达标</w:t>
                  </w:r>
                </w:p>
              </w:tc>
            </w:tr>
          </w:tbl>
          <w:p w14:paraId="0C8275A6">
            <w:pPr>
              <w:keepNext w:val="0"/>
              <w:keepLines w:val="0"/>
              <w:suppressLineNumbers w:val="0"/>
              <w:spacing w:before="0" w:beforeAutospacing="0" w:after="0" w:afterAutospacing="0" w:line="360" w:lineRule="auto"/>
              <w:ind w:left="0" w:right="0" w:firstLine="480"/>
              <w:rPr>
                <w:rFonts w:hint="default"/>
              </w:rPr>
            </w:pPr>
            <w:r>
              <w:rPr>
                <w:rFonts w:hint="default" w:ascii="Times New Roman" w:hAnsi="Times New Roman" w:eastAsia="宋体" w:cs="Times New Roman"/>
                <w:color w:val="auto"/>
                <w:sz w:val="24"/>
              </w:rPr>
              <w:t>综上所述，监测期间</w:t>
            </w:r>
            <w:r>
              <w:rPr>
                <w:rFonts w:hint="eastAsia" w:ascii="Times New Roman" w:hAnsi="Times New Roman" w:eastAsia="宋体" w:cs="Times New Roman"/>
                <w:color w:val="auto"/>
                <w:sz w:val="24"/>
              </w:rPr>
              <w:t>TSP监测结果满足《环境空气质量标准》（GB3095-2012）中二级标准要求</w:t>
            </w:r>
            <w:r>
              <w:rPr>
                <w:rFonts w:hint="default" w:ascii="Times New Roman" w:hAnsi="Times New Roman" w:eastAsia="宋体" w:cs="Times New Roman"/>
                <w:color w:val="auto"/>
                <w:sz w:val="24"/>
              </w:rPr>
              <w:t>。</w:t>
            </w:r>
          </w:p>
          <w:bookmarkEnd w:id="5"/>
          <w:p w14:paraId="5F9E2AE7">
            <w:pPr>
              <w:keepNext w:val="0"/>
              <w:keepLines w:val="0"/>
              <w:suppressLineNumbers w:val="0"/>
              <w:spacing w:before="0" w:beforeAutospacing="0" w:after="0" w:afterAutospacing="0" w:line="360" w:lineRule="auto"/>
              <w:ind w:left="0" w:right="0" w:firstLine="482" w:firstLineChars="200"/>
              <w:rPr>
                <w:rFonts w:hint="default"/>
                <w:b/>
                <w:bCs/>
                <w:sz w:val="24"/>
                <w:szCs w:val="32"/>
              </w:rPr>
            </w:pPr>
            <w:r>
              <w:rPr>
                <w:rFonts w:hint="default"/>
                <w:b/>
                <w:bCs/>
                <w:sz w:val="24"/>
                <w:szCs w:val="32"/>
              </w:rPr>
              <w:t>2、地表水环境质量状况</w:t>
            </w:r>
          </w:p>
          <w:p w14:paraId="0D7607A3">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eastAsia"/>
                <w:color w:val="auto"/>
                <w:kern w:val="0"/>
                <w:sz w:val="24"/>
                <w:szCs w:val="24"/>
                <w:highlight w:val="none"/>
                <w:lang w:eastAsia="zh-CN"/>
              </w:rPr>
            </w:pPr>
            <w:r>
              <w:rPr>
                <w:rFonts w:hint="eastAsia"/>
                <w:color w:val="auto"/>
                <w:kern w:val="0"/>
                <w:sz w:val="24"/>
                <w:szCs w:val="24"/>
                <w:highlight w:val="none"/>
              </w:rPr>
              <w:t>地表水环境质量现状数据引用安徽湖上检测科技有限公司出具的《安徽腾云新材料科技有限公司碳纤维产品生产项目环评现状检测报告》（报告编号：JJHP2022003），检测日期为2023年3月12日-3月18日</w:t>
            </w:r>
            <w:r>
              <w:rPr>
                <w:rFonts w:hint="eastAsia"/>
                <w:color w:val="auto"/>
                <w:kern w:val="0"/>
                <w:sz w:val="24"/>
                <w:szCs w:val="24"/>
                <w:highlight w:val="none"/>
                <w:lang w:eastAsia="zh-CN"/>
              </w:rPr>
              <w:t>。</w:t>
            </w:r>
            <w:r>
              <w:rPr>
                <w:rFonts w:hint="eastAsia"/>
                <w:color w:val="auto"/>
                <w:kern w:val="0"/>
                <w:sz w:val="24"/>
                <w:szCs w:val="24"/>
                <w:highlight w:val="none"/>
                <w:lang w:val="en-US" w:eastAsia="zh-CN"/>
              </w:rPr>
              <w:t>该报告废水进入城东污水处理厂，本项目废水进入宿州市汴北污水处理厂，</w:t>
            </w:r>
            <w:r>
              <w:rPr>
                <w:rFonts w:hint="eastAsia"/>
                <w:color w:val="auto"/>
                <w:kern w:val="0"/>
                <w:sz w:val="24"/>
                <w:szCs w:val="24"/>
                <w:highlight w:val="none"/>
                <w:lang w:eastAsia="zh-CN"/>
              </w:rPr>
              <w:t>但</w:t>
            </w:r>
            <w:r>
              <w:rPr>
                <w:rFonts w:hint="eastAsia"/>
                <w:color w:val="auto"/>
                <w:kern w:val="0"/>
                <w:sz w:val="24"/>
                <w:szCs w:val="24"/>
                <w:highlight w:val="none"/>
                <w:lang w:val="en-US" w:eastAsia="zh-CN"/>
              </w:rPr>
              <w:t>二者</w:t>
            </w:r>
            <w:r>
              <w:rPr>
                <w:rFonts w:hint="eastAsia"/>
                <w:color w:val="auto"/>
                <w:kern w:val="0"/>
                <w:sz w:val="24"/>
                <w:szCs w:val="24"/>
                <w:highlight w:val="none"/>
                <w:lang w:eastAsia="zh-CN"/>
              </w:rPr>
              <w:t>纳污水体相同、监测时效性满足要求，因此引用该监测数据来评价本项目区域地表水环境质量现状是可行的。</w:t>
            </w:r>
          </w:p>
          <w:p w14:paraId="7659B322">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地表水水质监测断面设置情况</w:t>
            </w:r>
          </w:p>
          <w:tbl>
            <w:tblPr>
              <w:tblStyle w:val="35"/>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0"/>
              <w:gridCol w:w="1125"/>
              <w:gridCol w:w="3348"/>
              <w:gridCol w:w="3250"/>
            </w:tblGrid>
            <w:tr w14:paraId="49BA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8" w:type="pct"/>
                  <w:vAlign w:val="center"/>
                </w:tcPr>
                <w:p w14:paraId="66D0FB64">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r>
                    <w:rPr>
                      <w:rStyle w:val="147"/>
                      <w:rFonts w:hint="default" w:ascii="Times New Roman" w:hAnsi="Times New Roman" w:eastAsia="宋体" w:cs="Times New Roman"/>
                      <w:color w:val="auto"/>
                      <w:kern w:val="2"/>
                      <w:lang w:val="en-US" w:eastAsia="zh-CN" w:bidi="ar-SA"/>
                    </w:rPr>
                    <w:t>河流</w:t>
                  </w:r>
                </w:p>
              </w:tc>
              <w:tc>
                <w:tcPr>
                  <w:tcW w:w="647" w:type="pct"/>
                  <w:vAlign w:val="center"/>
                </w:tcPr>
                <w:p w14:paraId="54661F25">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r>
                    <w:rPr>
                      <w:rStyle w:val="147"/>
                      <w:rFonts w:hint="default" w:ascii="Times New Roman" w:hAnsi="Times New Roman" w:eastAsia="宋体" w:cs="Times New Roman"/>
                      <w:color w:val="auto"/>
                      <w:kern w:val="2"/>
                      <w:lang w:val="en-US" w:eastAsia="zh-CN" w:bidi="ar-SA"/>
                    </w:rPr>
                    <w:t>断面编号</w:t>
                  </w:r>
                </w:p>
              </w:tc>
              <w:tc>
                <w:tcPr>
                  <w:tcW w:w="1925" w:type="pct"/>
                  <w:vAlign w:val="center"/>
                </w:tcPr>
                <w:p w14:paraId="5ACF592D">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r>
                    <w:rPr>
                      <w:rStyle w:val="147"/>
                      <w:rFonts w:hint="default" w:ascii="Times New Roman" w:hAnsi="Times New Roman" w:eastAsia="宋体" w:cs="Times New Roman"/>
                      <w:color w:val="auto"/>
                      <w:kern w:val="2"/>
                      <w:lang w:val="en-US" w:eastAsia="zh-CN" w:bidi="ar-SA"/>
                    </w:rPr>
                    <w:t>断面位置</w:t>
                  </w:r>
                </w:p>
              </w:tc>
              <w:tc>
                <w:tcPr>
                  <w:tcW w:w="1868" w:type="pct"/>
                  <w:vAlign w:val="center"/>
                </w:tcPr>
                <w:p w14:paraId="1DE4FD37">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r>
                    <w:rPr>
                      <w:rStyle w:val="147"/>
                      <w:rFonts w:hint="default" w:ascii="Times New Roman" w:hAnsi="Times New Roman" w:eastAsia="宋体" w:cs="Times New Roman"/>
                      <w:color w:val="auto"/>
                      <w:kern w:val="2"/>
                      <w:lang w:val="en-US" w:eastAsia="zh-CN" w:bidi="ar-SA"/>
                    </w:rPr>
                    <w:t>监测项目</w:t>
                  </w:r>
                </w:p>
              </w:tc>
            </w:tr>
            <w:tr w14:paraId="7ADB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8" w:type="pct"/>
                  <w:vMerge w:val="restart"/>
                  <w:vAlign w:val="center"/>
                </w:tcPr>
                <w:p w14:paraId="368C2111">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r>
                    <w:rPr>
                      <w:rStyle w:val="147"/>
                      <w:rFonts w:hint="eastAsia" w:ascii="Times New Roman" w:hAnsi="Times New Roman" w:eastAsia="宋体" w:cs="Times New Roman"/>
                      <w:color w:val="auto"/>
                      <w:kern w:val="2"/>
                      <w:lang w:val="en-US" w:eastAsia="zh-CN" w:bidi="ar-SA"/>
                    </w:rPr>
                    <w:t>运粮河</w:t>
                  </w:r>
                </w:p>
              </w:tc>
              <w:tc>
                <w:tcPr>
                  <w:tcW w:w="647" w:type="pct"/>
                  <w:vAlign w:val="center"/>
                </w:tcPr>
                <w:p w14:paraId="196AF0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W1</w:t>
                  </w:r>
                </w:p>
              </w:tc>
              <w:tc>
                <w:tcPr>
                  <w:tcW w:w="1925" w:type="pct"/>
                  <w:vAlign w:val="center"/>
                </w:tcPr>
                <w:p w14:paraId="4E446A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城东</w:t>
                  </w:r>
                  <w:r>
                    <w:rPr>
                      <w:rFonts w:hint="default" w:ascii="Times New Roman" w:hAnsi="Times New Roman" w:eastAsia="宋体" w:cs="Times New Roman"/>
                      <w:color w:val="auto"/>
                      <w:sz w:val="21"/>
                      <w:szCs w:val="21"/>
                    </w:rPr>
                    <w:t>污水厂排污口上游500m</w:t>
                  </w:r>
                </w:p>
              </w:tc>
              <w:tc>
                <w:tcPr>
                  <w:tcW w:w="1868" w:type="pct"/>
                  <w:vMerge w:val="restart"/>
                  <w:vAlign w:val="center"/>
                </w:tcPr>
                <w:p w14:paraId="46F24E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pH、SS、COD、BOD</w:t>
                  </w:r>
                  <w:r>
                    <w:rPr>
                      <w:rFonts w:hint="eastAsia"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、NH</w:t>
                  </w:r>
                  <w:r>
                    <w:rPr>
                      <w:rFonts w:hint="eastAsia"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-N、总磷、总氮、石油类</w:t>
                  </w:r>
                </w:p>
              </w:tc>
            </w:tr>
            <w:tr w14:paraId="741D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8" w:type="pct"/>
                  <w:vMerge w:val="continue"/>
                  <w:vAlign w:val="center"/>
                </w:tcPr>
                <w:p w14:paraId="36D8B1D2">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p>
              </w:tc>
              <w:tc>
                <w:tcPr>
                  <w:tcW w:w="647" w:type="pct"/>
                  <w:vAlign w:val="center"/>
                </w:tcPr>
                <w:p w14:paraId="459F12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W2</w:t>
                  </w:r>
                </w:p>
              </w:tc>
              <w:tc>
                <w:tcPr>
                  <w:tcW w:w="1925" w:type="pct"/>
                  <w:vAlign w:val="center"/>
                </w:tcPr>
                <w:p w14:paraId="67AC0D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城东</w:t>
                  </w:r>
                  <w:r>
                    <w:rPr>
                      <w:rFonts w:hint="default" w:ascii="Times New Roman" w:hAnsi="Times New Roman" w:eastAsia="宋体" w:cs="Times New Roman"/>
                      <w:color w:val="auto"/>
                      <w:sz w:val="21"/>
                      <w:szCs w:val="21"/>
                    </w:rPr>
                    <w:t>污水厂排污口下游500m</w:t>
                  </w:r>
                </w:p>
              </w:tc>
              <w:tc>
                <w:tcPr>
                  <w:tcW w:w="1868" w:type="pct"/>
                  <w:vMerge w:val="continue"/>
                  <w:vAlign w:val="center"/>
                </w:tcPr>
                <w:p w14:paraId="13AE2924">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p>
              </w:tc>
            </w:tr>
            <w:tr w14:paraId="2FF0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8" w:type="pct"/>
                  <w:vMerge w:val="continue"/>
                  <w:vAlign w:val="center"/>
                </w:tcPr>
                <w:p w14:paraId="78DD0F59">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p>
              </w:tc>
              <w:tc>
                <w:tcPr>
                  <w:tcW w:w="647" w:type="pct"/>
                  <w:vAlign w:val="center"/>
                </w:tcPr>
                <w:p w14:paraId="033FD2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W3</w:t>
                  </w:r>
                </w:p>
              </w:tc>
              <w:tc>
                <w:tcPr>
                  <w:tcW w:w="1925" w:type="pct"/>
                  <w:vAlign w:val="center"/>
                </w:tcPr>
                <w:p w14:paraId="14F3A5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城东</w:t>
                  </w:r>
                  <w:r>
                    <w:rPr>
                      <w:rFonts w:hint="default" w:ascii="Times New Roman" w:hAnsi="Times New Roman" w:eastAsia="宋体" w:cs="Times New Roman"/>
                      <w:color w:val="auto"/>
                      <w:sz w:val="21"/>
                      <w:szCs w:val="21"/>
                    </w:rPr>
                    <w:t>污水厂排污口下游2000m</w:t>
                  </w:r>
                </w:p>
              </w:tc>
              <w:tc>
                <w:tcPr>
                  <w:tcW w:w="1868" w:type="pct"/>
                  <w:vMerge w:val="continue"/>
                  <w:vAlign w:val="center"/>
                </w:tcPr>
                <w:p w14:paraId="0F8C0697">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p>
              </w:tc>
            </w:tr>
          </w:tbl>
          <w:p w14:paraId="6447CB07">
            <w:pPr>
              <w:keepNext w:val="0"/>
              <w:keepLines w:val="0"/>
              <w:widowControl w:val="0"/>
              <w:suppressLineNumbers w:val="0"/>
              <w:autoSpaceDE w:val="0"/>
              <w:autoSpaceDN w:val="0"/>
              <w:adjustRightInd w:val="0"/>
              <w:spacing w:before="0" w:beforeAutospacing="0" w:after="0" w:afterAutospacing="0" w:line="360" w:lineRule="auto"/>
              <w:ind w:left="0" w:right="0" w:firstLine="420" w:firstLineChars="200"/>
              <w:jc w:val="center"/>
              <w:rPr>
                <w:rFonts w:hint="eastAsia"/>
                <w:color w:val="auto"/>
                <w:kern w:val="0"/>
                <w:sz w:val="24"/>
                <w:szCs w:val="24"/>
                <w:highlight w:val="none"/>
                <w:lang w:eastAsia="zh-CN"/>
              </w:rPr>
            </w:pPr>
            <w:r>
              <w:rPr>
                <w:rFonts w:hint="default" w:ascii="Times New Roman" w:hAnsi="Times New Roman" w:eastAsia="宋体" w:cs="Times New Roman"/>
                <w:color w:val="auto"/>
                <w:highlight w:val="none"/>
              </w:rPr>
              <w:drawing>
                <wp:inline distT="0" distB="0" distL="0" distR="0">
                  <wp:extent cx="4715510" cy="2372995"/>
                  <wp:effectExtent l="0" t="0" r="8890" b="8255"/>
                  <wp:docPr id="1038" name="图片 8"/>
                  <wp:cNvGraphicFramePr/>
                  <a:graphic xmlns:a="http://schemas.openxmlformats.org/drawingml/2006/main">
                    <a:graphicData uri="http://schemas.openxmlformats.org/drawingml/2006/picture">
                      <pic:pic xmlns:pic="http://schemas.openxmlformats.org/drawingml/2006/picture">
                        <pic:nvPicPr>
                          <pic:cNvPr id="1038" name="图片 8"/>
                          <pic:cNvPicPr/>
                        </pic:nvPicPr>
                        <pic:blipFill>
                          <a:blip r:embed="rId22" cstate="print"/>
                          <a:srcRect/>
                          <a:stretch>
                            <a:fillRect/>
                          </a:stretch>
                        </pic:blipFill>
                        <pic:spPr>
                          <a:xfrm>
                            <a:off x="0" y="0"/>
                            <a:ext cx="4715510" cy="2372995"/>
                          </a:xfrm>
                          <a:prstGeom prst="rect">
                            <a:avLst/>
                          </a:prstGeom>
                          <a:ln>
                            <a:noFill/>
                          </a:ln>
                        </pic:spPr>
                      </pic:pic>
                    </a:graphicData>
                  </a:graphic>
                </wp:inline>
              </w:drawing>
            </w:r>
          </w:p>
          <w:p w14:paraId="77BB3E02">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r>
              <w:rPr>
                <w:rFonts w:hint="default"/>
                <w:b/>
                <w:bCs/>
                <w:sz w:val="24"/>
                <w:szCs w:val="24"/>
              </w:rPr>
              <w:t>图3-</w:t>
            </w:r>
            <w:r>
              <w:rPr>
                <w:rFonts w:hint="eastAsia"/>
                <w:b/>
                <w:bCs/>
                <w:sz w:val="24"/>
                <w:szCs w:val="24"/>
                <w:lang w:val="en-US" w:eastAsia="zh-CN"/>
              </w:rPr>
              <w:t>2</w:t>
            </w:r>
            <w:r>
              <w:rPr>
                <w:rFonts w:hint="default"/>
                <w:b/>
                <w:bCs/>
                <w:sz w:val="24"/>
                <w:szCs w:val="24"/>
              </w:rPr>
              <w:t xml:space="preserve"> </w:t>
            </w:r>
            <w:r>
              <w:rPr>
                <w:rFonts w:hint="eastAsia"/>
                <w:b/>
                <w:bCs/>
                <w:sz w:val="24"/>
                <w:szCs w:val="24"/>
                <w:lang w:val="en-US" w:eastAsia="zh-CN"/>
              </w:rPr>
              <w:t>地表水</w:t>
            </w:r>
            <w:r>
              <w:rPr>
                <w:rFonts w:hint="default"/>
                <w:b/>
                <w:bCs/>
                <w:sz w:val="24"/>
                <w:szCs w:val="24"/>
              </w:rPr>
              <w:t>环境质量现状监测布点图</w:t>
            </w:r>
          </w:p>
          <w:p w14:paraId="69C4FDAF">
            <w:pPr>
              <w:keepNext w:val="0"/>
              <w:keepLines w:val="0"/>
              <w:suppressLineNumbers w:val="0"/>
              <w:spacing w:before="0" w:beforeAutospacing="0" w:after="0" w:afterAutospacing="0" w:line="460" w:lineRule="exact"/>
              <w:ind w:left="0" w:right="0" w:firstLine="48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32"/>
              </w:rPr>
              <w:t>②</w:t>
            </w:r>
            <w:r>
              <w:rPr>
                <w:rFonts w:hint="default" w:ascii="Times New Roman" w:hAnsi="Times New Roman" w:eastAsia="宋体" w:cs="Times New Roman"/>
                <w:color w:val="auto"/>
                <w:sz w:val="24"/>
              </w:rPr>
              <w:t>监测结果</w:t>
            </w:r>
          </w:p>
          <w:p w14:paraId="44A4F7C9">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地表水环境质量现状监测</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410"/>
              <w:gridCol w:w="2014"/>
              <w:gridCol w:w="2054"/>
              <w:gridCol w:w="2129"/>
            </w:tblGrid>
            <w:tr w14:paraId="21DD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5B25CD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项目名称</w:t>
                  </w:r>
                </w:p>
              </w:tc>
              <w:tc>
                <w:tcPr>
                  <w:tcW w:w="1362" w:type="dxa"/>
                  <w:vMerge w:val="restart"/>
                  <w:vAlign w:val="center"/>
                </w:tcPr>
                <w:p w14:paraId="4F6EAF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采样日期</w:t>
                  </w:r>
                </w:p>
              </w:tc>
              <w:tc>
                <w:tcPr>
                  <w:tcW w:w="5984" w:type="dxa"/>
                  <w:gridSpan w:val="3"/>
                  <w:vAlign w:val="center"/>
                </w:tcPr>
                <w:p w14:paraId="4F9114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采样地点</w:t>
                  </w:r>
                </w:p>
              </w:tc>
            </w:tr>
            <w:tr w14:paraId="0DD9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4E2728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Merge w:val="continue"/>
                  <w:vAlign w:val="center"/>
                </w:tcPr>
                <w:p w14:paraId="0FF4CD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5984" w:type="dxa"/>
                  <w:gridSpan w:val="3"/>
                  <w:vAlign w:val="center"/>
                </w:tcPr>
                <w:p w14:paraId="61E6DB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运粮河</w:t>
                  </w:r>
                </w:p>
              </w:tc>
            </w:tr>
            <w:tr w14:paraId="404E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76" w:type="dxa"/>
                  <w:vMerge w:val="continue"/>
                  <w:vAlign w:val="center"/>
                </w:tcPr>
                <w:p w14:paraId="5031EF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Merge w:val="continue"/>
                  <w:vAlign w:val="center"/>
                </w:tcPr>
                <w:p w14:paraId="29D025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945" w:type="dxa"/>
                  <w:vAlign w:val="center"/>
                </w:tcPr>
                <w:p w14:paraId="27D02D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shd w:val="clear" w:color="auto" w:fill="FFFFFF"/>
                    </w:rPr>
                    <w:t>污水处理厂排水口上游500m</w:t>
                  </w:r>
                </w:p>
              </w:tc>
              <w:tc>
                <w:tcPr>
                  <w:tcW w:w="1983" w:type="dxa"/>
                  <w:vAlign w:val="center"/>
                </w:tcPr>
                <w:p w14:paraId="3560FC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shd w:val="clear" w:color="auto" w:fill="FFFFFF"/>
                    </w:rPr>
                    <w:t>污水处理厂排水口下游500m</w:t>
                  </w:r>
                </w:p>
              </w:tc>
              <w:tc>
                <w:tcPr>
                  <w:tcW w:w="2056" w:type="dxa"/>
                  <w:vAlign w:val="center"/>
                </w:tcPr>
                <w:p w14:paraId="177522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shd w:val="clear" w:color="auto" w:fill="FFFFFF"/>
                    </w:rPr>
                    <w:t>污水处理厂排水口下游2000m</w:t>
                  </w:r>
                </w:p>
              </w:tc>
            </w:tr>
            <w:tr w14:paraId="580D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2ABED2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w:t>
                  </w:r>
                </w:p>
                <w:p w14:paraId="44DBDC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17B516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5C242C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7.5（8.4℃）</w:t>
                  </w:r>
                </w:p>
              </w:tc>
              <w:tc>
                <w:tcPr>
                  <w:tcW w:w="1983" w:type="dxa"/>
                  <w:vAlign w:val="center"/>
                </w:tcPr>
                <w:p w14:paraId="000BD7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7.4（8.3℃）</w:t>
                  </w:r>
                </w:p>
              </w:tc>
              <w:tc>
                <w:tcPr>
                  <w:tcW w:w="2056" w:type="dxa"/>
                  <w:vAlign w:val="center"/>
                </w:tcPr>
                <w:p w14:paraId="648B16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7.3（8.4℃）</w:t>
                  </w:r>
                </w:p>
              </w:tc>
            </w:tr>
            <w:tr w14:paraId="4B4D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4B497C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7B2608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03CF18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7.5（9.3℃）</w:t>
                  </w:r>
                </w:p>
              </w:tc>
              <w:tc>
                <w:tcPr>
                  <w:tcW w:w="1983" w:type="dxa"/>
                  <w:vAlign w:val="center"/>
                </w:tcPr>
                <w:p w14:paraId="2F9C0E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7.4（10.3℃）</w:t>
                  </w:r>
                </w:p>
              </w:tc>
              <w:tc>
                <w:tcPr>
                  <w:tcW w:w="2056" w:type="dxa"/>
                  <w:vAlign w:val="center"/>
                </w:tcPr>
                <w:p w14:paraId="0A56A9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7.4（10.5℃）</w:t>
                  </w:r>
                </w:p>
              </w:tc>
            </w:tr>
            <w:tr w14:paraId="7B27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7A6B14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39F010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00C4B4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7.5（12.4℃）</w:t>
                  </w:r>
                </w:p>
              </w:tc>
              <w:tc>
                <w:tcPr>
                  <w:tcW w:w="1983" w:type="dxa"/>
                  <w:vAlign w:val="center"/>
                </w:tcPr>
                <w:p w14:paraId="50A433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7.4（12.5℃）</w:t>
                  </w:r>
                </w:p>
              </w:tc>
              <w:tc>
                <w:tcPr>
                  <w:tcW w:w="2056" w:type="dxa"/>
                  <w:vAlign w:val="center"/>
                </w:tcPr>
                <w:p w14:paraId="417E30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7.5（12.4℃）</w:t>
                  </w:r>
                </w:p>
              </w:tc>
            </w:tr>
            <w:tr w14:paraId="2A3A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210969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氨氮</w:t>
                  </w:r>
                </w:p>
                <w:p w14:paraId="4AF72D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60DB24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4D2A22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0.795</w:t>
                  </w:r>
                </w:p>
              </w:tc>
              <w:tc>
                <w:tcPr>
                  <w:tcW w:w="1983" w:type="dxa"/>
                  <w:vAlign w:val="center"/>
                </w:tcPr>
                <w:p w14:paraId="24AE42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0.827</w:t>
                  </w:r>
                </w:p>
              </w:tc>
              <w:tc>
                <w:tcPr>
                  <w:tcW w:w="2056" w:type="dxa"/>
                  <w:vAlign w:val="center"/>
                </w:tcPr>
                <w:p w14:paraId="32B64D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0.732</w:t>
                  </w:r>
                </w:p>
              </w:tc>
            </w:tr>
            <w:tr w14:paraId="2FC0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243EEF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327E71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6FE6E2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0.760</w:t>
                  </w:r>
                </w:p>
              </w:tc>
              <w:tc>
                <w:tcPr>
                  <w:tcW w:w="1983" w:type="dxa"/>
                  <w:vAlign w:val="center"/>
                </w:tcPr>
                <w:p w14:paraId="47BFF4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0.835</w:t>
                  </w:r>
                </w:p>
              </w:tc>
              <w:tc>
                <w:tcPr>
                  <w:tcW w:w="2056" w:type="dxa"/>
                  <w:vAlign w:val="center"/>
                </w:tcPr>
                <w:p w14:paraId="15CD14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0.760</w:t>
                  </w:r>
                </w:p>
              </w:tc>
            </w:tr>
            <w:tr w14:paraId="6875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3F3DE1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669D26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705AB6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0.736</w:t>
                  </w:r>
                </w:p>
              </w:tc>
              <w:tc>
                <w:tcPr>
                  <w:tcW w:w="1983" w:type="dxa"/>
                  <w:vAlign w:val="center"/>
                </w:tcPr>
                <w:p w14:paraId="3725D4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0.865</w:t>
                  </w:r>
                </w:p>
              </w:tc>
              <w:tc>
                <w:tcPr>
                  <w:tcW w:w="2056" w:type="dxa"/>
                  <w:vAlign w:val="center"/>
                </w:tcPr>
                <w:p w14:paraId="29D174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0.773</w:t>
                  </w:r>
                </w:p>
              </w:tc>
            </w:tr>
            <w:tr w14:paraId="14AF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4558AE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化学需氧量</w:t>
                  </w:r>
                </w:p>
                <w:p w14:paraId="412E60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682019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44F9BC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13</w:t>
                  </w:r>
                </w:p>
              </w:tc>
              <w:tc>
                <w:tcPr>
                  <w:tcW w:w="1983" w:type="dxa"/>
                  <w:vAlign w:val="center"/>
                </w:tcPr>
                <w:p w14:paraId="7B6114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w:t>
                  </w:r>
                </w:p>
              </w:tc>
              <w:tc>
                <w:tcPr>
                  <w:tcW w:w="2056" w:type="dxa"/>
                  <w:vAlign w:val="center"/>
                </w:tcPr>
                <w:p w14:paraId="37F024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12</w:t>
                  </w:r>
                </w:p>
              </w:tc>
            </w:tr>
            <w:tr w14:paraId="60E0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2966DB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229A99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282BEA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11</w:t>
                  </w:r>
                </w:p>
              </w:tc>
              <w:tc>
                <w:tcPr>
                  <w:tcW w:w="1983" w:type="dxa"/>
                  <w:vAlign w:val="center"/>
                </w:tcPr>
                <w:p w14:paraId="0771E3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17</w:t>
                  </w:r>
                </w:p>
              </w:tc>
              <w:tc>
                <w:tcPr>
                  <w:tcW w:w="2056" w:type="dxa"/>
                  <w:vAlign w:val="center"/>
                </w:tcPr>
                <w:p w14:paraId="17586A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w:t>
                  </w:r>
                </w:p>
              </w:tc>
            </w:tr>
            <w:tr w14:paraId="547D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7BAB68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2747AE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23EFFE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w:t>
                  </w:r>
                </w:p>
              </w:tc>
              <w:tc>
                <w:tcPr>
                  <w:tcW w:w="1983" w:type="dxa"/>
                  <w:vAlign w:val="center"/>
                </w:tcPr>
                <w:p w14:paraId="68AA1F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w:t>
                  </w:r>
                </w:p>
              </w:tc>
              <w:tc>
                <w:tcPr>
                  <w:tcW w:w="2056" w:type="dxa"/>
                  <w:vAlign w:val="center"/>
                </w:tcPr>
                <w:p w14:paraId="30B5DD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11</w:t>
                  </w:r>
                </w:p>
              </w:tc>
            </w:tr>
            <w:tr w14:paraId="3BDF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176" w:type="dxa"/>
                  <w:vMerge w:val="restart"/>
                  <w:vAlign w:val="center"/>
                </w:tcPr>
                <w:p w14:paraId="4582E6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五日生化需氧量（BOD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w:t>
                  </w:r>
                </w:p>
              </w:tc>
              <w:tc>
                <w:tcPr>
                  <w:tcW w:w="1362" w:type="dxa"/>
                  <w:vAlign w:val="center"/>
                </w:tcPr>
                <w:p w14:paraId="257E06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081A44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2.7</w:t>
                  </w:r>
                </w:p>
              </w:tc>
              <w:tc>
                <w:tcPr>
                  <w:tcW w:w="1983" w:type="dxa"/>
                  <w:vAlign w:val="center"/>
                </w:tcPr>
                <w:p w14:paraId="074AEA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3.2</w:t>
                  </w:r>
                </w:p>
              </w:tc>
              <w:tc>
                <w:tcPr>
                  <w:tcW w:w="2056" w:type="dxa"/>
                  <w:vAlign w:val="center"/>
                </w:tcPr>
                <w:p w14:paraId="40B03C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2.6</w:t>
                  </w:r>
                </w:p>
              </w:tc>
            </w:tr>
            <w:tr w14:paraId="791C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176" w:type="dxa"/>
                  <w:vMerge w:val="continue"/>
                  <w:vAlign w:val="center"/>
                </w:tcPr>
                <w:p w14:paraId="21EB36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74C353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145BC5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2.3</w:t>
                  </w:r>
                </w:p>
              </w:tc>
              <w:tc>
                <w:tcPr>
                  <w:tcW w:w="1983" w:type="dxa"/>
                  <w:vAlign w:val="center"/>
                </w:tcPr>
                <w:p w14:paraId="59C1A6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3.5</w:t>
                  </w:r>
                </w:p>
              </w:tc>
              <w:tc>
                <w:tcPr>
                  <w:tcW w:w="2056" w:type="dxa"/>
                  <w:vAlign w:val="center"/>
                </w:tcPr>
                <w:p w14:paraId="7F5B27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3.2</w:t>
                  </w:r>
                </w:p>
              </w:tc>
            </w:tr>
            <w:tr w14:paraId="3E07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76" w:type="dxa"/>
                  <w:vMerge w:val="continue"/>
                  <w:vAlign w:val="center"/>
                </w:tcPr>
                <w:p w14:paraId="294FCF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03BA2F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5C8500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2.1</w:t>
                  </w:r>
                </w:p>
              </w:tc>
              <w:tc>
                <w:tcPr>
                  <w:tcW w:w="1983" w:type="dxa"/>
                  <w:vAlign w:val="center"/>
                </w:tcPr>
                <w:p w14:paraId="6F24AF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3.1</w:t>
                  </w:r>
                </w:p>
              </w:tc>
              <w:tc>
                <w:tcPr>
                  <w:tcW w:w="2056" w:type="dxa"/>
                  <w:vAlign w:val="center"/>
                </w:tcPr>
                <w:p w14:paraId="69086F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2.3</w:t>
                  </w:r>
                </w:p>
              </w:tc>
            </w:tr>
            <w:tr w14:paraId="67CD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60306E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悬浮物</w:t>
                  </w:r>
                </w:p>
                <w:p w14:paraId="589F97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5FBA04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25B336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11</w:t>
                  </w:r>
                </w:p>
              </w:tc>
              <w:tc>
                <w:tcPr>
                  <w:tcW w:w="1983" w:type="dxa"/>
                  <w:vAlign w:val="center"/>
                </w:tcPr>
                <w:p w14:paraId="134CF2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17</w:t>
                  </w:r>
                </w:p>
              </w:tc>
              <w:tc>
                <w:tcPr>
                  <w:tcW w:w="2056" w:type="dxa"/>
                  <w:vAlign w:val="center"/>
                </w:tcPr>
                <w:p w14:paraId="050813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13</w:t>
                  </w:r>
                </w:p>
              </w:tc>
            </w:tr>
            <w:tr w14:paraId="2C35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2BA44B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788F91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1656EF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16</w:t>
                  </w:r>
                </w:p>
              </w:tc>
              <w:tc>
                <w:tcPr>
                  <w:tcW w:w="1983" w:type="dxa"/>
                  <w:vAlign w:val="center"/>
                </w:tcPr>
                <w:p w14:paraId="5A6C69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w:t>
                  </w:r>
                </w:p>
              </w:tc>
              <w:tc>
                <w:tcPr>
                  <w:tcW w:w="2056" w:type="dxa"/>
                  <w:vAlign w:val="center"/>
                </w:tcPr>
                <w:p w14:paraId="13641B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23</w:t>
                  </w:r>
                </w:p>
              </w:tc>
            </w:tr>
            <w:tr w14:paraId="0884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728B1D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4E67FC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5A834B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w:t>
                  </w:r>
                </w:p>
              </w:tc>
              <w:tc>
                <w:tcPr>
                  <w:tcW w:w="1983" w:type="dxa"/>
                  <w:vAlign w:val="center"/>
                </w:tcPr>
                <w:p w14:paraId="11130D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19</w:t>
                  </w:r>
                </w:p>
              </w:tc>
              <w:tc>
                <w:tcPr>
                  <w:tcW w:w="2056" w:type="dxa"/>
                  <w:vAlign w:val="center"/>
                </w:tcPr>
                <w:p w14:paraId="74C477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16</w:t>
                  </w:r>
                </w:p>
              </w:tc>
            </w:tr>
            <w:tr w14:paraId="0C32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74203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石油类</w:t>
                  </w:r>
                </w:p>
                <w:p w14:paraId="47882F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438159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3BFD5A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c>
                <w:tcPr>
                  <w:tcW w:w="1983" w:type="dxa"/>
                  <w:vAlign w:val="center"/>
                </w:tcPr>
                <w:p w14:paraId="4B8A59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c>
                <w:tcPr>
                  <w:tcW w:w="2056" w:type="dxa"/>
                  <w:vAlign w:val="center"/>
                </w:tcPr>
                <w:p w14:paraId="540A79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r>
            <w:tr w14:paraId="15E2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4382D4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747B83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4289F6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c>
                <w:tcPr>
                  <w:tcW w:w="1983" w:type="dxa"/>
                  <w:vAlign w:val="center"/>
                </w:tcPr>
                <w:p w14:paraId="6125BD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c>
                <w:tcPr>
                  <w:tcW w:w="2056" w:type="dxa"/>
                  <w:vAlign w:val="center"/>
                </w:tcPr>
                <w:p w14:paraId="7B49DC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r>
            <w:tr w14:paraId="1693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4EDF2C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7FA01B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38FC8B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c>
                <w:tcPr>
                  <w:tcW w:w="1983" w:type="dxa"/>
                  <w:vAlign w:val="center"/>
                </w:tcPr>
                <w:p w14:paraId="5D4334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c>
                <w:tcPr>
                  <w:tcW w:w="2056" w:type="dxa"/>
                  <w:vAlign w:val="center"/>
                </w:tcPr>
                <w:p w14:paraId="7C7F04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r>
            <w:tr w14:paraId="193D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5A1218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总磷</w:t>
                  </w:r>
                </w:p>
                <w:p w14:paraId="57D27D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7779D8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688C1A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0.04</w:t>
                  </w:r>
                </w:p>
              </w:tc>
              <w:tc>
                <w:tcPr>
                  <w:tcW w:w="1983" w:type="dxa"/>
                  <w:vAlign w:val="center"/>
                </w:tcPr>
                <w:p w14:paraId="729A9B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c>
                <w:tcPr>
                  <w:tcW w:w="2056" w:type="dxa"/>
                  <w:vAlign w:val="center"/>
                </w:tcPr>
                <w:p w14:paraId="56D053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0.06</w:t>
                  </w:r>
                </w:p>
              </w:tc>
            </w:tr>
            <w:tr w14:paraId="41E6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5AB26C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282287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3635BA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c>
                <w:tcPr>
                  <w:tcW w:w="1983" w:type="dxa"/>
                  <w:vAlign w:val="center"/>
                </w:tcPr>
                <w:p w14:paraId="5A9344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0.06</w:t>
                  </w:r>
                </w:p>
              </w:tc>
              <w:tc>
                <w:tcPr>
                  <w:tcW w:w="2056" w:type="dxa"/>
                  <w:vAlign w:val="center"/>
                </w:tcPr>
                <w:p w14:paraId="688A2B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r>
            <w:tr w14:paraId="5DD9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2E9732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1BA4AB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5B0685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0.07</w:t>
                  </w:r>
                </w:p>
              </w:tc>
              <w:tc>
                <w:tcPr>
                  <w:tcW w:w="1983" w:type="dxa"/>
                  <w:vAlign w:val="center"/>
                </w:tcPr>
                <w:p w14:paraId="26F43D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0.06</w:t>
                  </w:r>
                </w:p>
              </w:tc>
              <w:tc>
                <w:tcPr>
                  <w:tcW w:w="2056" w:type="dxa"/>
                  <w:vAlign w:val="center"/>
                </w:tcPr>
                <w:p w14:paraId="7BDD5A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0.07</w:t>
                  </w:r>
                </w:p>
              </w:tc>
            </w:tr>
          </w:tbl>
          <w:p w14:paraId="1A9833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24"/>
              </w:rPr>
            </w:pPr>
            <w:r>
              <w:rPr>
                <w:rFonts w:hint="default" w:ascii="Times New Roman" w:hAnsi="Times New Roman" w:eastAsia="宋体" w:cs="Times New Roman"/>
                <w:color w:val="auto"/>
                <w:sz w:val="24"/>
              </w:rPr>
              <w:t>由上表可知，运粮河各监测断面水质监测因子均满足《地表水环境质量标准》（GB3838-2002）中的Ⅳ类水质标准要求</w:t>
            </w:r>
            <w:r>
              <w:rPr>
                <w:rFonts w:hint="default"/>
                <w:color w:val="auto"/>
                <w:sz w:val="24"/>
                <w:szCs w:val="24"/>
              </w:rPr>
              <w:t>。</w:t>
            </w:r>
          </w:p>
          <w:p w14:paraId="0A0A9B32">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③评价方法</w:t>
            </w:r>
          </w:p>
          <w:p w14:paraId="02F1C6D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采用单因子标准指数法进行水环境质量现状评价。单项污染指数用下式计算。</w:t>
            </w:r>
          </w:p>
          <w:p w14:paraId="27378E6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单项水质参数i在第j断面单项污染指数：</w:t>
            </w:r>
          </w:p>
          <w:p w14:paraId="2755D606">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vertAlign w:val="subscript"/>
              </w:rPr>
              <w:t>ij</w:t>
            </w:r>
            <w:r>
              <w:rPr>
                <w:rFonts w:hint="default" w:ascii="Times New Roman" w:hAnsi="Times New Roman" w:eastAsia="宋体" w:cs="Times New Roman"/>
                <w:color w:val="auto"/>
                <w:sz w:val="24"/>
                <w:highlight w:val="none"/>
              </w:rPr>
              <w:t>=C</w:t>
            </w:r>
            <w:r>
              <w:rPr>
                <w:rFonts w:hint="default" w:ascii="Times New Roman" w:hAnsi="Times New Roman" w:eastAsia="宋体" w:cs="Times New Roman"/>
                <w:color w:val="auto"/>
                <w:sz w:val="24"/>
                <w:highlight w:val="none"/>
                <w:vertAlign w:val="subscript"/>
              </w:rPr>
              <w:t>ij</w:t>
            </w:r>
            <w:r>
              <w:rPr>
                <w:rFonts w:hint="default" w:ascii="Times New Roman" w:hAnsi="Times New Roman" w:eastAsia="宋体" w:cs="Times New Roman"/>
                <w:color w:val="auto"/>
                <w:sz w:val="24"/>
                <w:highlight w:val="none"/>
              </w:rPr>
              <w:t>/C</w:t>
            </w:r>
            <w:r>
              <w:rPr>
                <w:rFonts w:hint="default" w:ascii="Times New Roman" w:hAnsi="Times New Roman" w:eastAsia="宋体" w:cs="Times New Roman"/>
                <w:color w:val="auto"/>
                <w:sz w:val="24"/>
                <w:highlight w:val="none"/>
                <w:vertAlign w:val="subscript"/>
              </w:rPr>
              <w:t>sj</w:t>
            </w:r>
          </w:p>
          <w:p w14:paraId="6A95736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式中：S</w:t>
            </w:r>
            <w:r>
              <w:rPr>
                <w:rFonts w:hint="default" w:ascii="Times New Roman" w:hAnsi="Times New Roman" w:eastAsia="宋体" w:cs="Times New Roman"/>
                <w:color w:val="auto"/>
                <w:sz w:val="24"/>
                <w:highlight w:val="none"/>
                <w:vertAlign w:val="subscript"/>
              </w:rPr>
              <w:t>ij</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第i种污染物在第j点的标准指数；</w:t>
            </w:r>
          </w:p>
          <w:p w14:paraId="7CB5F77C">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w:t>
            </w:r>
            <w:r>
              <w:rPr>
                <w:rFonts w:hint="default" w:ascii="Times New Roman" w:hAnsi="Times New Roman" w:eastAsia="宋体" w:cs="Times New Roman"/>
                <w:color w:val="auto"/>
                <w:sz w:val="24"/>
                <w:highlight w:val="none"/>
                <w:vertAlign w:val="subscript"/>
              </w:rPr>
              <w:t>ij</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第i种污染物在第j点的监测平均浓度值，mg/L；</w:t>
            </w:r>
          </w:p>
          <w:p w14:paraId="63A9269E">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w:t>
            </w:r>
            <w:r>
              <w:rPr>
                <w:rFonts w:hint="default" w:ascii="Times New Roman" w:hAnsi="Times New Roman" w:eastAsia="宋体" w:cs="Times New Roman"/>
                <w:color w:val="auto"/>
                <w:sz w:val="24"/>
                <w:highlight w:val="none"/>
                <w:vertAlign w:val="subscript"/>
              </w:rPr>
              <w:t>sj</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第i种污染物的地表水水质标准值，mg/L。</w:t>
            </w:r>
          </w:p>
          <w:p w14:paraId="4C00171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pH为：</w:t>
            </w:r>
          </w:p>
          <w:p w14:paraId="72ABBD76">
            <w:pPr>
              <w:keepNext w:val="0"/>
              <w:keepLines w:val="0"/>
              <w:suppressLineNumbers w:val="0"/>
              <w:autoSpaceDE w:val="0"/>
              <w:autoSpaceDN w:val="0"/>
              <w:adjustRightInd w:val="0"/>
              <w:spacing w:before="0" w:beforeAutospacing="0" w:after="0" w:afterAutospacing="0" w:line="360" w:lineRule="auto"/>
              <w:ind w:left="0" w:right="0" w:firstLine="420" w:firstLineChars="20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30"/>
                <w:highlight w:val="none"/>
              </w:rPr>
              <w:object>
                <v:shape id="_x0000_i1030" o:spt="75" type="#_x0000_t75" style="height:36pt;width:148pt;" o:ole="t" filled="f" stroked="f" coordsize="21600,21600">
                  <v:path/>
                  <v:fill on="f" focussize="0,0"/>
                  <v:stroke on="f"/>
                  <v:imagedata r:id="rId24" embosscolor="#FFFFFF" o:title=""/>
                  <o:lock v:ext="edit" aspectratio="t"/>
                  <w10:wrap type="none"/>
                  <w10:anchorlock/>
                </v:shape>
                <o:OLEObject Type="Embed" ProgID="Equation.KSEE3" ShapeID="_x0000_i1030" DrawAspect="Content" ObjectID="_1468075730" r:id="rId23">
                  <o:LockedField>false</o:LockedField>
                </o:OLEObject>
              </w:object>
            </w:r>
          </w:p>
          <w:p w14:paraId="5B945A89">
            <w:pPr>
              <w:keepNext w:val="0"/>
              <w:keepLines w:val="0"/>
              <w:suppressLineNumbers w:val="0"/>
              <w:autoSpaceDE w:val="0"/>
              <w:autoSpaceDN w:val="0"/>
              <w:adjustRightInd w:val="0"/>
              <w:spacing w:before="0" w:beforeAutospacing="0" w:after="0" w:afterAutospacing="0" w:line="360" w:lineRule="auto"/>
              <w:ind w:left="0" w:right="0" w:firstLine="420" w:firstLineChars="20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30"/>
                <w:highlight w:val="none"/>
              </w:rPr>
              <w:object>
                <v:shape id="_x0000_i1031" o:spt="75" type="#_x0000_t75" style="height:36pt;width:148pt;" o:ole="t" filled="f" o:preferrelative="t" stroked="f" coordsize="21600,21600">
                  <v:path/>
                  <v:fill on="f" focussize="0,0"/>
                  <v:stroke on="f"/>
                  <v:imagedata r:id="rId26" o:title=""/>
                  <o:lock v:ext="edit" aspectratio="t"/>
                  <w10:wrap type="none"/>
                  <w10:anchorlock/>
                </v:shape>
                <o:OLEObject Type="Embed" ProgID="Equation.KSEE3" ShapeID="_x0000_i1031" DrawAspect="Content" ObjectID="_1468075731" r:id="rId25">
                  <o:LockedField>false</o:LockedField>
                </o:OLEObject>
              </w:object>
            </w:r>
          </w:p>
          <w:p w14:paraId="40750DC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式中：S</w:t>
            </w:r>
            <w:r>
              <w:rPr>
                <w:rFonts w:hint="default" w:ascii="Times New Roman" w:hAnsi="Times New Roman" w:eastAsia="宋体" w:cs="Times New Roman"/>
                <w:color w:val="auto"/>
                <w:sz w:val="24"/>
                <w:highlight w:val="none"/>
                <w:vertAlign w:val="subscript"/>
              </w:rPr>
              <w:t>pH，j</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为水质参数pH在j点的标准指数；</w:t>
            </w:r>
          </w:p>
          <w:p w14:paraId="79E52832">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pH</w:t>
            </w:r>
            <w:r>
              <w:rPr>
                <w:rFonts w:hint="default" w:ascii="Times New Roman" w:hAnsi="Times New Roman" w:eastAsia="宋体" w:cs="Times New Roman"/>
                <w:color w:val="auto"/>
                <w:sz w:val="24"/>
                <w:highlight w:val="none"/>
                <w:vertAlign w:val="subscript"/>
              </w:rPr>
              <w:t>j</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为j点的pH值；</w:t>
            </w:r>
          </w:p>
          <w:p w14:paraId="35F89827">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pH</w:t>
            </w:r>
            <w:r>
              <w:rPr>
                <w:rFonts w:hint="default" w:ascii="Times New Roman" w:hAnsi="Times New Roman" w:eastAsia="宋体" w:cs="Times New Roman"/>
                <w:color w:val="auto"/>
                <w:sz w:val="24"/>
                <w:highlight w:val="none"/>
                <w:vertAlign w:val="subscript"/>
              </w:rPr>
              <w:t>su</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为地表水水质标准中规定的pH值上限；</w:t>
            </w:r>
          </w:p>
          <w:p w14:paraId="6E8DDEA5">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pH</w:t>
            </w:r>
            <w:r>
              <w:rPr>
                <w:rFonts w:hint="default" w:ascii="Times New Roman" w:hAnsi="Times New Roman" w:eastAsia="宋体" w:cs="Times New Roman"/>
                <w:color w:val="auto"/>
                <w:sz w:val="24"/>
                <w:highlight w:val="none"/>
                <w:vertAlign w:val="subscript"/>
              </w:rPr>
              <w:t>sd</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为地表水水质标准中规定的pH值下限。</w:t>
            </w:r>
          </w:p>
          <w:p w14:paraId="566A7EF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当以上公式计算的污染指数I</w:t>
            </w:r>
            <w:r>
              <w:rPr>
                <w:rFonts w:hint="default" w:ascii="Times New Roman" w:hAnsi="Times New Roman" w:eastAsia="宋体" w:cs="Times New Roman"/>
                <w:color w:val="auto"/>
                <w:sz w:val="24"/>
                <w:highlight w:val="none"/>
                <w:vertAlign w:val="subscript"/>
              </w:rPr>
              <w:t>ij</w:t>
            </w:r>
            <w:r>
              <w:rPr>
                <w:rFonts w:hint="default" w:ascii="Times New Roman" w:hAnsi="Times New Roman" w:eastAsia="宋体" w:cs="Times New Roman"/>
                <w:color w:val="auto"/>
                <w:sz w:val="24"/>
                <w:highlight w:val="none"/>
              </w:rPr>
              <w:t>＞1时，表明该项指标已经超过了规定的质量标准。</w:t>
            </w:r>
          </w:p>
          <w:p w14:paraId="5AE66AA9">
            <w:pPr>
              <w:keepNext w:val="0"/>
              <w:keepLines w:val="0"/>
              <w:suppressLineNumbers w:val="0"/>
              <w:spacing w:before="0" w:beforeAutospacing="0" w:after="0" w:afterAutospacing="0" w:line="360" w:lineRule="auto"/>
              <w:ind w:left="0" w:right="0" w:firstLine="482"/>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④现状评价结果</w:t>
            </w:r>
          </w:p>
          <w:p w14:paraId="60F56E6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各监测项目的单因子指数分别见下表。</w:t>
            </w:r>
          </w:p>
          <w:p w14:paraId="072ABFEE">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地表水水质污染指数评价结果表</w:t>
            </w:r>
          </w:p>
          <w:tbl>
            <w:tblPr>
              <w:tblStyle w:val="35"/>
              <w:tblW w:w="88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4"/>
              <w:gridCol w:w="1445"/>
              <w:gridCol w:w="1271"/>
              <w:gridCol w:w="850"/>
              <w:gridCol w:w="1077"/>
              <w:gridCol w:w="964"/>
              <w:gridCol w:w="907"/>
              <w:gridCol w:w="850"/>
              <w:gridCol w:w="850"/>
            </w:tblGrid>
            <w:tr w14:paraId="6CED4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368" w:type="pct"/>
                  <w:tcBorders>
                    <w:top w:val="single" w:color="000000" w:sz="4" w:space="0"/>
                    <w:left w:val="single" w:color="000000" w:sz="4" w:space="0"/>
                    <w:bottom w:val="single" w:color="000000" w:sz="4" w:space="0"/>
                    <w:right w:val="single" w:color="000000" w:sz="4" w:space="0"/>
                  </w:tcBorders>
                  <w:noWrap/>
                  <w:vAlign w:val="center"/>
                </w:tcPr>
                <w:p w14:paraId="7E1D3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水体名称</w:t>
                  </w:r>
                </w:p>
              </w:tc>
              <w:tc>
                <w:tcPr>
                  <w:tcW w:w="814" w:type="pct"/>
                  <w:tcBorders>
                    <w:top w:val="single" w:color="000000" w:sz="4" w:space="0"/>
                    <w:left w:val="single" w:color="000000" w:sz="4" w:space="0"/>
                    <w:bottom w:val="single" w:color="000000" w:sz="4" w:space="0"/>
                    <w:right w:val="single" w:color="000000" w:sz="4" w:space="0"/>
                  </w:tcBorders>
                  <w:noWrap/>
                  <w:vAlign w:val="center"/>
                </w:tcPr>
                <w:p w14:paraId="25BEF2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项目</w:t>
                  </w:r>
                </w:p>
              </w:tc>
              <w:tc>
                <w:tcPr>
                  <w:tcW w:w="716" w:type="pct"/>
                  <w:tcBorders>
                    <w:top w:val="single" w:color="000000" w:sz="4" w:space="0"/>
                    <w:left w:val="single" w:color="000000" w:sz="4" w:space="0"/>
                    <w:bottom w:val="single" w:color="000000" w:sz="4" w:space="0"/>
                    <w:right w:val="single" w:color="000000" w:sz="4" w:space="0"/>
                  </w:tcBorders>
                  <w:noWrap w:val="0"/>
                  <w:vAlign w:val="center"/>
                </w:tcPr>
                <w:p w14:paraId="6AB00D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pH值</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749D8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化学需氧量</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A252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五日生化需氧量</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102E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氨氮</w:t>
                  </w: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1793E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总磷</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5531D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悬浮物</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374ACC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石油类</w:t>
                  </w:r>
                </w:p>
              </w:tc>
            </w:tr>
            <w:tr w14:paraId="1BB6E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 w:hRule="atLeast"/>
                <w:jc w:val="center"/>
              </w:trPr>
              <w:tc>
                <w:tcPr>
                  <w:tcW w:w="368" w:type="pct"/>
                  <w:vMerge w:val="restart"/>
                  <w:tcBorders>
                    <w:top w:val="single" w:color="000000" w:sz="4" w:space="0"/>
                    <w:left w:val="single" w:color="000000" w:sz="4" w:space="0"/>
                    <w:bottom w:val="single" w:color="000000" w:sz="4" w:space="0"/>
                    <w:right w:val="single" w:color="000000" w:sz="4" w:space="0"/>
                  </w:tcBorders>
                  <w:noWrap/>
                  <w:vAlign w:val="center"/>
                </w:tcPr>
                <w:p w14:paraId="7BD96F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运粮河</w:t>
                  </w:r>
                </w:p>
              </w:tc>
              <w:tc>
                <w:tcPr>
                  <w:tcW w:w="814" w:type="pct"/>
                  <w:tcBorders>
                    <w:top w:val="single" w:color="000000" w:sz="4" w:space="0"/>
                    <w:left w:val="single" w:color="000000" w:sz="4" w:space="0"/>
                    <w:bottom w:val="single" w:color="000000" w:sz="4" w:space="0"/>
                    <w:right w:val="single" w:color="000000" w:sz="4" w:space="0"/>
                  </w:tcBorders>
                  <w:noWrap/>
                  <w:vAlign w:val="center"/>
                </w:tcPr>
                <w:p w14:paraId="480B3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监测值范围</w:t>
                  </w:r>
                </w:p>
                <w:p w14:paraId="7ADD51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(mg/L)</w:t>
                  </w:r>
                </w:p>
              </w:tc>
              <w:tc>
                <w:tcPr>
                  <w:tcW w:w="716" w:type="pct"/>
                  <w:tcBorders>
                    <w:top w:val="single" w:color="000000" w:sz="4" w:space="0"/>
                    <w:left w:val="single" w:color="000000" w:sz="4" w:space="0"/>
                    <w:bottom w:val="single" w:color="000000" w:sz="4" w:space="0"/>
                    <w:right w:val="single" w:color="000000" w:sz="4" w:space="0"/>
                  </w:tcBorders>
                  <w:noWrap/>
                  <w:vAlign w:val="center"/>
                </w:tcPr>
                <w:p w14:paraId="3D896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7.</w:t>
                  </w:r>
                  <w:r>
                    <w:rPr>
                      <w:rFonts w:hint="eastAsia" w:ascii="Times New Roman" w:hAnsi="Times New Roman" w:eastAsia="宋体" w:cs="Times New Roman"/>
                      <w:b w:val="0"/>
                      <w:bCs/>
                      <w:iCs/>
                      <w:color w:val="auto"/>
                      <w:sz w:val="21"/>
                      <w:szCs w:val="21"/>
                      <w:vertAlign w:val="baseline"/>
                      <w:lang w:val="en-US" w:eastAsia="zh-CN"/>
                    </w:rPr>
                    <w:t>3</w:t>
                  </w:r>
                  <w:r>
                    <w:rPr>
                      <w:rFonts w:hint="default" w:ascii="Times New Roman" w:hAnsi="Times New Roman" w:eastAsia="宋体" w:cs="Times New Roman"/>
                      <w:b w:val="0"/>
                      <w:bCs/>
                      <w:iCs/>
                      <w:color w:val="auto"/>
                      <w:sz w:val="21"/>
                      <w:szCs w:val="21"/>
                      <w:vertAlign w:val="baseline"/>
                      <w:lang w:val="en-US" w:eastAsia="zh-CN"/>
                    </w:rPr>
                    <w:t>~7.</w:t>
                  </w:r>
                  <w:r>
                    <w:rPr>
                      <w:rFonts w:hint="eastAsia" w:ascii="Times New Roman" w:hAnsi="Times New Roman" w:eastAsia="宋体" w:cs="Times New Roman"/>
                      <w:b w:val="0"/>
                      <w:bCs/>
                      <w:iCs/>
                      <w:color w:val="auto"/>
                      <w:sz w:val="21"/>
                      <w:szCs w:val="21"/>
                      <w:vertAlign w:val="baseline"/>
                      <w:lang w:val="en-US" w:eastAsia="zh-CN"/>
                    </w:rPr>
                    <w:t>5</w:t>
                  </w:r>
                </w:p>
                <w:p w14:paraId="41D083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(无量纲)</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57910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10</w:t>
                  </w:r>
                  <w:r>
                    <w:rPr>
                      <w:rFonts w:hint="default" w:ascii="Times New Roman" w:hAnsi="Times New Roman" w:eastAsia="宋体" w:cs="Times New Roman"/>
                      <w:b w:val="0"/>
                      <w:bCs/>
                      <w:iCs/>
                      <w:color w:val="auto"/>
                      <w:sz w:val="21"/>
                      <w:szCs w:val="21"/>
                      <w:vertAlign w:val="baseline"/>
                      <w:lang w:val="en-US" w:eastAsia="zh-CN"/>
                    </w:rPr>
                    <w:t>~1</w:t>
                  </w:r>
                  <w:r>
                    <w:rPr>
                      <w:rFonts w:hint="eastAsia" w:ascii="Times New Roman" w:hAnsi="Times New Roman" w:eastAsia="宋体" w:cs="Times New Roman"/>
                      <w:b w:val="0"/>
                      <w:bCs/>
                      <w:iCs/>
                      <w:color w:val="auto"/>
                      <w:sz w:val="21"/>
                      <w:szCs w:val="21"/>
                      <w:vertAlign w:val="baseline"/>
                      <w:lang w:val="en-US" w:eastAsia="zh-CN"/>
                    </w:rPr>
                    <w:t>7</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3ABB41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2.</w:t>
                  </w:r>
                  <w:r>
                    <w:rPr>
                      <w:rFonts w:hint="eastAsia" w:ascii="Times New Roman" w:hAnsi="Times New Roman" w:eastAsia="宋体" w:cs="Times New Roman"/>
                      <w:b w:val="0"/>
                      <w:bCs/>
                      <w:iCs/>
                      <w:color w:val="auto"/>
                      <w:sz w:val="21"/>
                      <w:szCs w:val="21"/>
                      <w:vertAlign w:val="baseline"/>
                      <w:lang w:val="en-US" w:eastAsia="zh-CN"/>
                    </w:rPr>
                    <w:t>1</w:t>
                  </w:r>
                  <w:r>
                    <w:rPr>
                      <w:rFonts w:hint="default" w:ascii="Times New Roman" w:hAnsi="Times New Roman" w:eastAsia="宋体" w:cs="Times New Roman"/>
                      <w:b w:val="0"/>
                      <w:bCs/>
                      <w:iCs/>
                      <w:color w:val="auto"/>
                      <w:sz w:val="21"/>
                      <w:szCs w:val="21"/>
                      <w:vertAlign w:val="baseline"/>
                      <w:lang w:val="en-US" w:eastAsia="zh-CN"/>
                    </w:rPr>
                    <w:t>~</w:t>
                  </w:r>
                  <w:r>
                    <w:rPr>
                      <w:rFonts w:hint="eastAsia" w:ascii="Times New Roman" w:hAnsi="Times New Roman" w:eastAsia="宋体" w:cs="Times New Roman"/>
                      <w:b w:val="0"/>
                      <w:bCs/>
                      <w:iCs/>
                      <w:color w:val="auto"/>
                      <w:sz w:val="21"/>
                      <w:szCs w:val="21"/>
                      <w:vertAlign w:val="baseline"/>
                      <w:lang w:val="en-US" w:eastAsia="zh-CN"/>
                    </w:rPr>
                    <w:t>3.5</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0EB59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0.</w:t>
                  </w:r>
                  <w:r>
                    <w:rPr>
                      <w:rFonts w:hint="eastAsia" w:ascii="Times New Roman" w:hAnsi="Times New Roman" w:eastAsia="宋体" w:cs="Times New Roman"/>
                      <w:b w:val="0"/>
                      <w:bCs/>
                      <w:iCs/>
                      <w:color w:val="auto"/>
                      <w:sz w:val="21"/>
                      <w:szCs w:val="21"/>
                      <w:vertAlign w:val="baseline"/>
                      <w:lang w:val="en-US" w:eastAsia="zh-CN"/>
                    </w:rPr>
                    <w:t>732</w:t>
                  </w:r>
                  <w:r>
                    <w:rPr>
                      <w:rFonts w:hint="default" w:ascii="Times New Roman" w:hAnsi="Times New Roman" w:eastAsia="宋体" w:cs="Times New Roman"/>
                      <w:b w:val="0"/>
                      <w:bCs/>
                      <w:iCs/>
                      <w:color w:val="auto"/>
                      <w:sz w:val="21"/>
                      <w:szCs w:val="21"/>
                      <w:vertAlign w:val="baseline"/>
                      <w:lang w:val="en-US" w:eastAsia="zh-CN"/>
                    </w:rPr>
                    <w:t>~</w:t>
                  </w:r>
                  <w:r>
                    <w:rPr>
                      <w:rFonts w:hint="eastAsia" w:ascii="Times New Roman" w:hAnsi="Times New Roman" w:eastAsia="宋体" w:cs="Times New Roman"/>
                      <w:b w:val="0"/>
                      <w:bCs/>
                      <w:iCs/>
                      <w:color w:val="auto"/>
                      <w:sz w:val="21"/>
                      <w:szCs w:val="21"/>
                      <w:vertAlign w:val="baseline"/>
                      <w:lang w:val="en-US" w:eastAsia="zh-CN"/>
                    </w:rPr>
                    <w:t>0.865</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4F7EA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0.0</w:t>
                  </w:r>
                  <w:r>
                    <w:rPr>
                      <w:rFonts w:hint="eastAsia" w:ascii="Times New Roman" w:hAnsi="Times New Roman" w:eastAsia="宋体" w:cs="Times New Roman"/>
                      <w:b w:val="0"/>
                      <w:bCs/>
                      <w:iCs/>
                      <w:color w:val="auto"/>
                      <w:sz w:val="21"/>
                      <w:szCs w:val="21"/>
                      <w:vertAlign w:val="baseline"/>
                      <w:lang w:val="en-US" w:eastAsia="zh-CN"/>
                    </w:rPr>
                    <w:t>4</w:t>
                  </w:r>
                  <w:r>
                    <w:rPr>
                      <w:rFonts w:hint="default" w:ascii="Times New Roman" w:hAnsi="Times New Roman" w:eastAsia="宋体" w:cs="Times New Roman"/>
                      <w:b w:val="0"/>
                      <w:bCs/>
                      <w:iCs/>
                      <w:color w:val="auto"/>
                      <w:sz w:val="21"/>
                      <w:szCs w:val="21"/>
                      <w:vertAlign w:val="baseline"/>
                      <w:lang w:val="en-US" w:eastAsia="zh-CN"/>
                    </w:rPr>
                    <w:t>~0.</w:t>
                  </w:r>
                  <w:r>
                    <w:rPr>
                      <w:rFonts w:hint="eastAsia" w:ascii="Times New Roman" w:hAnsi="Times New Roman" w:eastAsia="宋体" w:cs="Times New Roman"/>
                      <w:b w:val="0"/>
                      <w:bCs/>
                      <w:iCs/>
                      <w:color w:val="auto"/>
                      <w:sz w:val="21"/>
                      <w:szCs w:val="21"/>
                      <w:vertAlign w:val="baseline"/>
                      <w:lang w:val="en-US" w:eastAsia="zh-CN"/>
                    </w:rPr>
                    <w:t>07</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5798EB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11</w:t>
                  </w:r>
                  <w:r>
                    <w:rPr>
                      <w:rFonts w:hint="default" w:ascii="Times New Roman" w:hAnsi="Times New Roman" w:eastAsia="宋体" w:cs="Times New Roman"/>
                      <w:b w:val="0"/>
                      <w:bCs/>
                      <w:iCs/>
                      <w:color w:val="auto"/>
                      <w:sz w:val="21"/>
                      <w:szCs w:val="21"/>
                      <w:vertAlign w:val="baseline"/>
                      <w:lang w:val="en-US" w:eastAsia="zh-CN"/>
                    </w:rPr>
                    <w:t>~</w:t>
                  </w:r>
                  <w:r>
                    <w:rPr>
                      <w:rFonts w:hint="eastAsia" w:ascii="Times New Roman" w:hAnsi="Times New Roman" w:eastAsia="宋体" w:cs="Times New Roman"/>
                      <w:b w:val="0"/>
                      <w:bCs/>
                      <w:iCs/>
                      <w:color w:val="auto"/>
                      <w:sz w:val="21"/>
                      <w:szCs w:val="21"/>
                      <w:vertAlign w:val="baseline"/>
                      <w:lang w:val="en-US" w:eastAsia="zh-CN"/>
                    </w:rPr>
                    <w:t>23</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7A0D2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ND</w:t>
                  </w:r>
                </w:p>
              </w:tc>
            </w:tr>
            <w:tr w14:paraId="457DD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6650AD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p>
              </w:tc>
              <w:tc>
                <w:tcPr>
                  <w:tcW w:w="814" w:type="pct"/>
                  <w:tcBorders>
                    <w:top w:val="single" w:color="000000" w:sz="4" w:space="0"/>
                    <w:left w:val="single" w:color="000000" w:sz="4" w:space="0"/>
                    <w:bottom w:val="single" w:color="000000" w:sz="4" w:space="0"/>
                    <w:right w:val="single" w:color="000000" w:sz="4" w:space="0"/>
                  </w:tcBorders>
                  <w:noWrap w:val="0"/>
                  <w:vAlign w:val="center"/>
                </w:tcPr>
                <w:p w14:paraId="39D42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Sij(最大值)</w:t>
                  </w:r>
                </w:p>
              </w:tc>
              <w:tc>
                <w:tcPr>
                  <w:tcW w:w="716" w:type="pct"/>
                  <w:tcBorders>
                    <w:top w:val="single" w:color="000000" w:sz="4" w:space="0"/>
                    <w:left w:val="single" w:color="000000" w:sz="4" w:space="0"/>
                    <w:bottom w:val="single" w:color="000000" w:sz="4" w:space="0"/>
                    <w:right w:val="single" w:color="000000" w:sz="4" w:space="0"/>
                  </w:tcBorders>
                  <w:noWrap/>
                  <w:vAlign w:val="center"/>
                </w:tcPr>
                <w:p w14:paraId="41386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0.25</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19C6D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0.57</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30CFC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0.58</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2244B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0.58</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E7EC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0.23</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3FE415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7B66AA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ND</w:t>
                  </w:r>
                </w:p>
              </w:tc>
            </w:tr>
            <w:tr w14:paraId="3FCEA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2E09D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p>
              </w:tc>
              <w:tc>
                <w:tcPr>
                  <w:tcW w:w="814" w:type="pct"/>
                  <w:tcBorders>
                    <w:top w:val="single" w:color="000000" w:sz="4" w:space="0"/>
                    <w:left w:val="single" w:color="000000" w:sz="4" w:space="0"/>
                    <w:bottom w:val="single" w:color="000000" w:sz="4" w:space="0"/>
                    <w:right w:val="single" w:color="000000" w:sz="4" w:space="0"/>
                  </w:tcBorders>
                  <w:noWrap w:val="0"/>
                  <w:vAlign w:val="center"/>
                </w:tcPr>
                <w:p w14:paraId="3FE24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达标分析</w:t>
                  </w:r>
                </w:p>
              </w:tc>
              <w:tc>
                <w:tcPr>
                  <w:tcW w:w="716" w:type="pct"/>
                  <w:tcBorders>
                    <w:top w:val="single" w:color="000000" w:sz="4" w:space="0"/>
                    <w:left w:val="single" w:color="000000" w:sz="4" w:space="0"/>
                    <w:bottom w:val="single" w:color="000000" w:sz="4" w:space="0"/>
                    <w:right w:val="single" w:color="000000" w:sz="4" w:space="0"/>
                  </w:tcBorders>
                  <w:noWrap/>
                  <w:vAlign w:val="center"/>
                </w:tcPr>
                <w:p w14:paraId="39797C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达标</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0B78B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达标</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49345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达标</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150C8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达标</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01C8E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达标</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3769C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7F7687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达标</w:t>
                  </w:r>
                </w:p>
              </w:tc>
            </w:tr>
          </w:tbl>
          <w:p w14:paraId="3BB12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由上表可知，运粮河各监测断面水质监测因子均满足《地表水环境质量标准》（GB3838-2002）中的Ⅳ类水质标准要求</w:t>
            </w:r>
            <w:r>
              <w:rPr>
                <w:rFonts w:hint="default" w:ascii="Times New Roman" w:hAnsi="Times New Roman" w:eastAsia="宋体" w:cs="Times New Roman"/>
                <w:color w:val="auto"/>
                <w:sz w:val="24"/>
                <w:szCs w:val="24"/>
                <w:highlight w:val="none"/>
              </w:rPr>
              <w:t>。</w:t>
            </w:r>
          </w:p>
          <w:p w14:paraId="398008E8">
            <w:pPr>
              <w:keepNext w:val="0"/>
              <w:keepLines w:val="0"/>
              <w:suppressLineNumbers w:val="0"/>
              <w:spacing w:before="0" w:beforeAutospacing="0" w:after="0" w:afterAutospacing="0" w:line="360" w:lineRule="auto"/>
              <w:ind w:left="0" w:right="0" w:firstLine="482" w:firstLineChars="200"/>
              <w:rPr>
                <w:rFonts w:hint="eastAsia"/>
                <w:b/>
                <w:bCs/>
                <w:color w:val="auto"/>
                <w:kern w:val="1"/>
                <w:sz w:val="24"/>
              </w:rPr>
            </w:pPr>
            <w:r>
              <w:rPr>
                <w:rFonts w:hint="default"/>
                <w:b/>
                <w:bCs/>
                <w:color w:val="auto"/>
                <w:sz w:val="24"/>
                <w:szCs w:val="32"/>
                <w:highlight w:val="none"/>
              </w:rPr>
              <w:t>3、</w:t>
            </w:r>
            <w:r>
              <w:rPr>
                <w:rFonts w:hint="eastAsia"/>
                <w:b/>
                <w:bCs/>
                <w:color w:val="auto"/>
                <w:kern w:val="1"/>
                <w:sz w:val="24"/>
              </w:rPr>
              <w:t>声环境质量状况</w:t>
            </w:r>
          </w:p>
          <w:p w14:paraId="0E309C08">
            <w:pPr>
              <w:keepNext w:val="0"/>
              <w:keepLines w:val="0"/>
              <w:suppressLineNumbers w:val="0"/>
              <w:spacing w:before="0" w:beforeAutospacing="0" w:after="0" w:afterAutospacing="0" w:line="360" w:lineRule="auto"/>
              <w:ind w:left="0" w:right="0" w:firstLine="480" w:firstLineChars="200"/>
              <w:rPr>
                <w:rFonts w:hint="eastAsia"/>
                <w:color w:val="auto"/>
                <w:kern w:val="1"/>
                <w:sz w:val="24"/>
                <w:lang w:val="en-US" w:eastAsia="zh-CN"/>
              </w:rPr>
            </w:pPr>
            <w:r>
              <w:rPr>
                <w:rFonts w:hint="eastAsia"/>
                <w:color w:val="auto"/>
                <w:kern w:val="1"/>
                <w:sz w:val="24"/>
                <w:lang w:val="en-US" w:eastAsia="zh-CN"/>
              </w:rPr>
              <w:t>本项目位于</w:t>
            </w:r>
            <w:r>
              <w:rPr>
                <w:rFonts w:hint="eastAsia"/>
                <w:color w:val="auto"/>
                <w:kern w:val="1"/>
                <w:sz w:val="24"/>
                <w:lang w:eastAsia="zh-CN"/>
              </w:rPr>
              <w:t>宿州市高新技术产业开发区</w:t>
            </w:r>
            <w:r>
              <w:rPr>
                <w:rFonts w:hint="default" w:ascii="Times New Roman" w:hAnsi="Times New Roman" w:eastAsia="宋体" w:cs="Times New Roman"/>
                <w:sz w:val="24"/>
                <w:lang w:val="en-US" w:eastAsia="zh-CN"/>
              </w:rPr>
              <w:t>北三环泗山路数字星空8号厂房</w:t>
            </w:r>
            <w:r>
              <w:rPr>
                <w:rFonts w:hint="eastAsia"/>
                <w:color w:val="auto"/>
                <w:kern w:val="1"/>
                <w:sz w:val="24"/>
                <w:lang w:val="en-US" w:eastAsia="zh-CN"/>
              </w:rPr>
              <w:t>，根据《建设项目环境影响报告表编制技术指南（污染影响类）（试行）》规定，50m范围内没有声环境保护目标，无需进行声环境现状监测。</w:t>
            </w:r>
          </w:p>
          <w:p w14:paraId="1559232A">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4、地下水环境质量状况</w:t>
            </w:r>
          </w:p>
          <w:p w14:paraId="2C5CCD9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szCs w:val="24"/>
              </w:rPr>
            </w:pPr>
            <w:r>
              <w:rPr>
                <w:rFonts w:hint="default" w:ascii="Times New Roman" w:hAnsi="Times New Roman" w:cs="Times New Roman"/>
                <w:sz w:val="24"/>
                <w:szCs w:val="24"/>
              </w:rPr>
              <w:t>项目厂界外500m范围内无地下水集中式饮用水水源和热水、矿泉水、温泉等特殊地下水资源</w:t>
            </w:r>
            <w:r>
              <w:rPr>
                <w:rFonts w:hint="default" w:ascii="Times New Roman" w:hAnsi="Times New Roman" w:cs="Times New Roman"/>
                <w:kern w:val="0"/>
                <w:sz w:val="24"/>
                <w:szCs w:val="24"/>
              </w:rPr>
              <w:t>。</w:t>
            </w:r>
          </w:p>
          <w:p w14:paraId="42976095">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sz w:val="24"/>
                <w:szCs w:val="32"/>
              </w:rPr>
            </w:pPr>
            <w:r>
              <w:rPr>
                <w:rFonts w:hint="default" w:ascii="Times New Roman" w:hAnsi="Times New Roman" w:cs="Times New Roman"/>
                <w:b/>
                <w:bCs/>
                <w:sz w:val="24"/>
                <w:szCs w:val="32"/>
              </w:rPr>
              <w:t>5、</w:t>
            </w:r>
            <w:r>
              <w:rPr>
                <w:rFonts w:hint="default" w:ascii="Times New Roman" w:hAnsi="Times New Roman" w:cs="Times New Roman"/>
                <w:b/>
                <w:bCs/>
                <w:sz w:val="24"/>
              </w:rPr>
              <w:t>生态环境</w:t>
            </w:r>
          </w:p>
          <w:p w14:paraId="54DD62F2">
            <w:pPr>
              <w:pStyle w:val="42"/>
              <w:keepNext w:val="0"/>
              <w:keepLines w:val="0"/>
              <w:numPr>
                <w:ilvl w:val="0"/>
                <w:numId w:val="0"/>
              </w:numPr>
              <w:suppressLineNumbers w:val="0"/>
              <w:spacing w:before="0" w:beforeAutospacing="0" w:after="0" w:afterAutospacing="0" w:line="360" w:lineRule="auto"/>
              <w:ind w:left="0" w:right="0" w:firstLine="480" w:firstLineChars="200"/>
              <w:rPr>
                <w:rFonts w:hint="eastAsia"/>
                <w:kern w:val="0"/>
                <w:szCs w:val="21"/>
              </w:rPr>
            </w:pPr>
            <w:r>
              <w:rPr>
                <w:rFonts w:hint="default" w:ascii="Times New Roman" w:hAnsi="Times New Roman" w:cs="Times New Roman"/>
                <w:b w:val="0"/>
                <w:bCs/>
              </w:rPr>
              <w:t>项目选址位于</w:t>
            </w:r>
            <w:r>
              <w:rPr>
                <w:rFonts w:hint="eastAsia"/>
                <w:color w:val="auto"/>
                <w:kern w:val="1"/>
                <w:sz w:val="24"/>
                <w:lang w:eastAsia="zh-CN"/>
              </w:rPr>
              <w:t>宿州市高新技术产业开发区</w:t>
            </w:r>
            <w:r>
              <w:rPr>
                <w:rFonts w:hint="default" w:ascii="Times New Roman" w:hAnsi="Times New Roman" w:cs="Times New Roman"/>
                <w:b w:val="0"/>
                <w:bCs/>
                <w:sz w:val="24"/>
                <w:lang w:val="en-US" w:eastAsia="zh-CN"/>
              </w:rPr>
              <w:t>北三环泗山路数字星空8号厂房</w:t>
            </w:r>
            <w:r>
              <w:rPr>
                <w:rFonts w:hint="default" w:ascii="Times New Roman" w:hAnsi="Times New Roman" w:cs="Times New Roman"/>
                <w:b w:val="0"/>
                <w:bCs/>
              </w:rPr>
              <w:t>，厂区所在位置用地类型为工业用地，项目用地范围内无生态环境保护目标。</w:t>
            </w:r>
          </w:p>
        </w:tc>
      </w:tr>
      <w:tr w14:paraId="46CA4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81" w:type="dxa"/>
            <w:vAlign w:val="center"/>
          </w:tcPr>
          <w:p w14:paraId="6F60AFE0">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环境</w:t>
            </w:r>
          </w:p>
          <w:p w14:paraId="16A4DA96">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保护</w:t>
            </w:r>
          </w:p>
          <w:p w14:paraId="1DD4A87A">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b/>
                <w:kern w:val="0"/>
                <w:szCs w:val="21"/>
              </w:rPr>
              <w:t>目标</w:t>
            </w:r>
          </w:p>
        </w:tc>
        <w:tc>
          <w:tcPr>
            <w:tcW w:w="9051" w:type="dxa"/>
          </w:tcPr>
          <w:p w14:paraId="16959B3D">
            <w:pPr>
              <w:keepNext w:val="0"/>
              <w:keepLines w:val="0"/>
              <w:suppressLineNumbers w:val="0"/>
              <w:spacing w:before="0" w:beforeAutospacing="0" w:after="0" w:afterAutospacing="0" w:line="360" w:lineRule="auto"/>
              <w:ind w:left="0" w:right="0" w:firstLine="480" w:firstLineChars="200"/>
              <w:jc w:val="left"/>
              <w:rPr>
                <w:rFonts w:hint="eastAsia"/>
                <w:sz w:val="24"/>
                <w:lang w:eastAsia="zh-CN"/>
              </w:rPr>
            </w:pPr>
            <w:r>
              <w:rPr>
                <w:rFonts w:hint="default"/>
                <w:sz w:val="24"/>
              </w:rPr>
              <w:t>本项目位于</w:t>
            </w:r>
            <w:r>
              <w:rPr>
                <w:rFonts w:hint="eastAsia"/>
                <w:color w:val="auto"/>
                <w:kern w:val="1"/>
                <w:sz w:val="24"/>
                <w:lang w:eastAsia="zh-CN"/>
              </w:rPr>
              <w:t>宿州市高新技术产业开发区</w:t>
            </w:r>
            <w:r>
              <w:rPr>
                <w:rFonts w:hint="default" w:ascii="Times New Roman" w:hAnsi="Times New Roman" w:cs="Times New Roman"/>
                <w:b w:val="0"/>
                <w:bCs/>
                <w:sz w:val="24"/>
                <w:lang w:val="en-US" w:eastAsia="zh-CN"/>
              </w:rPr>
              <w:t>北三环泗山路数字星空8号厂房</w:t>
            </w:r>
            <w:r>
              <w:rPr>
                <w:rFonts w:hint="default"/>
                <w:sz w:val="24"/>
              </w:rPr>
              <w:t>，项目区周边无其</w:t>
            </w:r>
            <w:r>
              <w:rPr>
                <w:rFonts w:hint="eastAsia"/>
                <w:sz w:val="24"/>
                <w:lang w:val="en-US" w:eastAsia="zh-CN"/>
              </w:rPr>
              <w:t>他</w:t>
            </w:r>
            <w:r>
              <w:rPr>
                <w:rFonts w:hint="default"/>
                <w:sz w:val="24"/>
              </w:rPr>
              <w:t>自然保护区、风景旅游点和文物古迹等需要特殊保护的环境敏感对象。总体上不因本项目的实施而改变区域环境现有功能，具体环境保护</w:t>
            </w:r>
            <w:r>
              <w:rPr>
                <w:rFonts w:hint="eastAsia"/>
                <w:sz w:val="24"/>
              </w:rPr>
              <w:t>目标</w:t>
            </w:r>
            <w:r>
              <w:rPr>
                <w:rFonts w:hint="default"/>
                <w:sz w:val="24"/>
              </w:rPr>
              <w:t>见下表</w:t>
            </w:r>
            <w:r>
              <w:rPr>
                <w:rFonts w:hint="eastAsia"/>
                <w:sz w:val="24"/>
                <w:lang w:eastAsia="zh-CN"/>
              </w:rPr>
              <w:t>：</w:t>
            </w:r>
          </w:p>
          <w:p w14:paraId="72F648EF">
            <w:pPr>
              <w:pStyle w:val="42"/>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32"/>
              </w:rPr>
            </w:pPr>
            <w:r>
              <w:rPr>
                <w:rFonts w:hint="default" w:ascii="Times New Roman" w:hAnsi="Times New Roman" w:cs="Times New Roman"/>
                <w:b w:val="0"/>
                <w:bCs/>
                <w:color w:val="auto"/>
                <w:sz w:val="24"/>
                <w:szCs w:val="32"/>
              </w:rPr>
              <w:t>（1）保护项目区500m范围环境空气质量达到《环境空气质量标准》（GB3095-2012）二级标准要求。</w:t>
            </w:r>
          </w:p>
          <w:p w14:paraId="2B1218EE">
            <w:pPr>
              <w:pStyle w:val="42"/>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32"/>
              </w:rPr>
            </w:pPr>
            <w:r>
              <w:rPr>
                <w:rFonts w:hint="default" w:ascii="Times New Roman" w:hAnsi="Times New Roman" w:cs="Times New Roman"/>
                <w:b w:val="0"/>
                <w:bCs/>
                <w:color w:val="auto"/>
                <w:sz w:val="24"/>
                <w:szCs w:val="32"/>
              </w:rPr>
              <w:t>（2）保护地表水体运粮河</w:t>
            </w:r>
            <w:r>
              <w:rPr>
                <w:rFonts w:hint="eastAsia" w:ascii="Times New Roman" w:hAnsi="Times New Roman" w:cs="Times New Roman"/>
                <w:b w:val="0"/>
                <w:bCs/>
                <w:color w:val="auto"/>
                <w:sz w:val="24"/>
                <w:szCs w:val="32"/>
                <w:lang w:eastAsia="zh-CN"/>
              </w:rPr>
              <w:t>、</w:t>
            </w:r>
            <w:r>
              <w:rPr>
                <w:rFonts w:hint="eastAsia" w:ascii="Times New Roman" w:hAnsi="Times New Roman" w:cs="Times New Roman"/>
                <w:b w:val="0"/>
                <w:bCs/>
                <w:color w:val="auto"/>
                <w:sz w:val="24"/>
                <w:szCs w:val="32"/>
                <w:lang w:val="en-US" w:eastAsia="zh-CN"/>
              </w:rPr>
              <w:t>环城河、引塘沟</w:t>
            </w:r>
            <w:r>
              <w:rPr>
                <w:rFonts w:hint="default" w:ascii="Times New Roman" w:hAnsi="Times New Roman" w:cs="Times New Roman"/>
                <w:b w:val="0"/>
                <w:bCs/>
                <w:color w:val="auto"/>
                <w:sz w:val="24"/>
                <w:szCs w:val="32"/>
              </w:rPr>
              <w:t>水质达到《地表水环境质量标准》（GB3838-2002）中Ⅳ类水质标准要求。</w:t>
            </w:r>
          </w:p>
          <w:p w14:paraId="5F2189FD">
            <w:pPr>
              <w:pStyle w:val="4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b w:val="0"/>
                <w:bCs/>
                <w:color w:val="auto"/>
                <w:lang w:eastAsia="zh-CN"/>
              </w:rPr>
            </w:pPr>
            <w:r>
              <w:rPr>
                <w:rFonts w:hint="default" w:ascii="Times New Roman" w:hAnsi="Times New Roman" w:cs="Times New Roman"/>
                <w:b w:val="0"/>
                <w:bCs/>
                <w:color w:val="auto"/>
                <w:sz w:val="24"/>
                <w:szCs w:val="32"/>
              </w:rPr>
              <w:t>（3）项目厂界外50m范围内无声环境保护目标</w:t>
            </w:r>
            <w:r>
              <w:rPr>
                <w:rFonts w:hint="eastAsia" w:ascii="Times New Roman" w:hAnsi="Times New Roman" w:cs="Times New Roman"/>
                <w:b w:val="0"/>
                <w:bCs/>
                <w:color w:val="auto"/>
                <w:sz w:val="24"/>
                <w:szCs w:val="32"/>
                <w:lang w:eastAsia="zh-CN"/>
              </w:rPr>
              <w:t>，项目厂界周围噪声环境执行《声环境质量标准》（GB3096-2008）中的3类标准</w:t>
            </w:r>
            <w:r>
              <w:rPr>
                <w:rFonts w:hint="default" w:ascii="Times New Roman" w:hAnsi="Times New Roman" w:cs="Times New Roman"/>
                <w:b w:val="0"/>
                <w:bCs/>
                <w:color w:val="auto"/>
                <w:sz w:val="24"/>
                <w:szCs w:val="32"/>
              </w:rPr>
              <w:t>。</w:t>
            </w:r>
          </w:p>
          <w:p w14:paraId="662899C0">
            <w:pPr>
              <w:keepNext w:val="0"/>
              <w:keepLines w:val="0"/>
              <w:numPr>
                <w:ilvl w:val="0"/>
                <w:numId w:val="13"/>
              </w:numPr>
              <w:suppressLineNumbers w:val="0"/>
              <w:tabs>
                <w:tab w:val="clear" w:pos="0"/>
              </w:tabs>
              <w:spacing w:before="0" w:beforeAutospacing="0" w:after="0" w:afterAutospacing="0" w:line="360" w:lineRule="auto"/>
              <w:ind w:left="0" w:leftChars="0" w:right="0" w:firstLine="0" w:firstLineChars="0"/>
              <w:jc w:val="center"/>
              <w:rPr>
                <w:rFonts w:hint="default"/>
                <w:b/>
                <w:color w:val="auto"/>
                <w:sz w:val="24"/>
                <w:szCs w:val="32"/>
              </w:rPr>
            </w:pPr>
            <w:r>
              <w:rPr>
                <w:rFonts w:hint="default"/>
                <w:b/>
                <w:color w:val="auto"/>
                <w:sz w:val="24"/>
                <w:szCs w:val="32"/>
              </w:rPr>
              <w:t>环境保护目标及保护级别</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112"/>
              <w:gridCol w:w="754"/>
              <w:gridCol w:w="771"/>
              <w:gridCol w:w="883"/>
              <w:gridCol w:w="952"/>
              <w:gridCol w:w="1968"/>
              <w:gridCol w:w="828"/>
              <w:gridCol w:w="924"/>
            </w:tblGrid>
            <w:tr w14:paraId="3A0C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56" w:type="pct"/>
                  <w:vMerge w:val="restart"/>
                  <w:vAlign w:val="center"/>
                </w:tcPr>
                <w:p w14:paraId="61316F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eastAsia"/>
                      <w:color w:val="auto"/>
                      <w:szCs w:val="21"/>
                    </w:rPr>
                    <w:t>环境</w:t>
                  </w:r>
                </w:p>
                <w:p w14:paraId="609A02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eastAsia"/>
                      <w:color w:val="auto"/>
                      <w:szCs w:val="21"/>
                    </w:rPr>
                    <w:t>要素</w:t>
                  </w:r>
                </w:p>
              </w:tc>
              <w:tc>
                <w:tcPr>
                  <w:tcW w:w="630" w:type="pct"/>
                  <w:vMerge w:val="restart"/>
                  <w:vAlign w:val="center"/>
                </w:tcPr>
                <w:p w14:paraId="2D815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名称</w:t>
                  </w:r>
                </w:p>
              </w:tc>
              <w:tc>
                <w:tcPr>
                  <w:tcW w:w="864" w:type="pct"/>
                  <w:gridSpan w:val="2"/>
                  <w:vAlign w:val="center"/>
                </w:tcPr>
                <w:p w14:paraId="72FC2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坐标（m）</w:t>
                  </w:r>
                </w:p>
              </w:tc>
              <w:tc>
                <w:tcPr>
                  <w:tcW w:w="500" w:type="pct"/>
                  <w:vMerge w:val="restart"/>
                  <w:vAlign w:val="center"/>
                </w:tcPr>
                <w:p w14:paraId="749E2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保护</w:t>
                  </w:r>
                  <w:r>
                    <w:rPr>
                      <w:rFonts w:hint="eastAsia"/>
                      <w:color w:val="auto"/>
                      <w:szCs w:val="21"/>
                    </w:rPr>
                    <w:t>对象</w:t>
                  </w:r>
                </w:p>
              </w:tc>
              <w:tc>
                <w:tcPr>
                  <w:tcW w:w="539" w:type="pct"/>
                  <w:vMerge w:val="restart"/>
                  <w:vAlign w:val="center"/>
                </w:tcPr>
                <w:p w14:paraId="1E99D2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保护内容</w:t>
                  </w:r>
                </w:p>
              </w:tc>
              <w:tc>
                <w:tcPr>
                  <w:tcW w:w="1115" w:type="pct"/>
                  <w:vMerge w:val="restart"/>
                  <w:vAlign w:val="center"/>
                </w:tcPr>
                <w:p w14:paraId="42D5D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环境功能区</w:t>
                  </w:r>
                </w:p>
              </w:tc>
              <w:tc>
                <w:tcPr>
                  <w:tcW w:w="469" w:type="pct"/>
                  <w:vMerge w:val="restart"/>
                  <w:vAlign w:val="center"/>
                </w:tcPr>
                <w:p w14:paraId="645E1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相对厂址方位</w:t>
                  </w:r>
                </w:p>
              </w:tc>
              <w:tc>
                <w:tcPr>
                  <w:tcW w:w="523" w:type="pct"/>
                  <w:vMerge w:val="restart"/>
                  <w:vAlign w:val="center"/>
                </w:tcPr>
                <w:p w14:paraId="7A6B7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相对厂界距离（m）</w:t>
                  </w:r>
                </w:p>
              </w:tc>
            </w:tr>
            <w:tr w14:paraId="63FB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 w:type="pct"/>
                  <w:vMerge w:val="continue"/>
                  <w:vAlign w:val="center"/>
                </w:tcPr>
                <w:p w14:paraId="0B557CDD">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c>
                <w:tcPr>
                  <w:tcW w:w="630" w:type="pct"/>
                  <w:vMerge w:val="continue"/>
                  <w:vAlign w:val="center"/>
                </w:tcPr>
                <w:p w14:paraId="528F3603">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c>
                <w:tcPr>
                  <w:tcW w:w="427" w:type="pct"/>
                  <w:vAlign w:val="center"/>
                </w:tcPr>
                <w:p w14:paraId="4CE4BE17">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default"/>
                      <w:color w:val="auto"/>
                      <w:szCs w:val="21"/>
                    </w:rPr>
                    <w:t>X</w:t>
                  </w:r>
                </w:p>
              </w:tc>
              <w:tc>
                <w:tcPr>
                  <w:tcW w:w="437" w:type="pct"/>
                  <w:vAlign w:val="center"/>
                </w:tcPr>
                <w:p w14:paraId="1CA2F811">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default"/>
                      <w:color w:val="auto"/>
                      <w:szCs w:val="21"/>
                    </w:rPr>
                    <w:t>Y</w:t>
                  </w:r>
                </w:p>
              </w:tc>
              <w:tc>
                <w:tcPr>
                  <w:tcW w:w="500" w:type="pct"/>
                  <w:vMerge w:val="continue"/>
                  <w:vAlign w:val="center"/>
                </w:tcPr>
                <w:p w14:paraId="192A964E">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c>
                <w:tcPr>
                  <w:tcW w:w="539" w:type="pct"/>
                  <w:vMerge w:val="continue"/>
                  <w:vAlign w:val="center"/>
                </w:tcPr>
                <w:p w14:paraId="66D8AB9C">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c>
                <w:tcPr>
                  <w:tcW w:w="1115" w:type="pct"/>
                  <w:vMerge w:val="continue"/>
                  <w:vAlign w:val="center"/>
                </w:tcPr>
                <w:p w14:paraId="049608D0">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c>
                <w:tcPr>
                  <w:tcW w:w="469" w:type="pct"/>
                  <w:vMerge w:val="continue"/>
                  <w:vAlign w:val="center"/>
                </w:tcPr>
                <w:p w14:paraId="2E0F56DB">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c>
                <w:tcPr>
                  <w:tcW w:w="523" w:type="pct"/>
                  <w:vMerge w:val="continue"/>
                  <w:vAlign w:val="center"/>
                </w:tcPr>
                <w:p w14:paraId="62A29997">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r>
            <w:tr w14:paraId="0C87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356" w:type="pct"/>
                  <w:vMerge w:val="restart"/>
                  <w:vAlign w:val="center"/>
                </w:tcPr>
                <w:p w14:paraId="757C86A2">
                  <w:pPr>
                    <w:keepNext w:val="0"/>
                    <w:keepLines w:val="0"/>
                    <w:suppressLineNumbers w:val="0"/>
                    <w:adjustRightInd w:val="0"/>
                    <w:snapToGrid w:val="0"/>
                    <w:spacing w:before="0" w:beforeAutospacing="0" w:after="0" w:afterAutospacing="0"/>
                    <w:ind w:left="-84" w:leftChars="-40" w:right="-84" w:rightChars="-40"/>
                    <w:jc w:val="center"/>
                    <w:rPr>
                      <w:rFonts w:hint="default"/>
                      <w:color w:val="auto"/>
                      <w:szCs w:val="21"/>
                    </w:rPr>
                  </w:pPr>
                  <w:r>
                    <w:rPr>
                      <w:rFonts w:hint="eastAsia"/>
                      <w:color w:val="auto"/>
                      <w:szCs w:val="21"/>
                    </w:rPr>
                    <w:t>大气</w:t>
                  </w:r>
                </w:p>
                <w:p w14:paraId="15D81D91">
                  <w:pPr>
                    <w:keepNext w:val="0"/>
                    <w:keepLines w:val="0"/>
                    <w:suppressLineNumbers w:val="0"/>
                    <w:adjustRightInd w:val="0"/>
                    <w:snapToGrid w:val="0"/>
                    <w:spacing w:before="0" w:beforeAutospacing="0" w:after="0" w:afterAutospacing="0"/>
                    <w:ind w:left="-84" w:leftChars="-40" w:right="-84" w:rightChars="-40"/>
                    <w:jc w:val="center"/>
                    <w:rPr>
                      <w:rFonts w:hint="default"/>
                      <w:color w:val="auto"/>
                      <w:szCs w:val="21"/>
                    </w:rPr>
                  </w:pPr>
                  <w:r>
                    <w:rPr>
                      <w:rFonts w:hint="eastAsia"/>
                      <w:color w:val="auto"/>
                      <w:szCs w:val="21"/>
                    </w:rPr>
                    <w:t>环境</w:t>
                  </w:r>
                </w:p>
              </w:tc>
              <w:tc>
                <w:tcPr>
                  <w:tcW w:w="630" w:type="pct"/>
                  <w:vAlign w:val="center"/>
                </w:tcPr>
                <w:p w14:paraId="690D83A8">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孔庄小区</w:t>
                  </w:r>
                </w:p>
              </w:tc>
              <w:tc>
                <w:tcPr>
                  <w:tcW w:w="427" w:type="pct"/>
                  <w:vAlign w:val="center"/>
                </w:tcPr>
                <w:p w14:paraId="21B82328">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-441</w:t>
                  </w:r>
                </w:p>
              </w:tc>
              <w:tc>
                <w:tcPr>
                  <w:tcW w:w="437" w:type="pct"/>
                  <w:vAlign w:val="center"/>
                </w:tcPr>
                <w:p w14:paraId="4BEC78A8">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152</w:t>
                  </w:r>
                </w:p>
              </w:tc>
              <w:tc>
                <w:tcPr>
                  <w:tcW w:w="500" w:type="pct"/>
                  <w:vAlign w:val="center"/>
                </w:tcPr>
                <w:p w14:paraId="0E486ACF">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居民</w:t>
                  </w:r>
                </w:p>
              </w:tc>
              <w:tc>
                <w:tcPr>
                  <w:tcW w:w="539" w:type="pct"/>
                  <w:vAlign w:val="center"/>
                </w:tcPr>
                <w:p w14:paraId="67A354D8">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约2400人</w:t>
                  </w:r>
                </w:p>
              </w:tc>
              <w:tc>
                <w:tcPr>
                  <w:tcW w:w="1115" w:type="pct"/>
                  <w:vMerge w:val="restart"/>
                  <w:vAlign w:val="center"/>
                </w:tcPr>
                <w:p w14:paraId="5CC92C4F">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default"/>
                      <w:color w:val="auto"/>
                      <w:szCs w:val="21"/>
                    </w:rPr>
                    <w:t>《环境空气质量标准》</w:t>
                  </w:r>
                  <w:r>
                    <w:rPr>
                      <w:rFonts w:hint="eastAsia"/>
                      <w:color w:val="auto"/>
                      <w:szCs w:val="21"/>
                    </w:rPr>
                    <w:t>（</w:t>
                  </w:r>
                  <w:r>
                    <w:rPr>
                      <w:rFonts w:hint="default"/>
                      <w:color w:val="auto"/>
                      <w:szCs w:val="21"/>
                    </w:rPr>
                    <w:t>GB3095-2012</w:t>
                  </w:r>
                  <w:r>
                    <w:rPr>
                      <w:rFonts w:hint="eastAsia"/>
                      <w:color w:val="auto"/>
                      <w:szCs w:val="21"/>
                    </w:rPr>
                    <w:t>）中</w:t>
                  </w:r>
                  <w:r>
                    <w:rPr>
                      <w:rFonts w:hint="default"/>
                      <w:color w:val="auto"/>
                      <w:szCs w:val="21"/>
                    </w:rPr>
                    <w:t>二</w:t>
                  </w:r>
                  <w:r>
                    <w:rPr>
                      <w:rFonts w:hint="eastAsia"/>
                      <w:color w:val="auto"/>
                      <w:szCs w:val="21"/>
                    </w:rPr>
                    <w:t>类区</w:t>
                  </w:r>
                </w:p>
              </w:tc>
              <w:tc>
                <w:tcPr>
                  <w:tcW w:w="469" w:type="pct"/>
                  <w:vAlign w:val="center"/>
                </w:tcPr>
                <w:p w14:paraId="78FFB7FE">
                  <w:pPr>
                    <w:keepNext w:val="0"/>
                    <w:keepLines w:val="0"/>
                    <w:widowControl/>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NW</w:t>
                  </w:r>
                </w:p>
              </w:tc>
              <w:tc>
                <w:tcPr>
                  <w:tcW w:w="523" w:type="pct"/>
                  <w:vAlign w:val="center"/>
                </w:tcPr>
                <w:p w14:paraId="4CA6591D">
                  <w:pPr>
                    <w:keepNext w:val="0"/>
                    <w:keepLines w:val="0"/>
                    <w:widowControl/>
                    <w:suppressLineNumbers w:val="0"/>
                    <w:spacing w:before="0" w:beforeAutospacing="0" w:after="0" w:afterAutospacing="0"/>
                    <w:ind w:left="0" w:right="0"/>
                    <w:jc w:val="center"/>
                    <w:rPr>
                      <w:rFonts w:hint="default" w:eastAsia="宋体"/>
                      <w:color w:val="auto"/>
                      <w:kern w:val="2"/>
                      <w:sz w:val="21"/>
                      <w:szCs w:val="24"/>
                      <w:highlight w:val="none"/>
                      <w:lang w:val="en-US" w:eastAsia="zh-CN" w:bidi="ar-SA"/>
                    </w:rPr>
                  </w:pPr>
                  <w:r>
                    <w:rPr>
                      <w:rFonts w:hint="eastAsia"/>
                      <w:color w:val="auto"/>
                      <w:kern w:val="2"/>
                      <w:sz w:val="21"/>
                      <w:szCs w:val="24"/>
                      <w:highlight w:val="none"/>
                      <w:lang w:val="en-US" w:eastAsia="zh-CN" w:bidi="ar-SA"/>
                    </w:rPr>
                    <w:t>336</w:t>
                  </w:r>
                </w:p>
              </w:tc>
            </w:tr>
            <w:tr w14:paraId="7A3D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56" w:type="pct"/>
                  <w:vMerge w:val="continue"/>
                  <w:vAlign w:val="center"/>
                </w:tcPr>
                <w:p w14:paraId="0C5275CA">
                  <w:pPr>
                    <w:keepNext w:val="0"/>
                    <w:keepLines w:val="0"/>
                    <w:suppressLineNumbers w:val="0"/>
                    <w:adjustRightInd w:val="0"/>
                    <w:snapToGrid w:val="0"/>
                    <w:spacing w:before="0" w:beforeAutospacing="0" w:after="0" w:afterAutospacing="0"/>
                    <w:ind w:left="-84" w:leftChars="-40" w:right="-84" w:rightChars="-40"/>
                    <w:jc w:val="center"/>
                    <w:rPr>
                      <w:rFonts w:hint="eastAsia"/>
                      <w:color w:val="auto"/>
                      <w:szCs w:val="21"/>
                    </w:rPr>
                  </w:pPr>
                </w:p>
              </w:tc>
              <w:tc>
                <w:tcPr>
                  <w:tcW w:w="630" w:type="pct"/>
                  <w:vAlign w:val="center"/>
                </w:tcPr>
                <w:p w14:paraId="08E24CBE">
                  <w:pPr>
                    <w:keepNext w:val="0"/>
                    <w:keepLines w:val="0"/>
                    <w:suppressLineNumbers w:val="0"/>
                    <w:spacing w:before="0" w:beforeAutospacing="0" w:after="0" w:afterAutospacing="0"/>
                    <w:ind w:left="0" w:right="0"/>
                    <w:jc w:val="center"/>
                    <w:rPr>
                      <w:rFonts w:hint="eastAsia"/>
                      <w:color w:val="auto"/>
                      <w:kern w:val="2"/>
                      <w:sz w:val="21"/>
                      <w:szCs w:val="24"/>
                      <w:lang w:val="en-US" w:eastAsia="zh-CN" w:bidi="ar-SA"/>
                    </w:rPr>
                  </w:pPr>
                  <w:r>
                    <w:rPr>
                      <w:rFonts w:hint="eastAsia"/>
                      <w:color w:val="auto"/>
                      <w:kern w:val="2"/>
                      <w:sz w:val="21"/>
                      <w:szCs w:val="24"/>
                      <w:lang w:val="en-US" w:eastAsia="zh-CN" w:bidi="ar-SA"/>
                    </w:rPr>
                    <w:t>北十里村</w:t>
                  </w:r>
                </w:p>
              </w:tc>
              <w:tc>
                <w:tcPr>
                  <w:tcW w:w="427" w:type="pct"/>
                  <w:vAlign w:val="center"/>
                </w:tcPr>
                <w:p w14:paraId="540BC1D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-379</w:t>
                  </w:r>
                </w:p>
              </w:tc>
              <w:tc>
                <w:tcPr>
                  <w:tcW w:w="437" w:type="pct"/>
                  <w:vAlign w:val="center"/>
                </w:tcPr>
                <w:p w14:paraId="031C4BE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-122</w:t>
                  </w:r>
                </w:p>
              </w:tc>
              <w:tc>
                <w:tcPr>
                  <w:tcW w:w="500" w:type="pct"/>
                  <w:vAlign w:val="center"/>
                </w:tcPr>
                <w:p w14:paraId="3798E902">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居民</w:t>
                  </w:r>
                </w:p>
              </w:tc>
              <w:tc>
                <w:tcPr>
                  <w:tcW w:w="539" w:type="pct"/>
                  <w:vAlign w:val="center"/>
                </w:tcPr>
                <w:p w14:paraId="32E64F3E">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约1500人</w:t>
                  </w:r>
                </w:p>
              </w:tc>
              <w:tc>
                <w:tcPr>
                  <w:tcW w:w="1115" w:type="pct"/>
                  <w:vMerge w:val="continue"/>
                  <w:vAlign w:val="center"/>
                </w:tcPr>
                <w:p w14:paraId="7309E85E">
                  <w:pPr>
                    <w:keepNext w:val="0"/>
                    <w:keepLines w:val="0"/>
                    <w:suppressLineNumbers w:val="0"/>
                    <w:spacing w:before="0" w:beforeAutospacing="0" w:after="0" w:afterAutospacing="0"/>
                    <w:ind w:left="-84" w:leftChars="-40" w:right="-84" w:rightChars="-40"/>
                    <w:jc w:val="center"/>
                    <w:rPr>
                      <w:rFonts w:hint="default"/>
                      <w:color w:val="auto"/>
                      <w:szCs w:val="21"/>
                    </w:rPr>
                  </w:pPr>
                </w:p>
              </w:tc>
              <w:tc>
                <w:tcPr>
                  <w:tcW w:w="469" w:type="pct"/>
                  <w:vAlign w:val="center"/>
                </w:tcPr>
                <w:p w14:paraId="46264F97">
                  <w:pPr>
                    <w:keepNext w:val="0"/>
                    <w:keepLines w:val="0"/>
                    <w:widowControl/>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SW</w:t>
                  </w:r>
                </w:p>
              </w:tc>
              <w:tc>
                <w:tcPr>
                  <w:tcW w:w="523" w:type="pct"/>
                  <w:vAlign w:val="center"/>
                </w:tcPr>
                <w:p w14:paraId="2C321223">
                  <w:pPr>
                    <w:keepNext w:val="0"/>
                    <w:keepLines w:val="0"/>
                    <w:widowControl/>
                    <w:suppressLineNumbers w:val="0"/>
                    <w:spacing w:before="0" w:beforeAutospacing="0" w:after="0" w:afterAutospacing="0"/>
                    <w:ind w:left="0" w:right="0"/>
                    <w:jc w:val="center"/>
                    <w:rPr>
                      <w:rFonts w:hint="default" w:eastAsia="宋体"/>
                      <w:color w:val="auto"/>
                      <w:kern w:val="2"/>
                      <w:sz w:val="21"/>
                      <w:szCs w:val="24"/>
                      <w:highlight w:val="none"/>
                      <w:lang w:val="en-US" w:eastAsia="zh-CN" w:bidi="ar-SA"/>
                    </w:rPr>
                  </w:pPr>
                  <w:r>
                    <w:rPr>
                      <w:rFonts w:hint="eastAsia"/>
                      <w:color w:val="auto"/>
                      <w:kern w:val="2"/>
                      <w:sz w:val="21"/>
                      <w:szCs w:val="24"/>
                      <w:highlight w:val="none"/>
                      <w:lang w:val="en-US" w:eastAsia="zh-CN" w:bidi="ar-SA"/>
                    </w:rPr>
                    <w:t>438</w:t>
                  </w:r>
                </w:p>
              </w:tc>
            </w:tr>
            <w:tr w14:paraId="0F78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Merge w:val="restart"/>
                  <w:vAlign w:val="center"/>
                </w:tcPr>
                <w:p w14:paraId="4B9BAC35">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eastAsia"/>
                      <w:color w:val="auto"/>
                      <w:szCs w:val="21"/>
                    </w:rPr>
                    <w:t>地表水环境</w:t>
                  </w:r>
                </w:p>
              </w:tc>
              <w:tc>
                <w:tcPr>
                  <w:tcW w:w="630" w:type="pct"/>
                  <w:vAlign w:val="center"/>
                </w:tcPr>
                <w:p w14:paraId="518C978E">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引塘沟</w:t>
                  </w:r>
                </w:p>
              </w:tc>
              <w:tc>
                <w:tcPr>
                  <w:tcW w:w="427" w:type="pct"/>
                  <w:vAlign w:val="center"/>
                </w:tcPr>
                <w:p w14:paraId="5948E507">
                  <w:pPr>
                    <w:keepNext w:val="0"/>
                    <w:keepLines w:val="0"/>
                    <w:suppressLineNumbers w:val="0"/>
                    <w:spacing w:before="0" w:beforeAutospacing="0" w:after="0" w:afterAutospacing="0"/>
                    <w:ind w:left="0" w:right="0"/>
                    <w:jc w:val="center"/>
                    <w:rPr>
                      <w:rFonts w:hint="eastAsia"/>
                      <w:color w:val="auto"/>
                    </w:rPr>
                  </w:pPr>
                  <w:r>
                    <w:rPr>
                      <w:rFonts w:hint="eastAsia"/>
                      <w:color w:val="auto"/>
                    </w:rPr>
                    <w:t>/</w:t>
                  </w:r>
                </w:p>
              </w:tc>
              <w:tc>
                <w:tcPr>
                  <w:tcW w:w="437" w:type="pct"/>
                  <w:vAlign w:val="center"/>
                </w:tcPr>
                <w:p w14:paraId="3E7A59B7">
                  <w:pPr>
                    <w:keepNext w:val="0"/>
                    <w:keepLines w:val="0"/>
                    <w:suppressLineNumbers w:val="0"/>
                    <w:spacing w:before="0" w:beforeAutospacing="0" w:after="0" w:afterAutospacing="0"/>
                    <w:ind w:left="0" w:right="0"/>
                    <w:jc w:val="center"/>
                    <w:rPr>
                      <w:rFonts w:hint="eastAsia"/>
                      <w:color w:val="auto"/>
                    </w:rPr>
                  </w:pPr>
                  <w:r>
                    <w:rPr>
                      <w:rFonts w:hint="eastAsia"/>
                      <w:color w:val="auto"/>
                    </w:rPr>
                    <w:t>/</w:t>
                  </w:r>
                </w:p>
              </w:tc>
              <w:tc>
                <w:tcPr>
                  <w:tcW w:w="500" w:type="pct"/>
                  <w:vAlign w:val="center"/>
                </w:tcPr>
                <w:p w14:paraId="38C9A359">
                  <w:pPr>
                    <w:keepNext w:val="0"/>
                    <w:keepLines w:val="0"/>
                    <w:suppressLineNumbers w:val="0"/>
                    <w:spacing w:before="0" w:beforeAutospacing="0" w:after="0" w:afterAutospacing="0"/>
                    <w:ind w:left="0" w:right="0"/>
                    <w:jc w:val="center"/>
                    <w:rPr>
                      <w:rFonts w:hint="default"/>
                      <w:color w:val="auto"/>
                    </w:rPr>
                  </w:pPr>
                  <w:r>
                    <w:rPr>
                      <w:rFonts w:hint="eastAsia"/>
                      <w:color w:val="auto"/>
                    </w:rPr>
                    <w:t>河流</w:t>
                  </w:r>
                </w:p>
              </w:tc>
              <w:tc>
                <w:tcPr>
                  <w:tcW w:w="539" w:type="pct"/>
                  <w:vAlign w:val="center"/>
                </w:tcPr>
                <w:p w14:paraId="0D791B2B">
                  <w:pPr>
                    <w:keepNext w:val="0"/>
                    <w:keepLines w:val="0"/>
                    <w:suppressLineNumbers w:val="0"/>
                    <w:spacing w:before="0" w:beforeAutospacing="0" w:after="0" w:afterAutospacing="0"/>
                    <w:ind w:left="0" w:right="0"/>
                    <w:jc w:val="center"/>
                    <w:rPr>
                      <w:rFonts w:hint="default"/>
                      <w:color w:val="auto"/>
                    </w:rPr>
                  </w:pPr>
                  <w:r>
                    <w:rPr>
                      <w:rFonts w:hint="default"/>
                      <w:color w:val="auto"/>
                      <w:szCs w:val="21"/>
                    </w:rPr>
                    <w:t>水质</w:t>
                  </w:r>
                </w:p>
              </w:tc>
              <w:tc>
                <w:tcPr>
                  <w:tcW w:w="1115" w:type="pct"/>
                  <w:vMerge w:val="restart"/>
                  <w:vAlign w:val="center"/>
                </w:tcPr>
                <w:p w14:paraId="3885647A">
                  <w:pPr>
                    <w:keepNext w:val="0"/>
                    <w:keepLines w:val="0"/>
                    <w:widowControl/>
                    <w:suppressLineNumbers w:val="0"/>
                    <w:spacing w:before="0" w:beforeAutospacing="0" w:after="0" w:afterAutospacing="0"/>
                    <w:ind w:left="-84" w:leftChars="-40" w:right="-84" w:rightChars="-40"/>
                    <w:jc w:val="center"/>
                    <w:rPr>
                      <w:rFonts w:hint="default"/>
                      <w:color w:val="auto"/>
                      <w:szCs w:val="21"/>
                    </w:rPr>
                  </w:pPr>
                  <w:r>
                    <w:rPr>
                      <w:rFonts w:hint="default"/>
                      <w:color w:val="auto"/>
                      <w:szCs w:val="21"/>
                    </w:rPr>
                    <w:t>《地表水环境质量标准》（GB3838-2002）中</w:t>
                  </w:r>
                  <w:r>
                    <w:rPr>
                      <w:rFonts w:hint="eastAsia"/>
                      <w:color w:val="auto"/>
                    </w:rPr>
                    <w:t>I</w:t>
                  </w:r>
                  <w:r>
                    <w:rPr>
                      <w:rFonts w:hint="default"/>
                      <w:color w:val="auto"/>
                    </w:rPr>
                    <w:t>V</w:t>
                  </w:r>
                  <w:r>
                    <w:rPr>
                      <w:rFonts w:hint="default"/>
                      <w:color w:val="auto"/>
                      <w:szCs w:val="21"/>
                    </w:rPr>
                    <w:t>类</w:t>
                  </w:r>
                  <w:r>
                    <w:rPr>
                      <w:rFonts w:hint="eastAsia"/>
                      <w:color w:val="auto"/>
                      <w:szCs w:val="21"/>
                    </w:rPr>
                    <w:t>功能水域</w:t>
                  </w:r>
                </w:p>
              </w:tc>
              <w:tc>
                <w:tcPr>
                  <w:tcW w:w="469" w:type="pct"/>
                  <w:vAlign w:val="center"/>
                </w:tcPr>
                <w:p w14:paraId="24C181FA">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W</w:t>
                  </w:r>
                </w:p>
              </w:tc>
              <w:tc>
                <w:tcPr>
                  <w:tcW w:w="523" w:type="pct"/>
                  <w:vAlign w:val="center"/>
                </w:tcPr>
                <w:p w14:paraId="564B88EF">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180</w:t>
                  </w:r>
                </w:p>
              </w:tc>
            </w:tr>
            <w:tr w14:paraId="6B20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Merge w:val="continue"/>
                  <w:vAlign w:val="center"/>
                </w:tcPr>
                <w:p w14:paraId="37BB89F1">
                  <w:pPr>
                    <w:keepNext w:val="0"/>
                    <w:keepLines w:val="0"/>
                    <w:suppressLineNumbers w:val="0"/>
                    <w:spacing w:before="0" w:beforeAutospacing="0" w:after="0" w:afterAutospacing="0"/>
                    <w:ind w:left="-84" w:leftChars="-40" w:right="-84" w:rightChars="-40"/>
                    <w:jc w:val="center"/>
                    <w:rPr>
                      <w:rFonts w:hint="eastAsia"/>
                      <w:color w:val="auto"/>
                      <w:szCs w:val="21"/>
                    </w:rPr>
                  </w:pPr>
                </w:p>
              </w:tc>
              <w:tc>
                <w:tcPr>
                  <w:tcW w:w="630" w:type="pct"/>
                  <w:vAlign w:val="center"/>
                </w:tcPr>
                <w:p w14:paraId="11125050">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环城河</w:t>
                  </w:r>
                </w:p>
              </w:tc>
              <w:tc>
                <w:tcPr>
                  <w:tcW w:w="427" w:type="pct"/>
                  <w:shd w:val="clear" w:color="auto" w:fill="auto"/>
                  <w:vAlign w:val="center"/>
                </w:tcPr>
                <w:p w14:paraId="3A233D1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w:t>
                  </w:r>
                </w:p>
              </w:tc>
              <w:tc>
                <w:tcPr>
                  <w:tcW w:w="437" w:type="pct"/>
                  <w:shd w:val="clear" w:color="auto" w:fill="auto"/>
                  <w:vAlign w:val="center"/>
                </w:tcPr>
                <w:p w14:paraId="500022B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w:t>
                  </w:r>
                </w:p>
              </w:tc>
              <w:tc>
                <w:tcPr>
                  <w:tcW w:w="500" w:type="pct"/>
                  <w:shd w:val="clear" w:color="auto" w:fill="auto"/>
                  <w:vAlign w:val="center"/>
                </w:tcPr>
                <w:p w14:paraId="06B2497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河流</w:t>
                  </w:r>
                </w:p>
              </w:tc>
              <w:tc>
                <w:tcPr>
                  <w:tcW w:w="539" w:type="pct"/>
                  <w:shd w:val="clear" w:color="auto" w:fill="auto"/>
                  <w:vAlign w:val="center"/>
                </w:tcPr>
                <w:p w14:paraId="09A2777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color w:val="auto"/>
                      <w:szCs w:val="21"/>
                    </w:rPr>
                    <w:t>水质</w:t>
                  </w:r>
                </w:p>
              </w:tc>
              <w:tc>
                <w:tcPr>
                  <w:tcW w:w="1115" w:type="pct"/>
                  <w:vMerge w:val="continue"/>
                  <w:vAlign w:val="center"/>
                </w:tcPr>
                <w:p w14:paraId="591BE953">
                  <w:pPr>
                    <w:keepNext w:val="0"/>
                    <w:keepLines w:val="0"/>
                    <w:widowControl/>
                    <w:suppressLineNumbers w:val="0"/>
                    <w:spacing w:before="0" w:beforeAutospacing="0" w:after="0" w:afterAutospacing="0"/>
                    <w:ind w:left="-84" w:leftChars="-40" w:right="-84" w:rightChars="-40"/>
                    <w:jc w:val="center"/>
                    <w:rPr>
                      <w:rFonts w:hint="default"/>
                      <w:color w:val="auto"/>
                      <w:szCs w:val="21"/>
                    </w:rPr>
                  </w:pPr>
                </w:p>
              </w:tc>
              <w:tc>
                <w:tcPr>
                  <w:tcW w:w="469" w:type="pct"/>
                  <w:vAlign w:val="center"/>
                </w:tcPr>
                <w:p w14:paraId="030125EC">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kern w:val="2"/>
                      <w:sz w:val="21"/>
                      <w:szCs w:val="24"/>
                      <w:lang w:val="en-US" w:eastAsia="zh-CN" w:bidi="ar-SA"/>
                    </w:rPr>
                    <w:t>SW</w:t>
                  </w:r>
                </w:p>
              </w:tc>
              <w:tc>
                <w:tcPr>
                  <w:tcW w:w="523" w:type="pct"/>
                  <w:vAlign w:val="center"/>
                </w:tcPr>
                <w:p w14:paraId="280226C9">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5520</w:t>
                  </w:r>
                </w:p>
              </w:tc>
            </w:tr>
            <w:tr w14:paraId="584D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Merge w:val="continue"/>
                  <w:vAlign w:val="center"/>
                </w:tcPr>
                <w:p w14:paraId="70D916F3">
                  <w:pPr>
                    <w:keepNext w:val="0"/>
                    <w:keepLines w:val="0"/>
                    <w:suppressLineNumbers w:val="0"/>
                    <w:spacing w:before="0" w:beforeAutospacing="0" w:after="0" w:afterAutospacing="0"/>
                    <w:ind w:left="-84" w:leftChars="-40" w:right="-84" w:rightChars="-40"/>
                    <w:jc w:val="center"/>
                    <w:rPr>
                      <w:rFonts w:hint="default"/>
                      <w:color w:val="auto"/>
                      <w:szCs w:val="21"/>
                    </w:rPr>
                  </w:pPr>
                </w:p>
              </w:tc>
              <w:tc>
                <w:tcPr>
                  <w:tcW w:w="630" w:type="pct"/>
                  <w:vAlign w:val="center"/>
                </w:tcPr>
                <w:p w14:paraId="3D691BA7">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eastAsia"/>
                      <w:color w:val="auto"/>
                      <w:szCs w:val="21"/>
                    </w:rPr>
                    <w:t>运粮河</w:t>
                  </w:r>
                </w:p>
              </w:tc>
              <w:tc>
                <w:tcPr>
                  <w:tcW w:w="427" w:type="pct"/>
                  <w:vAlign w:val="center"/>
                </w:tcPr>
                <w:p w14:paraId="621F4F13">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eastAsia"/>
                      <w:color w:val="auto"/>
                      <w:szCs w:val="21"/>
                    </w:rPr>
                    <w:t>/</w:t>
                  </w:r>
                </w:p>
              </w:tc>
              <w:tc>
                <w:tcPr>
                  <w:tcW w:w="437" w:type="pct"/>
                  <w:vAlign w:val="center"/>
                </w:tcPr>
                <w:p w14:paraId="586ADCA8">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eastAsia"/>
                      <w:color w:val="auto"/>
                      <w:szCs w:val="21"/>
                    </w:rPr>
                    <w:t>/</w:t>
                  </w:r>
                </w:p>
              </w:tc>
              <w:tc>
                <w:tcPr>
                  <w:tcW w:w="500" w:type="pct"/>
                  <w:vAlign w:val="center"/>
                </w:tcPr>
                <w:p w14:paraId="76C43CD1">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default"/>
                      <w:color w:val="auto"/>
                      <w:szCs w:val="21"/>
                    </w:rPr>
                    <w:t>河流</w:t>
                  </w:r>
                </w:p>
              </w:tc>
              <w:tc>
                <w:tcPr>
                  <w:tcW w:w="539" w:type="pct"/>
                  <w:vAlign w:val="center"/>
                </w:tcPr>
                <w:p w14:paraId="5CED1AF8">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default"/>
                      <w:color w:val="auto"/>
                      <w:szCs w:val="21"/>
                    </w:rPr>
                    <w:t>水质</w:t>
                  </w:r>
                </w:p>
              </w:tc>
              <w:tc>
                <w:tcPr>
                  <w:tcW w:w="1115" w:type="pct"/>
                  <w:vMerge w:val="continue"/>
                  <w:vAlign w:val="center"/>
                </w:tcPr>
                <w:p w14:paraId="43C03B26">
                  <w:pPr>
                    <w:keepNext w:val="0"/>
                    <w:keepLines w:val="0"/>
                    <w:widowControl/>
                    <w:suppressLineNumbers w:val="0"/>
                    <w:spacing w:before="0" w:beforeAutospacing="0" w:after="0" w:afterAutospacing="0"/>
                    <w:ind w:left="-84" w:leftChars="-40" w:right="-84" w:rightChars="-40"/>
                    <w:jc w:val="center"/>
                    <w:rPr>
                      <w:rFonts w:hint="default"/>
                      <w:color w:val="auto"/>
                      <w:szCs w:val="21"/>
                    </w:rPr>
                  </w:pPr>
                </w:p>
              </w:tc>
              <w:tc>
                <w:tcPr>
                  <w:tcW w:w="469" w:type="pct"/>
                  <w:vAlign w:val="center"/>
                </w:tcPr>
                <w:p w14:paraId="2F76339E">
                  <w:pPr>
                    <w:keepNext w:val="0"/>
                    <w:keepLines w:val="0"/>
                    <w:suppressLineNumbers w:val="0"/>
                    <w:spacing w:before="0" w:beforeAutospacing="0" w:after="0" w:afterAutospacing="0"/>
                    <w:ind w:left="-84" w:leftChars="-40" w:right="-84" w:rightChars="-40"/>
                    <w:jc w:val="center"/>
                    <w:rPr>
                      <w:rFonts w:hint="eastAsia" w:eastAsia="宋体"/>
                      <w:color w:val="auto"/>
                      <w:szCs w:val="21"/>
                      <w:lang w:val="en-US" w:eastAsia="zh-CN"/>
                    </w:rPr>
                  </w:pPr>
                  <w:r>
                    <w:rPr>
                      <w:rFonts w:hint="eastAsia"/>
                      <w:color w:val="auto"/>
                      <w:kern w:val="2"/>
                      <w:sz w:val="21"/>
                      <w:szCs w:val="24"/>
                      <w:lang w:val="en-US" w:eastAsia="zh-CN" w:bidi="ar-SA"/>
                    </w:rPr>
                    <w:t>SW</w:t>
                  </w:r>
                </w:p>
              </w:tc>
              <w:tc>
                <w:tcPr>
                  <w:tcW w:w="523" w:type="pct"/>
                  <w:vAlign w:val="center"/>
                </w:tcPr>
                <w:p w14:paraId="48D9760F">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7720</w:t>
                  </w:r>
                </w:p>
              </w:tc>
            </w:tr>
            <w:tr w14:paraId="3140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shd w:val="clear" w:color="auto" w:fill="auto"/>
                  <w:vAlign w:val="center"/>
                </w:tcPr>
                <w:p w14:paraId="6DA6BC38">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w:t>
                  </w:r>
                </w:p>
                <w:p w14:paraId="6F5D6A4B">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环境</w:t>
                  </w:r>
                </w:p>
              </w:tc>
              <w:tc>
                <w:tcPr>
                  <w:tcW w:w="630" w:type="pct"/>
                  <w:shd w:val="clear" w:color="auto" w:fill="auto"/>
                  <w:vAlign w:val="center"/>
                </w:tcPr>
                <w:p w14:paraId="67BB6B6E">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厂界四周</w:t>
                  </w:r>
                </w:p>
              </w:tc>
              <w:tc>
                <w:tcPr>
                  <w:tcW w:w="427" w:type="pct"/>
                  <w:shd w:val="clear" w:color="auto" w:fill="auto"/>
                  <w:vAlign w:val="center"/>
                </w:tcPr>
                <w:p w14:paraId="404BD858">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p>
              </w:tc>
              <w:tc>
                <w:tcPr>
                  <w:tcW w:w="437" w:type="pct"/>
                  <w:shd w:val="clear" w:color="auto" w:fill="auto"/>
                  <w:vAlign w:val="center"/>
                </w:tcPr>
                <w:p w14:paraId="2D09BD73">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p>
              </w:tc>
              <w:tc>
                <w:tcPr>
                  <w:tcW w:w="500" w:type="pct"/>
                  <w:shd w:val="clear" w:color="auto" w:fill="auto"/>
                  <w:vAlign w:val="center"/>
                </w:tcPr>
                <w:p w14:paraId="6B2E9BE5">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厂界外50m</w:t>
                  </w:r>
                </w:p>
              </w:tc>
              <w:tc>
                <w:tcPr>
                  <w:tcW w:w="539" w:type="pct"/>
                  <w:shd w:val="clear" w:color="auto" w:fill="auto"/>
                  <w:vAlign w:val="center"/>
                </w:tcPr>
                <w:p w14:paraId="102DC600">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声环境</w:t>
                  </w:r>
                </w:p>
              </w:tc>
              <w:tc>
                <w:tcPr>
                  <w:tcW w:w="1115" w:type="pct"/>
                  <w:shd w:val="clear" w:color="auto" w:fill="auto"/>
                  <w:vAlign w:val="center"/>
                </w:tcPr>
                <w:p w14:paraId="306C8817">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《声环境质量标准》（GB3096-2008）中3类声环境功能区</w:t>
                  </w:r>
                </w:p>
              </w:tc>
              <w:tc>
                <w:tcPr>
                  <w:tcW w:w="469" w:type="pct"/>
                  <w:shd w:val="clear" w:color="auto" w:fill="auto"/>
                  <w:vAlign w:val="center"/>
                </w:tcPr>
                <w:p w14:paraId="5FE398AB">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p>
              </w:tc>
              <w:tc>
                <w:tcPr>
                  <w:tcW w:w="523" w:type="pct"/>
                  <w:shd w:val="clear" w:color="auto" w:fill="auto"/>
                  <w:vAlign w:val="center"/>
                </w:tcPr>
                <w:p w14:paraId="2AAB6BC9">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50</w:t>
                  </w:r>
                </w:p>
              </w:tc>
            </w:tr>
          </w:tbl>
          <w:p w14:paraId="6393748A">
            <w:pPr>
              <w:keepNext w:val="0"/>
              <w:keepLines w:val="0"/>
              <w:widowControl/>
              <w:suppressLineNumbers w:val="0"/>
              <w:spacing w:before="0" w:beforeAutospacing="0" w:after="0" w:afterAutospacing="0"/>
              <w:ind w:left="0" w:right="0" w:firstLine="420" w:firstLineChars="200"/>
              <w:jc w:val="left"/>
              <w:rPr>
                <w:rFonts w:hint="default"/>
                <w:bCs/>
                <w:color w:val="auto"/>
                <w:sz w:val="24"/>
              </w:rPr>
            </w:pPr>
            <w:r>
              <w:rPr>
                <w:rFonts w:hint="default"/>
                <w:bCs/>
                <w:color w:val="auto"/>
                <w:szCs w:val="21"/>
              </w:rPr>
              <w:t>注：本项目</w:t>
            </w:r>
            <w:r>
              <w:rPr>
                <w:rFonts w:hint="eastAsia"/>
                <w:bCs/>
                <w:color w:val="auto"/>
                <w:szCs w:val="21"/>
              </w:rPr>
              <w:t>以</w:t>
            </w:r>
            <w:r>
              <w:rPr>
                <w:rFonts w:hint="eastAsia"/>
                <w:bCs/>
                <w:color w:val="auto"/>
                <w:szCs w:val="21"/>
                <w:lang w:val="en-US" w:eastAsia="zh-CN"/>
              </w:rPr>
              <w:t>租赁厂房西北</w:t>
            </w:r>
            <w:r>
              <w:rPr>
                <w:rFonts w:hint="eastAsia"/>
                <w:bCs/>
                <w:color w:val="auto"/>
                <w:szCs w:val="21"/>
              </w:rPr>
              <w:t>角（</w:t>
            </w:r>
            <w:r>
              <w:rPr>
                <w:rFonts w:hint="eastAsia" w:ascii="Times New Roman" w:hAnsi="Times New Roman" w:eastAsia="宋体" w:cs="Times New Roman"/>
                <w:bCs/>
                <w:color w:val="auto"/>
                <w:szCs w:val="21"/>
              </w:rPr>
              <w:t>N</w:t>
            </w:r>
            <w:r>
              <w:rPr>
                <w:rFonts w:hint="eastAsia" w:cs="Times New Roman"/>
                <w:bCs/>
                <w:color w:val="auto"/>
                <w:szCs w:val="21"/>
                <w:lang w:val="en-US" w:eastAsia="zh-CN"/>
              </w:rPr>
              <w:t>116.982610</w:t>
            </w:r>
            <w:r>
              <w:rPr>
                <w:rFonts w:hint="eastAsia" w:ascii="Times New Roman" w:hAnsi="Times New Roman" w:eastAsia="宋体" w:cs="Times New Roman"/>
                <w:bCs/>
                <w:color w:val="auto"/>
                <w:szCs w:val="21"/>
              </w:rPr>
              <w:t>°，E</w:t>
            </w:r>
            <w:r>
              <w:rPr>
                <w:rFonts w:hint="eastAsia" w:cs="Times New Roman"/>
                <w:bCs/>
                <w:color w:val="auto"/>
                <w:szCs w:val="21"/>
                <w:lang w:val="en-US" w:eastAsia="zh-CN"/>
              </w:rPr>
              <w:t>33.698317</w:t>
            </w:r>
            <w:r>
              <w:rPr>
                <w:rFonts w:hint="eastAsia" w:ascii="Times New Roman" w:hAnsi="Times New Roman" w:eastAsia="宋体" w:cs="Times New Roman"/>
                <w:bCs/>
                <w:color w:val="auto"/>
                <w:szCs w:val="21"/>
              </w:rPr>
              <w:t>°</w:t>
            </w:r>
            <w:r>
              <w:rPr>
                <w:rFonts w:hint="eastAsia"/>
                <w:bCs/>
                <w:color w:val="auto"/>
                <w:szCs w:val="21"/>
              </w:rPr>
              <w:t>）为</w:t>
            </w:r>
            <w:r>
              <w:rPr>
                <w:rFonts w:hint="default"/>
                <w:bCs/>
                <w:color w:val="auto"/>
                <w:szCs w:val="21"/>
              </w:rPr>
              <w:t>坐标原点</w:t>
            </w:r>
            <w:r>
              <w:rPr>
                <w:rFonts w:hint="default"/>
                <w:bCs/>
                <w:color w:val="auto"/>
                <w:sz w:val="24"/>
              </w:rPr>
              <w:t>。</w:t>
            </w:r>
          </w:p>
        </w:tc>
      </w:tr>
      <w:tr w14:paraId="2A7F2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81" w:type="dxa"/>
            <w:tcMar>
              <w:left w:w="28" w:type="dxa"/>
              <w:right w:w="28" w:type="dxa"/>
            </w:tcMar>
            <w:vAlign w:val="center"/>
          </w:tcPr>
          <w:p w14:paraId="1225BACE">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污染</w:t>
            </w:r>
          </w:p>
          <w:p w14:paraId="0029209D">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物排</w:t>
            </w:r>
          </w:p>
          <w:p w14:paraId="5B4C91A9">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放控</w:t>
            </w:r>
          </w:p>
          <w:p w14:paraId="62CFE8E2">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制标</w:t>
            </w:r>
          </w:p>
          <w:p w14:paraId="5D1E3320">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b/>
                <w:kern w:val="0"/>
                <w:szCs w:val="21"/>
              </w:rPr>
              <w:t>准</w:t>
            </w:r>
          </w:p>
        </w:tc>
        <w:tc>
          <w:tcPr>
            <w:tcW w:w="9051" w:type="dxa"/>
          </w:tcPr>
          <w:p w14:paraId="4B65CD0A">
            <w:pPr>
              <w:pStyle w:val="31"/>
              <w:keepNext w:val="0"/>
              <w:keepLines w:val="0"/>
              <w:numPr>
                <w:ilvl w:val="0"/>
                <w:numId w:val="14"/>
              </w:numPr>
              <w:suppressLineNumbers w:val="0"/>
              <w:spacing w:before="0" w:beforeAutospacing="0" w:after="0" w:afterAutospacing="0" w:line="360" w:lineRule="auto"/>
              <w:ind w:left="0" w:right="0" w:firstLine="482" w:firstLineChars="200"/>
              <w:rPr>
                <w:rFonts w:hint="default" w:ascii="Times New Roman" w:hAnsi="Times New Roman"/>
                <w:b/>
                <w:kern w:val="2"/>
              </w:rPr>
            </w:pPr>
            <w:r>
              <w:rPr>
                <w:rFonts w:hint="default" w:ascii="Times New Roman" w:hAnsi="Times New Roman"/>
                <w:b/>
                <w:kern w:val="2"/>
              </w:rPr>
              <w:t>废气排放标准</w:t>
            </w:r>
          </w:p>
          <w:p w14:paraId="208C0ACB">
            <w:pPr>
              <w:pStyle w:val="13"/>
              <w:keepNext w:val="0"/>
              <w:keepLines w:val="0"/>
              <w:suppressLineNumbers w:val="0"/>
              <w:spacing w:before="0" w:beforeAutospacing="0" w:after="0" w:afterAutospacing="0" w:line="360" w:lineRule="auto"/>
              <w:ind w:left="0" w:right="0" w:firstLine="480" w:firstLineChars="200"/>
              <w:jc w:val="left"/>
              <w:rPr>
                <w:rFonts w:hint="eastAsia" w:cs="Times New Roman"/>
                <w:color w:val="auto"/>
                <w:kern w:val="0"/>
                <w:sz w:val="24"/>
                <w:szCs w:val="24"/>
                <w:lang w:val="en-US" w:eastAsia="zh-CN"/>
              </w:rPr>
            </w:pPr>
            <w:r>
              <w:rPr>
                <w:rFonts w:hint="eastAsia" w:cs="Times New Roman"/>
                <w:color w:val="auto"/>
                <w:kern w:val="0"/>
                <w:sz w:val="24"/>
                <w:szCs w:val="24"/>
                <w:lang w:val="en-US" w:eastAsia="zh-CN"/>
              </w:rPr>
              <w:t>项目颗粒物排放执行《大气污染物综合排放标准》（GB16297-1996）表2中二级标准限值；天然气燃烧废气排放执行《锅炉大气污染物排放标准》（GB13271-2014）表3中燃气锅炉特别排放限值要求，其中氮氧化物排放浓度执行“安徽省大气办关于印发《安徽省2020年大气污染防治重点工作任务》的通知”（皖大气办【2020】2号）中氮氧化物排放浓度不高于50毫克/立方米的限值要求，标准值见下表：</w:t>
            </w:r>
          </w:p>
          <w:p w14:paraId="1E62DD53">
            <w:pPr>
              <w:keepNext w:val="0"/>
              <w:keepLines w:val="0"/>
              <w:numPr>
                <w:ilvl w:val="0"/>
                <w:numId w:val="13"/>
              </w:numPr>
              <w:suppressLineNumbers w:val="0"/>
              <w:tabs>
                <w:tab w:val="clear" w:pos="0"/>
              </w:tabs>
              <w:spacing w:before="0" w:beforeAutospacing="0" w:after="0" w:afterAutospacing="0" w:line="360" w:lineRule="auto"/>
              <w:ind w:left="0" w:leftChars="0" w:right="0" w:firstLine="0" w:firstLineChars="0"/>
              <w:jc w:val="center"/>
              <w:rPr>
                <w:rFonts w:hint="default" w:ascii="Times New Roman" w:hAnsi="Times New Roman" w:eastAsia="宋体" w:cs="Times New Roman"/>
                <w:b/>
                <w:color w:val="auto"/>
                <w:sz w:val="24"/>
                <w:szCs w:val="32"/>
              </w:rPr>
            </w:pPr>
            <w:r>
              <w:rPr>
                <w:rFonts w:hint="default" w:ascii="Times New Roman" w:hAnsi="Times New Roman" w:eastAsia="宋体" w:cs="Times New Roman"/>
                <w:b/>
                <w:color w:val="auto"/>
                <w:sz w:val="24"/>
                <w:szCs w:val="32"/>
              </w:rPr>
              <w:t>大气污染物综合排放标准限值</w:t>
            </w:r>
          </w:p>
          <w:tbl>
            <w:tblPr>
              <w:tblStyle w:val="35"/>
              <w:tblW w:w="496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28"/>
              <w:gridCol w:w="1875"/>
              <w:gridCol w:w="1811"/>
              <w:gridCol w:w="1159"/>
              <w:gridCol w:w="1337"/>
              <w:gridCol w:w="1569"/>
            </w:tblGrid>
            <w:tr w14:paraId="527D0C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85" w:type="pct"/>
                  <w:vMerge w:val="restart"/>
                  <w:tcBorders>
                    <w:top w:val="single" w:color="auto" w:sz="4" w:space="0"/>
                    <w:left w:val="single" w:color="auto" w:sz="0" w:space="0"/>
                    <w:right w:val="single" w:color="auto" w:sz="4" w:space="0"/>
                  </w:tcBorders>
                  <w:vAlign w:val="center"/>
                </w:tcPr>
                <w:p w14:paraId="2A25DF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污染物</w:t>
                  </w:r>
                </w:p>
              </w:tc>
              <w:tc>
                <w:tcPr>
                  <w:tcW w:w="1067" w:type="pct"/>
                  <w:vMerge w:val="restart"/>
                  <w:tcBorders>
                    <w:top w:val="single" w:color="auto" w:sz="4" w:space="0"/>
                    <w:left w:val="single" w:color="auto" w:sz="4" w:space="0"/>
                    <w:right w:val="single" w:color="auto" w:sz="4" w:space="0"/>
                  </w:tcBorders>
                  <w:vAlign w:val="center"/>
                </w:tcPr>
                <w:p w14:paraId="2E4B0C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最高允许排放浓度（mg/m³）</w:t>
                  </w:r>
                </w:p>
              </w:tc>
              <w:tc>
                <w:tcPr>
                  <w:tcW w:w="1691" w:type="pct"/>
                  <w:gridSpan w:val="2"/>
                  <w:tcBorders>
                    <w:top w:val="single" w:color="auto" w:sz="4" w:space="0"/>
                    <w:left w:val="single" w:color="auto" w:sz="4" w:space="0"/>
                    <w:bottom w:val="single" w:color="auto" w:sz="4" w:space="0"/>
                    <w:right w:val="single" w:color="auto" w:sz="4" w:space="0"/>
                  </w:tcBorders>
                  <w:vAlign w:val="center"/>
                </w:tcPr>
                <w:p w14:paraId="7AA350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最高允许排放速率（kg/h）</w:t>
                  </w:r>
                </w:p>
              </w:tc>
              <w:tc>
                <w:tcPr>
                  <w:tcW w:w="1655" w:type="pct"/>
                  <w:gridSpan w:val="2"/>
                  <w:tcBorders>
                    <w:top w:val="single" w:color="auto" w:sz="4" w:space="0"/>
                    <w:left w:val="single" w:color="auto" w:sz="4" w:space="0"/>
                    <w:right w:val="single" w:color="auto" w:sz="4" w:space="0"/>
                  </w:tcBorders>
                  <w:vAlign w:val="center"/>
                </w:tcPr>
                <w:p w14:paraId="2F92A6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无</w:t>
                  </w:r>
                  <w:r>
                    <w:rPr>
                      <w:rFonts w:hint="default" w:ascii="Times New Roman" w:hAnsi="Times New Roman" w:eastAsia="宋体" w:cs="Times New Roman"/>
                      <w:color w:val="auto"/>
                      <w:kern w:val="0"/>
                      <w:szCs w:val="21"/>
                      <w:highlight w:val="none"/>
                      <w:lang w:val="en-US" w:eastAsia="zh-CN"/>
                    </w:rPr>
                    <w:t>组</w:t>
                  </w:r>
                  <w:r>
                    <w:rPr>
                      <w:rFonts w:hint="default" w:ascii="Times New Roman" w:hAnsi="Times New Roman" w:eastAsia="宋体" w:cs="Times New Roman"/>
                      <w:color w:val="auto"/>
                      <w:kern w:val="0"/>
                      <w:szCs w:val="21"/>
                      <w:highlight w:val="none"/>
                    </w:rPr>
                    <w:t>织排放监控浓度限值</w:t>
                  </w:r>
                </w:p>
              </w:tc>
            </w:tr>
            <w:tr w14:paraId="7FA90F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85" w:type="pct"/>
                  <w:vMerge w:val="continue"/>
                  <w:tcBorders>
                    <w:left w:val="single" w:color="auto" w:sz="0" w:space="0"/>
                    <w:bottom w:val="single" w:color="auto" w:sz="4" w:space="0"/>
                    <w:right w:val="single" w:color="auto" w:sz="4" w:space="0"/>
                  </w:tcBorders>
                  <w:vAlign w:val="center"/>
                </w:tcPr>
                <w:p w14:paraId="67FF13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1067" w:type="pct"/>
                  <w:vMerge w:val="continue"/>
                  <w:tcBorders>
                    <w:left w:val="single" w:color="auto" w:sz="4" w:space="0"/>
                    <w:bottom w:val="single" w:color="auto" w:sz="4" w:space="0"/>
                    <w:right w:val="single" w:color="auto" w:sz="4" w:space="0"/>
                  </w:tcBorders>
                  <w:vAlign w:val="center"/>
                </w:tcPr>
                <w:p w14:paraId="46D027D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1031" w:type="pct"/>
                  <w:tcBorders>
                    <w:top w:val="single" w:color="auto" w:sz="4" w:space="0"/>
                    <w:left w:val="single" w:color="auto" w:sz="4" w:space="0"/>
                    <w:bottom w:val="single" w:color="auto" w:sz="4" w:space="0"/>
                    <w:right w:val="single" w:color="auto" w:sz="4" w:space="0"/>
                  </w:tcBorders>
                  <w:vAlign w:val="center"/>
                </w:tcPr>
                <w:p w14:paraId="126A62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排气筒高度（m）</w:t>
                  </w:r>
                </w:p>
              </w:tc>
              <w:tc>
                <w:tcPr>
                  <w:tcW w:w="660" w:type="pct"/>
                  <w:tcBorders>
                    <w:top w:val="single" w:color="auto" w:sz="4" w:space="0"/>
                    <w:left w:val="single" w:color="auto" w:sz="4" w:space="0"/>
                    <w:bottom w:val="single" w:color="auto" w:sz="4" w:space="0"/>
                    <w:right w:val="single" w:color="auto" w:sz="4" w:space="0"/>
                  </w:tcBorders>
                  <w:vAlign w:val="center"/>
                </w:tcPr>
                <w:p w14:paraId="1D5D9B7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二级</w:t>
                  </w:r>
                </w:p>
              </w:tc>
              <w:tc>
                <w:tcPr>
                  <w:tcW w:w="761" w:type="pct"/>
                  <w:tcBorders>
                    <w:left w:val="single" w:color="auto" w:sz="4" w:space="0"/>
                    <w:bottom w:val="single" w:color="auto" w:sz="4" w:space="0"/>
                    <w:right w:val="single" w:color="auto" w:sz="4" w:space="0"/>
                  </w:tcBorders>
                  <w:vAlign w:val="center"/>
                </w:tcPr>
                <w:p w14:paraId="74D77F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监控点</w:t>
                  </w:r>
                </w:p>
              </w:tc>
              <w:tc>
                <w:tcPr>
                  <w:tcW w:w="893" w:type="pct"/>
                  <w:tcBorders>
                    <w:left w:val="single" w:color="auto" w:sz="4" w:space="0"/>
                    <w:bottom w:val="single" w:color="auto" w:sz="4" w:space="0"/>
                    <w:right w:val="single" w:color="auto" w:sz="4" w:space="0"/>
                  </w:tcBorders>
                  <w:vAlign w:val="center"/>
                </w:tcPr>
                <w:p w14:paraId="405E7F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浓度（mg/m³）</w:t>
                  </w:r>
                </w:p>
              </w:tc>
            </w:tr>
            <w:tr w14:paraId="1CA1B5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85" w:type="pct"/>
                  <w:tcBorders>
                    <w:top w:val="single" w:color="auto" w:sz="4" w:space="0"/>
                    <w:left w:val="single" w:color="auto" w:sz="4" w:space="0"/>
                    <w:bottom w:val="single" w:color="auto" w:sz="4" w:space="0"/>
                    <w:right w:val="single" w:color="auto" w:sz="4" w:space="0"/>
                  </w:tcBorders>
                  <w:vAlign w:val="center"/>
                </w:tcPr>
                <w:p w14:paraId="0FDD1E2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颗粒物</w:t>
                  </w:r>
                </w:p>
              </w:tc>
              <w:tc>
                <w:tcPr>
                  <w:tcW w:w="1067" w:type="pct"/>
                  <w:tcBorders>
                    <w:top w:val="single" w:color="auto" w:sz="4" w:space="0"/>
                    <w:left w:val="single" w:color="auto" w:sz="4" w:space="0"/>
                    <w:bottom w:val="single" w:color="auto" w:sz="4" w:space="0"/>
                    <w:right w:val="single" w:color="auto" w:sz="4" w:space="0"/>
                  </w:tcBorders>
                  <w:vAlign w:val="center"/>
                </w:tcPr>
                <w:p w14:paraId="7B06138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120</w:t>
                  </w:r>
                </w:p>
              </w:tc>
              <w:tc>
                <w:tcPr>
                  <w:tcW w:w="1031" w:type="pct"/>
                  <w:tcBorders>
                    <w:top w:val="single" w:color="auto" w:sz="4" w:space="0"/>
                    <w:left w:val="single" w:color="auto" w:sz="4" w:space="0"/>
                    <w:bottom w:val="single" w:color="auto" w:sz="4" w:space="0"/>
                    <w:right w:val="single" w:color="auto" w:sz="4" w:space="0"/>
                  </w:tcBorders>
                  <w:vAlign w:val="center"/>
                </w:tcPr>
                <w:p w14:paraId="13A12A4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660" w:type="pct"/>
                  <w:tcBorders>
                    <w:top w:val="single" w:color="auto" w:sz="4" w:space="0"/>
                    <w:left w:val="single" w:color="auto" w:sz="4" w:space="0"/>
                    <w:bottom w:val="single" w:color="auto" w:sz="4" w:space="0"/>
                    <w:right w:val="single" w:color="auto" w:sz="4" w:space="0"/>
                  </w:tcBorders>
                  <w:vAlign w:val="center"/>
                </w:tcPr>
                <w:p w14:paraId="5ACF3A9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w:t>
                  </w:r>
                </w:p>
              </w:tc>
              <w:tc>
                <w:tcPr>
                  <w:tcW w:w="761" w:type="pct"/>
                  <w:tcBorders>
                    <w:top w:val="single" w:color="auto" w:sz="4" w:space="0"/>
                    <w:left w:val="single" w:color="auto" w:sz="4" w:space="0"/>
                    <w:bottom w:val="single" w:color="auto" w:sz="4" w:space="0"/>
                    <w:right w:val="single" w:color="auto" w:sz="4" w:space="0"/>
                  </w:tcBorders>
                  <w:vAlign w:val="center"/>
                </w:tcPr>
                <w:p w14:paraId="48FF71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周界外浓度最高点</w:t>
                  </w:r>
                </w:p>
              </w:tc>
              <w:tc>
                <w:tcPr>
                  <w:tcW w:w="893" w:type="pct"/>
                  <w:tcBorders>
                    <w:top w:val="single" w:color="auto" w:sz="4" w:space="0"/>
                    <w:left w:val="single" w:color="auto" w:sz="4" w:space="0"/>
                    <w:bottom w:val="single" w:color="auto" w:sz="4" w:space="0"/>
                    <w:right w:val="single" w:color="auto" w:sz="4" w:space="0"/>
                  </w:tcBorders>
                  <w:vAlign w:val="center"/>
                </w:tcPr>
                <w:p w14:paraId="7C4399F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r>
          </w:tbl>
          <w:p w14:paraId="22CAC215">
            <w:pPr>
              <w:keepNext w:val="0"/>
              <w:keepLines w:val="0"/>
              <w:numPr>
                <w:ilvl w:val="0"/>
                <w:numId w:val="13"/>
              </w:numPr>
              <w:suppressLineNumbers w:val="0"/>
              <w:tabs>
                <w:tab w:val="clear" w:pos="0"/>
              </w:tabs>
              <w:spacing w:before="0" w:beforeAutospacing="0" w:after="0" w:afterAutospacing="0" w:line="360" w:lineRule="auto"/>
              <w:ind w:left="0" w:leftChars="0" w:right="0" w:firstLine="0" w:firstLineChars="0"/>
              <w:jc w:val="center"/>
              <w:rPr>
                <w:rFonts w:hint="default" w:ascii="Times New Roman" w:hAnsi="Times New Roman" w:eastAsia="宋体" w:cs="Times New Roman"/>
                <w:b/>
                <w:color w:val="auto"/>
                <w:sz w:val="24"/>
                <w:szCs w:val="32"/>
              </w:rPr>
            </w:pPr>
            <w:r>
              <w:rPr>
                <w:rFonts w:hint="eastAsia" w:ascii="Times New Roman" w:hAnsi="Times New Roman" w:eastAsia="宋体" w:cs="Times New Roman"/>
                <w:b/>
                <w:color w:val="auto"/>
                <w:sz w:val="24"/>
                <w:szCs w:val="32"/>
                <w:lang w:val="en-US" w:eastAsia="zh-CN"/>
              </w:rPr>
              <w:t>锅炉</w:t>
            </w:r>
            <w:r>
              <w:rPr>
                <w:rFonts w:hint="default" w:ascii="Times New Roman" w:hAnsi="Times New Roman" w:eastAsia="宋体" w:cs="Times New Roman"/>
                <w:b/>
                <w:color w:val="auto"/>
                <w:sz w:val="24"/>
                <w:szCs w:val="32"/>
              </w:rPr>
              <w:t>大气污染物</w:t>
            </w:r>
            <w:r>
              <w:rPr>
                <w:rFonts w:hint="eastAsia" w:ascii="Times New Roman" w:hAnsi="Times New Roman" w:eastAsia="宋体" w:cs="Times New Roman"/>
                <w:b/>
                <w:color w:val="auto"/>
                <w:sz w:val="24"/>
                <w:szCs w:val="32"/>
                <w:lang w:eastAsia="zh-CN"/>
              </w:rPr>
              <w:t>特别</w:t>
            </w:r>
            <w:r>
              <w:rPr>
                <w:rFonts w:hint="default" w:ascii="Times New Roman" w:hAnsi="Times New Roman" w:eastAsia="宋体" w:cs="Times New Roman"/>
                <w:b/>
                <w:color w:val="auto"/>
                <w:sz w:val="24"/>
                <w:szCs w:val="32"/>
              </w:rPr>
              <w:t>排放</w:t>
            </w:r>
            <w:r>
              <w:rPr>
                <w:rFonts w:hint="eastAsia" w:cs="Times New Roman"/>
                <w:b/>
                <w:color w:val="auto"/>
                <w:sz w:val="24"/>
                <w:szCs w:val="32"/>
                <w:lang w:val="en-US" w:eastAsia="zh-CN"/>
              </w:rPr>
              <w:t>限值</w:t>
            </w:r>
            <w:r>
              <w:rPr>
                <w:rFonts w:hint="eastAsia" w:ascii="Times New Roman" w:hAnsi="Times New Roman" w:eastAsia="宋体" w:cs="Times New Roman"/>
                <w:b/>
                <w:color w:val="auto"/>
                <w:sz w:val="24"/>
                <w:szCs w:val="32"/>
              </w:rPr>
              <w:t xml:space="preserve"> </w:t>
            </w:r>
            <w:r>
              <w:rPr>
                <w:rFonts w:hint="eastAsia" w:ascii="Times New Roman" w:hAnsi="Times New Roman" w:eastAsia="宋体" w:cs="Times New Roman"/>
                <w:b/>
                <w:color w:val="auto"/>
                <w:sz w:val="24"/>
                <w:szCs w:val="32"/>
                <w:lang w:val="en-US" w:eastAsia="zh-CN"/>
              </w:rPr>
              <w:t xml:space="preserve"> </w:t>
            </w:r>
            <w:r>
              <w:rPr>
                <w:rFonts w:hint="default" w:ascii="Times New Roman" w:hAnsi="Times New Roman" w:eastAsia="宋体" w:cs="Times New Roman"/>
                <w:b/>
                <w:color w:val="auto"/>
                <w:sz w:val="24"/>
                <w:szCs w:val="32"/>
              </w:rPr>
              <w:t>单位：mg/m³</w:t>
            </w:r>
          </w:p>
          <w:tbl>
            <w:tblPr>
              <w:tblStyle w:val="36"/>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2685"/>
              <w:gridCol w:w="3075"/>
            </w:tblGrid>
            <w:tr w14:paraId="09C0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970" w:type="dxa"/>
                  <w:noWrap w:val="0"/>
                  <w:vAlign w:val="center"/>
                </w:tcPr>
                <w:p w14:paraId="0C0F2034">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污染物项目</w:t>
                  </w:r>
                </w:p>
              </w:tc>
              <w:tc>
                <w:tcPr>
                  <w:tcW w:w="2685" w:type="dxa"/>
                  <w:noWrap w:val="0"/>
                  <w:vAlign w:val="center"/>
                </w:tcPr>
                <w:p w14:paraId="0698C48C">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val="0"/>
                      <w:bCs/>
                      <w:color w:val="auto"/>
                      <w:sz w:val="21"/>
                      <w:szCs w:val="21"/>
                      <w:lang w:val="en-US" w:eastAsia="zh-CN"/>
                    </w:rPr>
                    <w:t>燃气锅炉限值</w:t>
                  </w:r>
                </w:p>
              </w:tc>
              <w:tc>
                <w:tcPr>
                  <w:tcW w:w="3075" w:type="dxa"/>
                  <w:noWrap w:val="0"/>
                  <w:vAlign w:val="center"/>
                </w:tcPr>
                <w:p w14:paraId="7DEB6CA4">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污染物排放监控位置</w:t>
                  </w:r>
                </w:p>
              </w:tc>
            </w:tr>
            <w:tr w14:paraId="0BB9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970" w:type="dxa"/>
                  <w:shd w:val="clear" w:color="auto" w:fill="auto"/>
                  <w:noWrap w:val="0"/>
                  <w:vAlign w:val="center"/>
                </w:tcPr>
                <w:p w14:paraId="37CE0143">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颗粒物</w:t>
                  </w:r>
                </w:p>
              </w:tc>
              <w:tc>
                <w:tcPr>
                  <w:tcW w:w="2685" w:type="dxa"/>
                  <w:shd w:val="clear" w:color="auto" w:fill="auto"/>
                  <w:noWrap w:val="0"/>
                  <w:vAlign w:val="center"/>
                </w:tcPr>
                <w:p w14:paraId="7AF0F473">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20</w:t>
                  </w:r>
                </w:p>
              </w:tc>
              <w:tc>
                <w:tcPr>
                  <w:tcW w:w="3075" w:type="dxa"/>
                  <w:vMerge w:val="restart"/>
                  <w:noWrap w:val="0"/>
                  <w:vAlign w:val="center"/>
                </w:tcPr>
                <w:p w14:paraId="12ABFFF0">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烟囱或烟道</w:t>
                  </w:r>
                </w:p>
              </w:tc>
            </w:tr>
            <w:tr w14:paraId="7AA2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70" w:type="dxa"/>
                  <w:shd w:val="clear" w:color="auto" w:fill="auto"/>
                  <w:noWrap w:val="0"/>
                  <w:vAlign w:val="center"/>
                </w:tcPr>
                <w:p w14:paraId="0854EA7C">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二氧化硫</w:t>
                  </w:r>
                </w:p>
              </w:tc>
              <w:tc>
                <w:tcPr>
                  <w:tcW w:w="2685" w:type="dxa"/>
                  <w:shd w:val="clear" w:color="auto" w:fill="auto"/>
                  <w:noWrap w:val="0"/>
                  <w:vAlign w:val="center"/>
                </w:tcPr>
                <w:p w14:paraId="45D46A1C">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50</w:t>
                  </w:r>
                </w:p>
              </w:tc>
              <w:tc>
                <w:tcPr>
                  <w:tcW w:w="3075" w:type="dxa"/>
                  <w:vMerge w:val="continue"/>
                  <w:noWrap w:val="0"/>
                  <w:vAlign w:val="center"/>
                </w:tcPr>
                <w:p w14:paraId="2C8DA2BD">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p>
              </w:tc>
            </w:tr>
            <w:tr w14:paraId="0FF9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70" w:type="dxa"/>
                  <w:shd w:val="clear" w:color="auto" w:fill="auto"/>
                  <w:noWrap w:val="0"/>
                  <w:vAlign w:val="center"/>
                </w:tcPr>
                <w:p w14:paraId="04988367">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氮氧化物</w:t>
                  </w:r>
                </w:p>
              </w:tc>
              <w:tc>
                <w:tcPr>
                  <w:tcW w:w="2685" w:type="dxa"/>
                  <w:shd w:val="clear" w:color="auto" w:fill="auto"/>
                  <w:noWrap w:val="0"/>
                  <w:vAlign w:val="center"/>
                </w:tcPr>
                <w:p w14:paraId="70EAB35D">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50</w:t>
                  </w:r>
                </w:p>
              </w:tc>
              <w:tc>
                <w:tcPr>
                  <w:tcW w:w="3075" w:type="dxa"/>
                  <w:vMerge w:val="continue"/>
                  <w:noWrap w:val="0"/>
                  <w:vAlign w:val="center"/>
                </w:tcPr>
                <w:p w14:paraId="3F5964FF">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p>
              </w:tc>
            </w:tr>
            <w:tr w14:paraId="30A1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70" w:type="dxa"/>
                  <w:shd w:val="clear" w:color="auto" w:fill="auto"/>
                  <w:noWrap w:val="0"/>
                  <w:vAlign w:val="center"/>
                </w:tcPr>
                <w:p w14:paraId="70DEFF90">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烟气黑度</w:t>
                  </w:r>
                  <w:r>
                    <w:rPr>
                      <w:rFonts w:hint="eastAsia" w:ascii="Times New Roman" w:hAnsi="Times New Roman" w:cs="Times New Roman"/>
                      <w:b w:val="0"/>
                      <w:bCs/>
                      <w:color w:val="auto"/>
                      <w:sz w:val="21"/>
                      <w:szCs w:val="21"/>
                      <w:lang w:val="en-US" w:eastAsia="zh-CN"/>
                    </w:rPr>
                    <w:t>（林格曼黑度，级）</w:t>
                  </w:r>
                </w:p>
              </w:tc>
              <w:tc>
                <w:tcPr>
                  <w:tcW w:w="2685" w:type="dxa"/>
                  <w:shd w:val="clear" w:color="auto" w:fill="auto"/>
                  <w:noWrap w:val="0"/>
                  <w:vAlign w:val="center"/>
                </w:tcPr>
                <w:p w14:paraId="405FE600">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w:t>
                  </w:r>
                </w:p>
              </w:tc>
              <w:tc>
                <w:tcPr>
                  <w:tcW w:w="3075" w:type="dxa"/>
                  <w:noWrap w:val="0"/>
                  <w:vAlign w:val="center"/>
                </w:tcPr>
                <w:p w14:paraId="440979E3">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烟囱排放口</w:t>
                  </w:r>
                </w:p>
              </w:tc>
            </w:tr>
          </w:tbl>
          <w:p w14:paraId="0DE666A1">
            <w:pPr>
              <w:pStyle w:val="13"/>
              <w:keepNext w:val="0"/>
              <w:keepLines w:val="0"/>
              <w:suppressLineNumbers w:val="0"/>
              <w:spacing w:before="0" w:beforeAutospacing="0" w:after="0" w:afterAutospacing="0" w:line="360" w:lineRule="auto"/>
              <w:ind w:left="0" w:right="0" w:firstLine="482" w:firstLineChars="200"/>
              <w:jc w:val="left"/>
              <w:rPr>
                <w:rFonts w:hint="default"/>
                <w:b/>
                <w:bCs/>
                <w:sz w:val="24"/>
                <w:szCs w:val="24"/>
              </w:rPr>
            </w:pPr>
            <w:r>
              <w:rPr>
                <w:rFonts w:hint="default"/>
                <w:b/>
                <w:bCs/>
                <w:sz w:val="24"/>
                <w:szCs w:val="24"/>
              </w:rPr>
              <w:t>2、废水排放标准</w:t>
            </w:r>
          </w:p>
          <w:p w14:paraId="310E30D1">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i w:val="0"/>
                <w:iCs w:val="0"/>
                <w:caps w:val="0"/>
                <w:color w:val="auto"/>
                <w:spacing w:val="0"/>
                <w:sz w:val="24"/>
                <w:szCs w:val="24"/>
                <w:lang w:val="en-US" w:eastAsia="zh-CN"/>
              </w:rPr>
            </w:pPr>
            <w:r>
              <w:rPr>
                <w:rFonts w:hint="default" w:ascii="Times New Roman" w:hAnsi="Times New Roman" w:eastAsia="宋体" w:cs="Times New Roman"/>
                <w:i w:val="0"/>
                <w:iCs w:val="0"/>
                <w:caps w:val="0"/>
                <w:spacing w:val="0"/>
                <w:sz w:val="24"/>
                <w:szCs w:val="24"/>
                <w:lang w:val="en-US" w:eastAsia="zh-CN"/>
              </w:rPr>
              <w:t>本</w:t>
            </w:r>
            <w:r>
              <w:rPr>
                <w:rFonts w:hint="eastAsia" w:ascii="Times New Roman" w:hAnsi="Times New Roman" w:eastAsia="宋体" w:cs="Times New Roman"/>
                <w:i w:val="0"/>
                <w:iCs w:val="0"/>
                <w:caps w:val="0"/>
                <w:spacing w:val="0"/>
                <w:sz w:val="24"/>
                <w:szCs w:val="24"/>
                <w:lang w:val="en-US" w:eastAsia="zh-CN"/>
              </w:rPr>
              <w:t>项目</w:t>
            </w:r>
            <w:r>
              <w:rPr>
                <w:rFonts w:hint="default" w:ascii="Times New Roman" w:hAnsi="Times New Roman" w:eastAsia="宋体" w:cs="Times New Roman"/>
                <w:i w:val="0"/>
                <w:iCs w:val="0"/>
                <w:caps w:val="0"/>
                <w:spacing w:val="0"/>
                <w:sz w:val="24"/>
                <w:szCs w:val="24"/>
                <w:lang w:val="en-US" w:eastAsia="zh-CN"/>
              </w:rPr>
              <w:t>生活污水经</w:t>
            </w:r>
            <w:r>
              <w:rPr>
                <w:rFonts w:hint="eastAsia" w:ascii="Times New Roman" w:hAnsi="Times New Roman" w:eastAsia="宋体" w:cs="Times New Roman"/>
                <w:i w:val="0"/>
                <w:iCs w:val="0"/>
                <w:caps w:val="0"/>
                <w:spacing w:val="0"/>
                <w:sz w:val="24"/>
                <w:szCs w:val="24"/>
                <w:lang w:val="en-US" w:eastAsia="zh-CN"/>
              </w:rPr>
              <w:t>“</w:t>
            </w:r>
            <w:r>
              <w:rPr>
                <w:rFonts w:hint="default" w:ascii="Times New Roman" w:hAnsi="Times New Roman" w:eastAsia="宋体" w:cs="Times New Roman"/>
                <w:i w:val="0"/>
                <w:iCs w:val="0"/>
                <w:caps w:val="0"/>
                <w:spacing w:val="0"/>
                <w:sz w:val="24"/>
                <w:szCs w:val="24"/>
                <w:lang w:val="en-US" w:eastAsia="zh-CN"/>
              </w:rPr>
              <w:t>隔油池+化粪池</w:t>
            </w:r>
            <w:r>
              <w:rPr>
                <w:rFonts w:hint="eastAsia" w:ascii="Times New Roman" w:hAnsi="Times New Roman" w:eastAsia="宋体" w:cs="Times New Roman"/>
                <w:i w:val="0"/>
                <w:iCs w:val="0"/>
                <w:caps w:val="0"/>
                <w:spacing w:val="0"/>
                <w:sz w:val="24"/>
                <w:szCs w:val="24"/>
                <w:lang w:val="en-US" w:eastAsia="zh-CN"/>
              </w:rPr>
              <w:t>”</w:t>
            </w:r>
            <w:r>
              <w:rPr>
                <w:rFonts w:hint="default" w:ascii="Times New Roman" w:hAnsi="Times New Roman" w:eastAsia="宋体" w:cs="Times New Roman"/>
                <w:i w:val="0"/>
                <w:iCs w:val="0"/>
                <w:caps w:val="0"/>
                <w:spacing w:val="0"/>
                <w:sz w:val="24"/>
                <w:szCs w:val="24"/>
                <w:lang w:val="en-US" w:eastAsia="zh-CN"/>
              </w:rPr>
              <w:t>处理后，</w:t>
            </w:r>
            <w:r>
              <w:rPr>
                <w:rFonts w:hint="eastAsia" w:cs="Times New Roman"/>
                <w:i w:val="0"/>
                <w:iCs w:val="0"/>
                <w:caps w:val="0"/>
                <w:spacing w:val="0"/>
                <w:sz w:val="24"/>
                <w:szCs w:val="24"/>
                <w:lang w:val="en-US" w:eastAsia="zh-CN"/>
              </w:rPr>
              <w:t>生产废水</w:t>
            </w:r>
            <w:r>
              <w:rPr>
                <w:rFonts w:hint="default" w:ascii="Times New Roman" w:hAnsi="Times New Roman" w:eastAsia="宋体" w:cs="Times New Roman"/>
                <w:i w:val="0"/>
                <w:iCs w:val="0"/>
                <w:caps w:val="0"/>
                <w:spacing w:val="0"/>
                <w:sz w:val="24"/>
                <w:szCs w:val="24"/>
                <w:lang w:val="en-US" w:eastAsia="zh-CN"/>
              </w:rPr>
              <w:t>经</w:t>
            </w:r>
            <w:r>
              <w:rPr>
                <w:rFonts w:hint="eastAsia" w:cs="Times New Roman"/>
                <w:i w:val="0"/>
                <w:iCs w:val="0"/>
                <w:caps w:val="0"/>
                <w:spacing w:val="0"/>
                <w:sz w:val="24"/>
                <w:szCs w:val="24"/>
                <w:lang w:val="en-US" w:eastAsia="zh-CN"/>
              </w:rPr>
              <w:t>企业污水处理设施</w:t>
            </w:r>
            <w:r>
              <w:rPr>
                <w:rFonts w:hint="default" w:ascii="Times New Roman" w:hAnsi="Times New Roman" w:eastAsia="宋体" w:cs="Times New Roman"/>
                <w:i w:val="0"/>
                <w:iCs w:val="0"/>
                <w:caps w:val="0"/>
                <w:spacing w:val="0"/>
                <w:sz w:val="24"/>
                <w:szCs w:val="24"/>
                <w:lang w:val="en-US" w:eastAsia="zh-CN"/>
              </w:rPr>
              <w:t>处理后与纯水制备废水、</w:t>
            </w:r>
            <w:r>
              <w:rPr>
                <w:rFonts w:hint="eastAsia" w:cs="Times New Roman"/>
                <w:i w:val="0"/>
                <w:iCs w:val="0"/>
                <w:caps w:val="0"/>
                <w:spacing w:val="0"/>
                <w:sz w:val="24"/>
                <w:szCs w:val="24"/>
                <w:lang w:val="en-US" w:eastAsia="zh-CN"/>
              </w:rPr>
              <w:t>处理后的</w:t>
            </w:r>
            <w:r>
              <w:rPr>
                <w:rFonts w:hint="default" w:ascii="Times New Roman" w:hAnsi="Times New Roman" w:eastAsia="宋体" w:cs="Times New Roman"/>
                <w:i w:val="0"/>
                <w:iCs w:val="0"/>
                <w:caps w:val="0"/>
                <w:spacing w:val="0"/>
                <w:sz w:val="24"/>
                <w:szCs w:val="24"/>
                <w:lang w:val="en-US" w:eastAsia="zh-CN"/>
              </w:rPr>
              <w:t>生活污水一起接管排放至汴北污水处理厂。废水执行《污水综合排放标准》（GB8978-1996）中的三级标准</w:t>
            </w:r>
            <w:r>
              <w:rPr>
                <w:rFonts w:hint="eastAsia" w:cs="Times New Roman"/>
                <w:i w:val="0"/>
                <w:iCs w:val="0"/>
                <w:caps w:val="0"/>
                <w:spacing w:val="0"/>
                <w:sz w:val="24"/>
                <w:szCs w:val="24"/>
                <w:lang w:val="en-US" w:eastAsia="zh-CN"/>
              </w:rPr>
              <w:t>及</w:t>
            </w:r>
            <w:r>
              <w:rPr>
                <w:rFonts w:hint="default" w:ascii="Times New Roman" w:hAnsi="Times New Roman" w:eastAsia="宋体" w:cs="Times New Roman"/>
                <w:i w:val="0"/>
                <w:iCs w:val="0"/>
                <w:caps w:val="0"/>
                <w:spacing w:val="0"/>
                <w:sz w:val="24"/>
                <w:szCs w:val="24"/>
                <w:lang w:val="en-US" w:eastAsia="zh-CN"/>
              </w:rPr>
              <w:t>《食品加工制造业水污染物排放标准》（GB 46817-2025）表1中水污染物排放限值，并满足汴北污水处理厂的接管要求</w:t>
            </w:r>
            <w:r>
              <w:rPr>
                <w:rFonts w:hint="eastAsia" w:ascii="Times New Roman" w:hAnsi="Times New Roman" w:eastAsia="宋体" w:cs="Times New Roman"/>
                <w:i w:val="0"/>
                <w:iCs w:val="0"/>
                <w:caps w:val="0"/>
                <w:spacing w:val="0"/>
                <w:sz w:val="24"/>
                <w:szCs w:val="24"/>
                <w:lang w:val="en-US" w:eastAsia="zh-CN"/>
              </w:rPr>
              <w:t>，</w:t>
            </w:r>
            <w:r>
              <w:rPr>
                <w:rFonts w:hint="eastAsia" w:ascii="Times New Roman" w:hAnsi="Times New Roman" w:eastAsia="宋体" w:cs="Times New Roman"/>
                <w:i w:val="0"/>
                <w:iCs w:val="0"/>
                <w:caps w:val="0"/>
                <w:color w:val="auto"/>
                <w:spacing w:val="0"/>
                <w:sz w:val="24"/>
                <w:szCs w:val="24"/>
                <w:lang w:val="en-US" w:eastAsia="zh-CN"/>
              </w:rPr>
              <w:t>汴北污水处理厂出水总氮满足《城镇污水处理厂污染物排放标准》(GB18918-2002)中一级A标准；其他因子满足《地表水环境质量标准》(GB3838-2002)V类标准限值及《城镇污水处理厂污染物排放标准》(GB18918-2002)中一级A标准限值。</w:t>
            </w:r>
          </w:p>
          <w:p w14:paraId="06FDB425">
            <w:pPr>
              <w:keepNext w:val="0"/>
              <w:keepLines w:val="0"/>
              <w:numPr>
                <w:ilvl w:val="0"/>
                <w:numId w:val="13"/>
              </w:numPr>
              <w:suppressLineNumbers w:val="0"/>
              <w:tabs>
                <w:tab w:val="clear" w:pos="0"/>
              </w:tabs>
              <w:spacing w:before="0" w:beforeAutospacing="0" w:after="0" w:afterAutospacing="0" w:line="360" w:lineRule="auto"/>
              <w:ind w:left="0" w:leftChars="0" w:right="0" w:firstLine="0" w:firstLineChars="0"/>
              <w:jc w:val="center"/>
              <w:rPr>
                <w:rFonts w:hint="eastAsia" w:ascii="Times New Roman" w:hAnsi="Times New Roman" w:eastAsia="宋体" w:cs="Times New Roman"/>
                <w:b/>
                <w:color w:val="auto"/>
                <w:sz w:val="24"/>
                <w:szCs w:val="32"/>
                <w:lang w:val="en-US" w:eastAsia="zh-CN"/>
              </w:rPr>
            </w:pPr>
            <w:r>
              <w:rPr>
                <w:rFonts w:hint="eastAsia" w:ascii="Times New Roman" w:hAnsi="Times New Roman" w:eastAsia="宋体" w:cs="Times New Roman"/>
                <w:b/>
                <w:color w:val="auto"/>
                <w:sz w:val="24"/>
                <w:szCs w:val="32"/>
                <w:lang w:val="en-US" w:eastAsia="zh-CN"/>
              </w:rPr>
              <w:t>项目废水排放标准</w:t>
            </w:r>
          </w:p>
          <w:tbl>
            <w:tblPr>
              <w:tblStyle w:val="36"/>
              <w:tblW w:w="88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5"/>
              <w:gridCol w:w="690"/>
              <w:gridCol w:w="850"/>
              <w:gridCol w:w="850"/>
              <w:gridCol w:w="794"/>
              <w:gridCol w:w="680"/>
              <w:gridCol w:w="789"/>
              <w:gridCol w:w="915"/>
            </w:tblGrid>
            <w:tr w14:paraId="4394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5" w:type="dxa"/>
                  <w:vAlign w:val="center"/>
                </w:tcPr>
                <w:p w14:paraId="33AF5D9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类别</w:t>
                  </w:r>
                </w:p>
              </w:tc>
              <w:tc>
                <w:tcPr>
                  <w:tcW w:w="690" w:type="dxa"/>
                  <w:shd w:val="clear" w:color="auto" w:fill="auto"/>
                  <w:vAlign w:val="center"/>
                </w:tcPr>
                <w:p w14:paraId="4C47A7C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pH</w:t>
                  </w:r>
                </w:p>
              </w:tc>
              <w:tc>
                <w:tcPr>
                  <w:tcW w:w="850" w:type="dxa"/>
                  <w:shd w:val="clear" w:color="auto" w:fill="auto"/>
                  <w:vAlign w:val="center"/>
                </w:tcPr>
                <w:p w14:paraId="59E0D9B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COD</w:t>
                  </w:r>
                </w:p>
              </w:tc>
              <w:tc>
                <w:tcPr>
                  <w:tcW w:w="850" w:type="dxa"/>
                  <w:shd w:val="clear" w:color="auto" w:fill="auto"/>
                  <w:vAlign w:val="center"/>
                </w:tcPr>
                <w:p w14:paraId="5C8A659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BOD</w:t>
                  </w:r>
                  <w:r>
                    <w:rPr>
                      <w:rFonts w:hint="default" w:ascii="Times New Roman" w:hAnsi="Times New Roman" w:eastAsia="宋体" w:cs="Times New Roman"/>
                      <w:kern w:val="0"/>
                      <w:szCs w:val="21"/>
                      <w:vertAlign w:val="subscript"/>
                    </w:rPr>
                    <w:t>5</w:t>
                  </w:r>
                </w:p>
              </w:tc>
              <w:tc>
                <w:tcPr>
                  <w:tcW w:w="794" w:type="dxa"/>
                  <w:shd w:val="clear" w:color="auto" w:fill="auto"/>
                  <w:vAlign w:val="center"/>
                </w:tcPr>
                <w:p w14:paraId="60E81C8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SS</w:t>
                  </w:r>
                </w:p>
              </w:tc>
              <w:tc>
                <w:tcPr>
                  <w:tcW w:w="680" w:type="dxa"/>
                  <w:shd w:val="clear" w:color="auto" w:fill="auto"/>
                  <w:vAlign w:val="center"/>
                </w:tcPr>
                <w:p w14:paraId="5B85DF8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氨氮</w:t>
                  </w:r>
                </w:p>
              </w:tc>
              <w:tc>
                <w:tcPr>
                  <w:tcW w:w="789" w:type="dxa"/>
                  <w:shd w:val="clear" w:color="auto" w:fill="auto"/>
                  <w:vAlign w:val="center"/>
                </w:tcPr>
                <w:p w14:paraId="0D2D5C0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TP</w:t>
                  </w:r>
                </w:p>
              </w:tc>
              <w:tc>
                <w:tcPr>
                  <w:tcW w:w="915" w:type="dxa"/>
                  <w:shd w:val="clear" w:color="auto" w:fill="auto"/>
                  <w:vAlign w:val="center"/>
                </w:tcPr>
                <w:p w14:paraId="50C4A6B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动植物油</w:t>
                  </w:r>
                </w:p>
              </w:tc>
            </w:tr>
            <w:tr w14:paraId="712B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vAlign w:val="center"/>
                </w:tcPr>
                <w:p w14:paraId="2783C2C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GB8978-1996 三级标准</w:t>
                  </w:r>
                </w:p>
              </w:tc>
              <w:tc>
                <w:tcPr>
                  <w:tcW w:w="690" w:type="dxa"/>
                  <w:shd w:val="clear" w:color="auto" w:fill="auto"/>
                  <w:vAlign w:val="center"/>
                </w:tcPr>
                <w:p w14:paraId="5BCDB96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6-9</w:t>
                  </w:r>
                </w:p>
              </w:tc>
              <w:tc>
                <w:tcPr>
                  <w:tcW w:w="850" w:type="dxa"/>
                  <w:shd w:val="clear" w:color="auto" w:fill="auto"/>
                  <w:vAlign w:val="center"/>
                </w:tcPr>
                <w:p w14:paraId="3FAF0C8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500</w:t>
                  </w:r>
                </w:p>
              </w:tc>
              <w:tc>
                <w:tcPr>
                  <w:tcW w:w="850" w:type="dxa"/>
                  <w:shd w:val="clear" w:color="auto" w:fill="auto"/>
                  <w:vAlign w:val="center"/>
                </w:tcPr>
                <w:p w14:paraId="70AEB9C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300</w:t>
                  </w:r>
                </w:p>
              </w:tc>
              <w:tc>
                <w:tcPr>
                  <w:tcW w:w="794" w:type="dxa"/>
                  <w:shd w:val="clear" w:color="auto" w:fill="auto"/>
                  <w:vAlign w:val="center"/>
                </w:tcPr>
                <w:p w14:paraId="2017F2B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400</w:t>
                  </w:r>
                </w:p>
              </w:tc>
              <w:tc>
                <w:tcPr>
                  <w:tcW w:w="680" w:type="dxa"/>
                  <w:shd w:val="clear" w:color="auto" w:fill="auto"/>
                  <w:vAlign w:val="center"/>
                </w:tcPr>
                <w:p w14:paraId="52189E8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w:t>
                  </w:r>
                </w:p>
              </w:tc>
              <w:tc>
                <w:tcPr>
                  <w:tcW w:w="789" w:type="dxa"/>
                  <w:shd w:val="clear" w:color="auto" w:fill="auto"/>
                  <w:vAlign w:val="center"/>
                </w:tcPr>
                <w:p w14:paraId="3CBD620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915" w:type="dxa"/>
                  <w:shd w:val="clear" w:color="auto" w:fill="auto"/>
                  <w:vAlign w:val="center"/>
                </w:tcPr>
                <w:p w14:paraId="1B684C3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100</w:t>
                  </w:r>
                </w:p>
              </w:tc>
            </w:tr>
            <w:tr w14:paraId="7090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vAlign w:val="center"/>
                </w:tcPr>
                <w:p w14:paraId="4C33944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GB 46817-2025表1中排放限值</w:t>
                  </w:r>
                </w:p>
              </w:tc>
              <w:tc>
                <w:tcPr>
                  <w:tcW w:w="690" w:type="dxa"/>
                  <w:shd w:val="clear" w:color="auto" w:fill="auto"/>
                  <w:vAlign w:val="center"/>
                </w:tcPr>
                <w:p w14:paraId="4F010C1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6-9</w:t>
                  </w:r>
                </w:p>
              </w:tc>
              <w:tc>
                <w:tcPr>
                  <w:tcW w:w="850" w:type="dxa"/>
                  <w:shd w:val="clear" w:color="auto" w:fill="auto"/>
                  <w:vAlign w:val="center"/>
                </w:tcPr>
                <w:p w14:paraId="7B48AD6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500</w:t>
                  </w:r>
                </w:p>
              </w:tc>
              <w:tc>
                <w:tcPr>
                  <w:tcW w:w="850" w:type="dxa"/>
                  <w:shd w:val="clear" w:color="auto" w:fill="auto"/>
                  <w:vAlign w:val="center"/>
                </w:tcPr>
                <w:p w14:paraId="4F0666F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350</w:t>
                  </w:r>
                </w:p>
              </w:tc>
              <w:tc>
                <w:tcPr>
                  <w:tcW w:w="794" w:type="dxa"/>
                  <w:shd w:val="clear" w:color="auto" w:fill="auto"/>
                  <w:vAlign w:val="center"/>
                </w:tcPr>
                <w:p w14:paraId="27104E0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400</w:t>
                  </w:r>
                </w:p>
              </w:tc>
              <w:tc>
                <w:tcPr>
                  <w:tcW w:w="680" w:type="dxa"/>
                  <w:shd w:val="clear" w:color="auto" w:fill="auto"/>
                  <w:vAlign w:val="center"/>
                </w:tcPr>
                <w:p w14:paraId="30F4CA5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45</w:t>
                  </w:r>
                </w:p>
              </w:tc>
              <w:tc>
                <w:tcPr>
                  <w:tcW w:w="789" w:type="dxa"/>
                  <w:shd w:val="clear" w:color="auto" w:fill="auto"/>
                  <w:vAlign w:val="center"/>
                </w:tcPr>
                <w:p w14:paraId="06D45E2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8</w:t>
                  </w:r>
                </w:p>
              </w:tc>
              <w:tc>
                <w:tcPr>
                  <w:tcW w:w="915" w:type="dxa"/>
                  <w:shd w:val="clear" w:color="auto" w:fill="auto"/>
                  <w:vAlign w:val="center"/>
                </w:tcPr>
                <w:p w14:paraId="3A41DAC2">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w:t>
                  </w:r>
                </w:p>
              </w:tc>
            </w:tr>
            <w:tr w14:paraId="3692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vAlign w:val="center"/>
                </w:tcPr>
                <w:p w14:paraId="5D7E42C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汴北</w:t>
                  </w:r>
                  <w:r>
                    <w:rPr>
                      <w:rFonts w:hint="default" w:ascii="Times New Roman" w:hAnsi="Times New Roman" w:eastAsia="宋体" w:cs="Times New Roman"/>
                      <w:kern w:val="0"/>
                      <w:szCs w:val="21"/>
                      <w:lang w:val="en-US" w:eastAsia="zh-CN"/>
                    </w:rPr>
                    <w:t>污水处理厂接管标准</w:t>
                  </w:r>
                </w:p>
              </w:tc>
              <w:tc>
                <w:tcPr>
                  <w:tcW w:w="690" w:type="dxa"/>
                  <w:shd w:val="clear" w:color="auto" w:fill="auto"/>
                  <w:vAlign w:val="center"/>
                </w:tcPr>
                <w:p w14:paraId="183F7A7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6-9</w:t>
                  </w:r>
                </w:p>
              </w:tc>
              <w:tc>
                <w:tcPr>
                  <w:tcW w:w="850" w:type="dxa"/>
                  <w:shd w:val="clear" w:color="auto" w:fill="auto"/>
                  <w:vAlign w:val="center"/>
                </w:tcPr>
                <w:p w14:paraId="3580B49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360</w:t>
                  </w:r>
                </w:p>
              </w:tc>
              <w:tc>
                <w:tcPr>
                  <w:tcW w:w="850" w:type="dxa"/>
                  <w:shd w:val="clear" w:color="auto" w:fill="auto"/>
                  <w:vAlign w:val="center"/>
                </w:tcPr>
                <w:p w14:paraId="2446813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180</w:t>
                  </w:r>
                </w:p>
              </w:tc>
              <w:tc>
                <w:tcPr>
                  <w:tcW w:w="794" w:type="dxa"/>
                  <w:shd w:val="clear" w:color="auto" w:fill="auto"/>
                  <w:vAlign w:val="center"/>
                </w:tcPr>
                <w:p w14:paraId="5FE55AA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220</w:t>
                  </w:r>
                </w:p>
              </w:tc>
              <w:tc>
                <w:tcPr>
                  <w:tcW w:w="680" w:type="dxa"/>
                  <w:shd w:val="clear" w:color="auto" w:fill="auto"/>
                  <w:vAlign w:val="center"/>
                </w:tcPr>
                <w:p w14:paraId="5996B67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35</w:t>
                  </w:r>
                </w:p>
              </w:tc>
              <w:tc>
                <w:tcPr>
                  <w:tcW w:w="789" w:type="dxa"/>
                  <w:shd w:val="clear" w:color="auto" w:fill="auto"/>
                  <w:vAlign w:val="center"/>
                </w:tcPr>
                <w:p w14:paraId="5A17A47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8</w:t>
                  </w:r>
                </w:p>
              </w:tc>
              <w:tc>
                <w:tcPr>
                  <w:tcW w:w="915" w:type="dxa"/>
                  <w:shd w:val="clear" w:color="auto" w:fill="auto"/>
                  <w:vAlign w:val="center"/>
                </w:tcPr>
                <w:p w14:paraId="3E99B6C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w:t>
                  </w:r>
                </w:p>
              </w:tc>
            </w:tr>
            <w:tr w14:paraId="3A7F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85" w:type="dxa"/>
                  <w:vAlign w:val="center"/>
                </w:tcPr>
                <w:p w14:paraId="3727C31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本项目执行标准</w:t>
                  </w:r>
                </w:p>
              </w:tc>
              <w:tc>
                <w:tcPr>
                  <w:tcW w:w="690" w:type="dxa"/>
                  <w:shd w:val="clear" w:color="auto" w:fill="auto"/>
                  <w:vAlign w:val="center"/>
                </w:tcPr>
                <w:p w14:paraId="364FA59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6-9</w:t>
                  </w:r>
                </w:p>
              </w:tc>
              <w:tc>
                <w:tcPr>
                  <w:tcW w:w="850" w:type="dxa"/>
                  <w:shd w:val="clear" w:color="auto" w:fill="auto"/>
                  <w:vAlign w:val="center"/>
                </w:tcPr>
                <w:p w14:paraId="1E6BDFD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360</w:t>
                  </w:r>
                </w:p>
              </w:tc>
              <w:tc>
                <w:tcPr>
                  <w:tcW w:w="850" w:type="dxa"/>
                  <w:shd w:val="clear" w:color="auto" w:fill="auto"/>
                  <w:vAlign w:val="center"/>
                </w:tcPr>
                <w:p w14:paraId="2BCEF5C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180</w:t>
                  </w:r>
                </w:p>
              </w:tc>
              <w:tc>
                <w:tcPr>
                  <w:tcW w:w="794" w:type="dxa"/>
                  <w:shd w:val="clear" w:color="auto" w:fill="auto"/>
                  <w:vAlign w:val="center"/>
                </w:tcPr>
                <w:p w14:paraId="72C2201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220</w:t>
                  </w:r>
                </w:p>
              </w:tc>
              <w:tc>
                <w:tcPr>
                  <w:tcW w:w="680" w:type="dxa"/>
                  <w:shd w:val="clear" w:color="auto" w:fill="auto"/>
                  <w:vAlign w:val="center"/>
                </w:tcPr>
                <w:p w14:paraId="1028827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35</w:t>
                  </w:r>
                </w:p>
              </w:tc>
              <w:tc>
                <w:tcPr>
                  <w:tcW w:w="789" w:type="dxa"/>
                  <w:shd w:val="clear" w:color="auto" w:fill="auto"/>
                  <w:vAlign w:val="center"/>
                </w:tcPr>
                <w:p w14:paraId="5377DB65">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8</w:t>
                  </w:r>
                </w:p>
              </w:tc>
              <w:tc>
                <w:tcPr>
                  <w:tcW w:w="915" w:type="dxa"/>
                  <w:shd w:val="clear" w:color="auto" w:fill="auto"/>
                  <w:vAlign w:val="center"/>
                </w:tcPr>
                <w:p w14:paraId="5F150694">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w:t>
                  </w:r>
                </w:p>
              </w:tc>
            </w:tr>
            <w:tr w14:paraId="53BE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85" w:type="dxa"/>
                  <w:vAlign w:val="center"/>
                </w:tcPr>
                <w:p w14:paraId="06C61AC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汴北污水处理厂排放标准</w:t>
                  </w:r>
                </w:p>
              </w:tc>
              <w:tc>
                <w:tcPr>
                  <w:tcW w:w="690" w:type="dxa"/>
                  <w:shd w:val="clear" w:color="auto" w:fill="auto"/>
                  <w:vAlign w:val="center"/>
                </w:tcPr>
                <w:p w14:paraId="14E85DEC">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6-9</w:t>
                  </w:r>
                </w:p>
              </w:tc>
              <w:tc>
                <w:tcPr>
                  <w:tcW w:w="850" w:type="dxa"/>
                  <w:shd w:val="clear" w:color="auto" w:fill="auto"/>
                  <w:vAlign w:val="center"/>
                </w:tcPr>
                <w:p w14:paraId="6854308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40</w:t>
                  </w:r>
                </w:p>
              </w:tc>
              <w:tc>
                <w:tcPr>
                  <w:tcW w:w="850" w:type="dxa"/>
                  <w:shd w:val="clear" w:color="auto" w:fill="auto"/>
                  <w:vAlign w:val="center"/>
                </w:tcPr>
                <w:p w14:paraId="13E10B3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10</w:t>
                  </w:r>
                </w:p>
              </w:tc>
              <w:tc>
                <w:tcPr>
                  <w:tcW w:w="794" w:type="dxa"/>
                  <w:shd w:val="clear" w:color="auto" w:fill="auto"/>
                  <w:vAlign w:val="center"/>
                </w:tcPr>
                <w:p w14:paraId="3870F18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10</w:t>
                  </w:r>
                </w:p>
              </w:tc>
              <w:tc>
                <w:tcPr>
                  <w:tcW w:w="680" w:type="dxa"/>
                  <w:shd w:val="clear" w:color="auto" w:fill="auto"/>
                  <w:vAlign w:val="center"/>
                </w:tcPr>
                <w:p w14:paraId="2208164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w:t>
                  </w:r>
                </w:p>
              </w:tc>
              <w:tc>
                <w:tcPr>
                  <w:tcW w:w="789" w:type="dxa"/>
                  <w:shd w:val="clear" w:color="auto" w:fill="auto"/>
                  <w:vAlign w:val="center"/>
                </w:tcPr>
                <w:p w14:paraId="17A828A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0.4</w:t>
                  </w:r>
                </w:p>
              </w:tc>
              <w:tc>
                <w:tcPr>
                  <w:tcW w:w="915" w:type="dxa"/>
                  <w:shd w:val="clear" w:color="auto" w:fill="auto"/>
                  <w:vAlign w:val="center"/>
                </w:tcPr>
                <w:p w14:paraId="2E3110D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w:t>
                  </w:r>
                </w:p>
              </w:tc>
            </w:tr>
          </w:tbl>
          <w:p w14:paraId="01ADED21">
            <w:pPr>
              <w:pStyle w:val="16"/>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right="0" w:firstLine="420" w:firstLineChars="200"/>
              <w:textAlignment w:val="auto"/>
              <w:rPr>
                <w:rFonts w:hint="default"/>
                <w:b/>
                <w:bCs/>
                <w:sz w:val="24"/>
                <w:szCs w:val="24"/>
              </w:rPr>
            </w:pPr>
            <w:r>
              <w:rPr>
                <w:rFonts w:hint="eastAsia" w:ascii="Times New Roman" w:hAnsi="Times New Roman" w:eastAsia="宋体" w:cs="Times New Roman"/>
                <w:b w:val="0"/>
                <w:bCs/>
                <w:color w:val="auto"/>
                <w:kern w:val="2"/>
                <w:sz w:val="21"/>
                <w:szCs w:val="21"/>
                <w:lang w:val="en-US" w:eastAsia="zh-CN" w:bidi="ar-SA"/>
              </w:rPr>
              <w:t>注：pH无量纲，其余单位为mg/L</w:t>
            </w:r>
          </w:p>
          <w:p w14:paraId="3F733C5E">
            <w:pPr>
              <w:pStyle w:val="13"/>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113" w:firstLine="482" w:firstLineChars="200"/>
              <w:jc w:val="left"/>
              <w:textAlignment w:val="auto"/>
              <w:rPr>
                <w:rFonts w:hint="default"/>
                <w:b/>
                <w:bCs/>
                <w:sz w:val="24"/>
                <w:szCs w:val="24"/>
              </w:rPr>
            </w:pPr>
            <w:r>
              <w:rPr>
                <w:rFonts w:hint="default"/>
                <w:b/>
                <w:bCs/>
                <w:sz w:val="24"/>
                <w:szCs w:val="24"/>
              </w:rPr>
              <w:t>3、噪声排放标准</w:t>
            </w:r>
          </w:p>
          <w:p w14:paraId="4F178AB2">
            <w:pPr>
              <w:keepNext w:val="0"/>
              <w:keepLines w:val="0"/>
              <w:widowControl/>
              <w:suppressLineNumbers w:val="0"/>
              <w:spacing w:before="0" w:beforeAutospacing="0" w:after="0" w:afterAutospacing="0" w:line="360" w:lineRule="auto"/>
              <w:ind w:left="0" w:right="0" w:firstLine="480" w:firstLineChars="200"/>
              <w:rPr>
                <w:rFonts w:hint="default"/>
                <w:sz w:val="24"/>
              </w:rPr>
            </w:pPr>
            <w:r>
              <w:rPr>
                <w:rFonts w:hint="default"/>
                <w:kern w:val="0"/>
                <w:sz w:val="24"/>
              </w:rPr>
              <w:t>营运期</w:t>
            </w:r>
            <w:r>
              <w:rPr>
                <w:rFonts w:hint="eastAsia"/>
                <w:kern w:val="0"/>
                <w:sz w:val="24"/>
              </w:rPr>
              <w:t>厂界四周</w:t>
            </w:r>
            <w:r>
              <w:rPr>
                <w:rFonts w:hint="default"/>
                <w:kern w:val="0"/>
                <w:sz w:val="24"/>
              </w:rPr>
              <w:t>执行</w:t>
            </w:r>
            <w:r>
              <w:rPr>
                <w:rFonts w:hint="default"/>
                <w:sz w:val="24"/>
              </w:rPr>
              <w:t>《工业企业厂界环境噪声排放标准》（GB</w:t>
            </w:r>
            <w:r>
              <w:rPr>
                <w:rFonts w:hint="eastAsia"/>
                <w:sz w:val="24"/>
                <w:lang w:val="en-US" w:eastAsia="zh-CN"/>
              </w:rPr>
              <w:t>12348</w:t>
            </w:r>
            <w:r>
              <w:rPr>
                <w:rFonts w:hint="default"/>
                <w:sz w:val="24"/>
              </w:rPr>
              <w:t>-2008）</w:t>
            </w:r>
            <w:r>
              <w:rPr>
                <w:rFonts w:hint="eastAsia"/>
                <w:lang w:val="en-US" w:eastAsia="zh-CN"/>
              </w:rPr>
              <w:t>3</w:t>
            </w:r>
            <w:r>
              <w:rPr>
                <w:rFonts w:hint="default"/>
                <w:sz w:val="24"/>
              </w:rPr>
              <w:t>类</w:t>
            </w:r>
            <w:r>
              <w:rPr>
                <w:rFonts w:hint="eastAsia"/>
                <w:sz w:val="24"/>
              </w:rPr>
              <w:t>标准</w:t>
            </w:r>
            <w:r>
              <w:rPr>
                <w:rFonts w:hint="eastAsia"/>
                <w:sz w:val="24"/>
                <w:lang w:eastAsia="zh-CN"/>
              </w:rPr>
              <w:t>。</w:t>
            </w:r>
            <w:r>
              <w:rPr>
                <w:rFonts w:hint="default"/>
                <w:sz w:val="24"/>
              </w:rPr>
              <w:t>具体见下表。</w:t>
            </w:r>
          </w:p>
          <w:p w14:paraId="2D75C55F">
            <w:pPr>
              <w:keepNext w:val="0"/>
              <w:keepLines w:val="0"/>
              <w:pageBreakBefore w:val="0"/>
              <w:widowControl w:val="0"/>
              <w:numPr>
                <w:ilvl w:val="0"/>
                <w:numId w:val="13"/>
              </w:numPr>
              <w:suppressLineNumbers w:val="0"/>
              <w:tabs>
                <w:tab w:val="clear" w:pos="0"/>
              </w:tabs>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b/>
                <w:sz w:val="24"/>
              </w:rPr>
            </w:pPr>
            <w:r>
              <w:rPr>
                <w:rFonts w:hint="default"/>
                <w:b/>
                <w:bCs/>
                <w:sz w:val="24"/>
              </w:rPr>
              <w:t>厂界环境噪声排放标准</w:t>
            </w:r>
            <w:r>
              <w:rPr>
                <w:rFonts w:hint="default"/>
                <w:b/>
                <w:sz w:val="24"/>
              </w:rPr>
              <w:t xml:space="preserve">  单位：dB</w:t>
            </w:r>
            <w:r>
              <w:rPr>
                <w:rFonts w:hint="eastAsia" w:ascii="宋体" w:hAnsi="宋体" w:cs="宋体"/>
                <w:b/>
                <w:sz w:val="24"/>
              </w:rPr>
              <w:t>(</w:t>
            </w:r>
            <w:r>
              <w:rPr>
                <w:rFonts w:hint="default"/>
                <w:b/>
                <w:sz w:val="24"/>
              </w:rPr>
              <w:t>A</w:t>
            </w:r>
            <w:r>
              <w:rPr>
                <w:rFonts w:hint="eastAsia" w:ascii="宋体" w:hAnsi="宋体" w:cs="宋体"/>
                <w:b/>
                <w:sz w:val="24"/>
              </w:rPr>
              <w:t>)</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0"/>
              <w:gridCol w:w="1411"/>
              <w:gridCol w:w="1649"/>
            </w:tblGrid>
            <w:tr w14:paraId="78DC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65" w:type="pct"/>
                  <w:vAlign w:val="center"/>
                </w:tcPr>
                <w:p w14:paraId="52E9A4C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类别</w:t>
                  </w:r>
                </w:p>
              </w:tc>
              <w:tc>
                <w:tcPr>
                  <w:tcW w:w="799" w:type="pct"/>
                  <w:vAlign w:val="center"/>
                </w:tcPr>
                <w:p w14:paraId="608C318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昼  间</w:t>
                  </w:r>
                </w:p>
              </w:tc>
              <w:tc>
                <w:tcPr>
                  <w:tcW w:w="934" w:type="pct"/>
                  <w:vAlign w:val="center"/>
                </w:tcPr>
                <w:p w14:paraId="659D6F7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夜  间</w:t>
                  </w:r>
                </w:p>
              </w:tc>
            </w:tr>
            <w:tr w14:paraId="5B2F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65" w:type="pct"/>
                  <w:vAlign w:val="center"/>
                </w:tcPr>
                <w:p w14:paraId="4BBBA0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《工业企业厂界环境噪声排放标准》（GB</w:t>
                  </w:r>
                  <w:r>
                    <w:rPr>
                      <w:rFonts w:hint="eastAsia" w:ascii="Times New Roman" w:hAnsi="Times New Roman" w:eastAsia="宋体" w:cs="Times New Roman"/>
                      <w:szCs w:val="21"/>
                      <w:lang w:val="en-US" w:eastAsia="zh-CN"/>
                    </w:rPr>
                    <w:t>12348</w:t>
                  </w:r>
                  <w:r>
                    <w:rPr>
                      <w:rFonts w:hint="default" w:ascii="Times New Roman" w:hAnsi="Times New Roman" w:eastAsia="宋体" w:cs="Times New Roman"/>
                      <w:szCs w:val="21"/>
                    </w:rPr>
                    <w:t>-2008）</w:t>
                  </w:r>
                  <w:r>
                    <w:rPr>
                      <w:rFonts w:hint="eastAsia" w:cs="Times New Roman"/>
                      <w:szCs w:val="21"/>
                      <w:lang w:val="en-US" w:eastAsia="zh-CN"/>
                    </w:rPr>
                    <w:t>3</w:t>
                  </w:r>
                  <w:r>
                    <w:rPr>
                      <w:rFonts w:hint="default" w:ascii="Times New Roman" w:hAnsi="Times New Roman" w:eastAsia="宋体" w:cs="Times New Roman"/>
                      <w:szCs w:val="21"/>
                    </w:rPr>
                    <w:t>类</w:t>
                  </w:r>
                </w:p>
              </w:tc>
              <w:tc>
                <w:tcPr>
                  <w:tcW w:w="799" w:type="pct"/>
                  <w:vAlign w:val="center"/>
                </w:tcPr>
                <w:p w14:paraId="034FA45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6</w:t>
                  </w:r>
                  <w:r>
                    <w:rPr>
                      <w:rFonts w:hint="eastAsia" w:cs="Times New Roman"/>
                      <w:kern w:val="0"/>
                      <w:szCs w:val="21"/>
                      <w:lang w:val="en-US" w:eastAsia="zh-CN"/>
                    </w:rPr>
                    <w:t>5</w:t>
                  </w:r>
                </w:p>
              </w:tc>
              <w:tc>
                <w:tcPr>
                  <w:tcW w:w="934" w:type="pct"/>
                  <w:vAlign w:val="center"/>
                </w:tcPr>
                <w:p w14:paraId="3B8AD8E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5</w:t>
                  </w:r>
                  <w:r>
                    <w:rPr>
                      <w:rFonts w:hint="eastAsia" w:cs="Times New Roman"/>
                      <w:kern w:val="0"/>
                      <w:szCs w:val="21"/>
                      <w:lang w:val="en-US" w:eastAsia="zh-CN"/>
                    </w:rPr>
                    <w:t>5</w:t>
                  </w:r>
                </w:p>
              </w:tc>
            </w:tr>
          </w:tbl>
          <w:p w14:paraId="0F424A48">
            <w:pPr>
              <w:pStyle w:val="13"/>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firstLine="482" w:firstLineChars="200"/>
              <w:jc w:val="left"/>
              <w:textAlignment w:val="auto"/>
              <w:rPr>
                <w:rFonts w:hint="default"/>
                <w:b/>
                <w:bCs/>
                <w:sz w:val="24"/>
                <w:szCs w:val="24"/>
              </w:rPr>
            </w:pPr>
            <w:r>
              <w:rPr>
                <w:rFonts w:hint="default"/>
                <w:b/>
                <w:bCs/>
                <w:sz w:val="24"/>
                <w:szCs w:val="24"/>
              </w:rPr>
              <w:t>4</w:t>
            </w:r>
            <w:r>
              <w:rPr>
                <w:rFonts w:hint="default" w:ascii="Times New Roman" w:hAnsi="Times New Roman" w:eastAsia="宋体" w:cs="Times New Roman"/>
                <w:b/>
                <w:bCs/>
                <w:sz w:val="24"/>
                <w:szCs w:val="24"/>
              </w:rPr>
              <w:t>、固废处理处置标准</w:t>
            </w:r>
          </w:p>
          <w:p w14:paraId="6982D1B6">
            <w:pPr>
              <w:keepNext w:val="0"/>
              <w:keepLines w:val="0"/>
              <w:suppressLineNumbers w:val="0"/>
              <w:adjustRightInd w:val="0"/>
              <w:snapToGrid w:val="0"/>
              <w:spacing w:before="0" w:beforeAutospacing="0" w:after="0" w:afterAutospacing="0" w:line="360" w:lineRule="auto"/>
              <w:ind w:left="0" w:right="0" w:firstLine="480" w:firstLineChars="200"/>
              <w:rPr>
                <w:rFonts w:hint="default"/>
              </w:rPr>
            </w:pPr>
            <w:r>
              <w:rPr>
                <w:rFonts w:hint="default"/>
                <w:sz w:val="24"/>
              </w:rPr>
              <w:t>一般工业固体废物贮存、处置参照执行《一般工业固体废物贮存和填埋污染控制标准》（GB18599-2020）；危险废物贮存执行《危险废物贮存污染控制标准》（GB18597-2023）中的有关规定。</w:t>
            </w:r>
          </w:p>
        </w:tc>
      </w:tr>
      <w:tr w14:paraId="158CF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681" w:type="dxa"/>
            <w:vAlign w:val="center"/>
          </w:tcPr>
          <w:p w14:paraId="05920586">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总量</w:t>
            </w:r>
          </w:p>
          <w:p w14:paraId="6EA6BEF0">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控制</w:t>
            </w:r>
          </w:p>
          <w:p w14:paraId="14287580">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b/>
                <w:kern w:val="0"/>
                <w:szCs w:val="21"/>
              </w:rPr>
              <w:t>指标</w:t>
            </w:r>
          </w:p>
        </w:tc>
        <w:tc>
          <w:tcPr>
            <w:tcW w:w="9051" w:type="dxa"/>
            <w:vAlign w:val="center"/>
          </w:tcPr>
          <w:p w14:paraId="4C375EE8">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根据工程分析，本项目废气总量控制的污染因子为烟（粉）尘。项目需新申请总量为：烟（粉）尘：0.239t/a；SO</w:t>
            </w:r>
            <w:r>
              <w:rPr>
                <w:rFonts w:hint="eastAsia"/>
                <w:color w:val="auto"/>
                <w:sz w:val="24"/>
                <w:highlight w:val="none"/>
                <w:vertAlign w:val="subscript"/>
                <w:lang w:val="en-US" w:eastAsia="zh-CN"/>
              </w:rPr>
              <w:t>2</w:t>
            </w:r>
            <w:r>
              <w:rPr>
                <w:rFonts w:hint="eastAsia"/>
                <w:color w:val="auto"/>
                <w:sz w:val="24"/>
                <w:highlight w:val="none"/>
                <w:lang w:val="en-US" w:eastAsia="zh-CN"/>
              </w:rPr>
              <w:t>：0.144t/a；NO</w:t>
            </w:r>
            <w:r>
              <w:rPr>
                <w:rFonts w:hint="eastAsia"/>
                <w:color w:val="auto"/>
                <w:sz w:val="24"/>
                <w:highlight w:val="none"/>
                <w:vertAlign w:val="subscript"/>
                <w:lang w:val="en-US" w:eastAsia="zh-CN"/>
              </w:rPr>
              <w:t>x</w:t>
            </w:r>
            <w:r>
              <w:rPr>
                <w:rFonts w:hint="eastAsia"/>
                <w:color w:val="auto"/>
                <w:sz w:val="24"/>
                <w:highlight w:val="none"/>
                <w:lang w:val="en-US" w:eastAsia="zh-CN"/>
              </w:rPr>
              <w:t>：0.674t/a。</w:t>
            </w:r>
          </w:p>
          <w:p w14:paraId="4B25CE49">
            <w:pPr>
              <w:keepNext w:val="0"/>
              <w:keepLines w:val="0"/>
              <w:suppressLineNumbers w:val="0"/>
              <w:spacing w:before="0" w:beforeAutospacing="0" w:after="0" w:afterAutospacing="0" w:line="360" w:lineRule="auto"/>
              <w:ind w:left="0" w:right="0" w:firstLine="480" w:firstLineChars="200"/>
              <w:rPr>
                <w:rFonts w:hint="eastAsia"/>
                <w:kern w:val="0"/>
                <w:sz w:val="24"/>
                <w:highlight w:val="none"/>
              </w:rPr>
            </w:pPr>
            <w:r>
              <w:rPr>
                <w:rFonts w:hint="eastAsia"/>
                <w:color w:val="auto"/>
                <w:sz w:val="24"/>
                <w:highlight w:val="none"/>
              </w:rPr>
              <w:t>本项目外排废水</w:t>
            </w:r>
            <w:r>
              <w:rPr>
                <w:rFonts w:hint="eastAsia"/>
                <w:color w:val="auto"/>
                <w:sz w:val="24"/>
                <w:highlight w:val="none"/>
                <w:lang w:val="en-US" w:eastAsia="zh-CN"/>
              </w:rPr>
              <w:t>纳入市政管网</w:t>
            </w:r>
            <w:r>
              <w:rPr>
                <w:rFonts w:hint="eastAsia"/>
                <w:color w:val="auto"/>
                <w:sz w:val="24"/>
                <w:highlight w:val="none"/>
              </w:rPr>
              <w:t>排入宿州市</w:t>
            </w:r>
            <w:r>
              <w:rPr>
                <w:rFonts w:hint="eastAsia"/>
                <w:color w:val="auto"/>
                <w:sz w:val="24"/>
                <w:highlight w:val="none"/>
                <w:lang w:val="en-US" w:eastAsia="zh-CN"/>
              </w:rPr>
              <w:t>汴北</w:t>
            </w:r>
            <w:r>
              <w:rPr>
                <w:rFonts w:hint="eastAsia"/>
                <w:color w:val="auto"/>
                <w:sz w:val="24"/>
                <w:highlight w:val="none"/>
              </w:rPr>
              <w:t>污水处理厂。</w:t>
            </w:r>
            <w:r>
              <w:rPr>
                <w:rFonts w:hint="eastAsia"/>
                <w:color w:val="auto"/>
                <w:sz w:val="24"/>
                <w:highlight w:val="none"/>
                <w:lang w:val="en-US" w:eastAsia="zh-CN"/>
              </w:rPr>
              <w:t>本项目建成后废水污染物总量控制指标为：</w:t>
            </w:r>
            <w:r>
              <w:rPr>
                <w:rFonts w:hint="eastAsia" w:ascii="Times New Roman" w:hAnsi="Times New Roman" w:eastAsia="宋体" w:cs="宋体"/>
                <w:b w:val="0"/>
                <w:bCs/>
                <w:color w:val="000000"/>
                <w:kern w:val="2"/>
                <w:sz w:val="24"/>
                <w:szCs w:val="24"/>
                <w:highlight w:val="none"/>
                <w:lang w:val="en-US" w:eastAsia="zh-CN" w:bidi="ar-SA"/>
              </w:rPr>
              <w:t>COD：0.0</w:t>
            </w:r>
            <w:r>
              <w:rPr>
                <w:rFonts w:hint="eastAsia" w:cs="宋体"/>
                <w:b w:val="0"/>
                <w:bCs/>
                <w:color w:val="000000"/>
                <w:kern w:val="2"/>
                <w:sz w:val="24"/>
                <w:szCs w:val="24"/>
                <w:highlight w:val="none"/>
                <w:lang w:val="en-US" w:eastAsia="zh-CN" w:bidi="ar-SA"/>
              </w:rPr>
              <w:t>81</w:t>
            </w:r>
            <w:r>
              <w:rPr>
                <w:rFonts w:hint="eastAsia" w:ascii="Times New Roman" w:hAnsi="Times New Roman" w:eastAsia="宋体" w:cs="宋体"/>
                <w:b w:val="0"/>
                <w:bCs/>
                <w:color w:val="000000"/>
                <w:kern w:val="2"/>
                <w:sz w:val="24"/>
                <w:szCs w:val="24"/>
                <w:highlight w:val="none"/>
                <w:lang w:val="en-US" w:eastAsia="zh-CN" w:bidi="ar-SA"/>
              </w:rPr>
              <w:t>t/a；氨氮：0.00</w:t>
            </w:r>
            <w:r>
              <w:rPr>
                <w:rFonts w:hint="eastAsia" w:cs="宋体"/>
                <w:b w:val="0"/>
                <w:bCs/>
                <w:color w:val="000000"/>
                <w:kern w:val="2"/>
                <w:sz w:val="24"/>
                <w:szCs w:val="24"/>
                <w:highlight w:val="none"/>
                <w:lang w:val="en-US" w:eastAsia="zh-CN" w:bidi="ar-SA"/>
              </w:rPr>
              <w:t>4</w:t>
            </w:r>
            <w:r>
              <w:rPr>
                <w:rFonts w:hint="eastAsia" w:ascii="Times New Roman" w:hAnsi="Times New Roman" w:eastAsia="宋体" w:cs="宋体"/>
                <w:b w:val="0"/>
                <w:bCs/>
                <w:color w:val="000000"/>
                <w:kern w:val="2"/>
                <w:sz w:val="24"/>
                <w:szCs w:val="24"/>
                <w:highlight w:val="none"/>
                <w:lang w:val="en-US" w:eastAsia="zh-CN" w:bidi="ar-SA"/>
              </w:rPr>
              <w:t>t/a</w:t>
            </w:r>
            <w:r>
              <w:rPr>
                <w:rFonts w:hint="eastAsia"/>
                <w:color w:val="auto"/>
                <w:sz w:val="24"/>
                <w:highlight w:val="none"/>
                <w:lang w:val="en-US" w:eastAsia="zh-CN"/>
              </w:rPr>
              <w:t>。</w:t>
            </w:r>
          </w:p>
        </w:tc>
      </w:tr>
    </w:tbl>
    <w:p w14:paraId="746AAC3B">
      <w:pPr>
        <w:rPr>
          <w:rFonts w:ascii="Times New Roman" w:hAnsi="Times New Roman"/>
          <w:b/>
          <w:snapToGrid w:val="0"/>
          <w:sz w:val="30"/>
          <w:szCs w:val="30"/>
        </w:rPr>
      </w:pPr>
      <w:r>
        <w:rPr>
          <w:rFonts w:ascii="Times New Roman" w:hAnsi="Times New Roman"/>
          <w:b/>
          <w:snapToGrid w:val="0"/>
          <w:sz w:val="30"/>
          <w:szCs w:val="30"/>
        </w:rPr>
        <w:br w:type="page"/>
      </w:r>
    </w:p>
    <w:p w14:paraId="3146E7CC">
      <w:pPr>
        <w:pStyle w:val="31"/>
        <w:spacing w:before="200" w:beforeAutospacing="0" w:after="200" w:afterAutospacing="0"/>
        <w:jc w:val="center"/>
        <w:outlineLvl w:val="0"/>
        <w:rPr>
          <w:rFonts w:ascii="Times New Roman" w:hAnsi="Times New Roman"/>
          <w:b/>
          <w:snapToGrid w:val="0"/>
          <w:sz w:val="30"/>
          <w:szCs w:val="30"/>
        </w:rPr>
      </w:pPr>
      <w:r>
        <w:rPr>
          <w:rFonts w:ascii="Times New Roman" w:hAnsi="Times New Roman"/>
          <w:b/>
          <w:snapToGrid w:val="0"/>
          <w:sz w:val="30"/>
          <w:szCs w:val="30"/>
        </w:rPr>
        <w:t>四、主要环境影响和保护措施</w:t>
      </w:r>
    </w:p>
    <w:tbl>
      <w:tblPr>
        <w:tblStyle w:val="35"/>
        <w:tblW w:w="96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4"/>
        <w:gridCol w:w="8998"/>
      </w:tblGrid>
      <w:tr w14:paraId="26BCE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2" w:hRule="atLeast"/>
          <w:jc w:val="center"/>
        </w:trPr>
        <w:tc>
          <w:tcPr>
            <w:tcW w:w="664" w:type="dxa"/>
            <w:tcMar>
              <w:left w:w="28" w:type="dxa"/>
              <w:right w:w="28" w:type="dxa"/>
            </w:tcMar>
            <w:vAlign w:val="center"/>
          </w:tcPr>
          <w:p w14:paraId="25968989">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kern w:val="2"/>
                <w:sz w:val="21"/>
                <w:szCs w:val="21"/>
              </w:rPr>
            </w:pPr>
            <w:r>
              <w:rPr>
                <w:rFonts w:hint="default" w:ascii="Times New Roman" w:hAnsi="Times New Roman"/>
                <w:b/>
                <w:kern w:val="2"/>
                <w:sz w:val="21"/>
                <w:szCs w:val="21"/>
              </w:rPr>
              <w:t>施工</w:t>
            </w:r>
          </w:p>
          <w:p w14:paraId="76E3628F">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kern w:val="2"/>
                <w:sz w:val="21"/>
                <w:szCs w:val="21"/>
              </w:rPr>
            </w:pPr>
            <w:r>
              <w:rPr>
                <w:rFonts w:hint="default" w:ascii="Times New Roman" w:hAnsi="Times New Roman"/>
                <w:b/>
                <w:kern w:val="2"/>
                <w:sz w:val="21"/>
                <w:szCs w:val="21"/>
              </w:rPr>
              <w:t>期环</w:t>
            </w:r>
          </w:p>
          <w:p w14:paraId="558834E1">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kern w:val="2"/>
                <w:sz w:val="21"/>
                <w:szCs w:val="21"/>
              </w:rPr>
            </w:pPr>
            <w:r>
              <w:rPr>
                <w:rFonts w:hint="default" w:ascii="Times New Roman" w:hAnsi="Times New Roman"/>
                <w:b/>
                <w:kern w:val="2"/>
                <w:sz w:val="21"/>
                <w:szCs w:val="21"/>
              </w:rPr>
              <w:t>境保</w:t>
            </w:r>
          </w:p>
          <w:p w14:paraId="673B60D2">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kern w:val="2"/>
                <w:sz w:val="21"/>
                <w:szCs w:val="21"/>
              </w:rPr>
            </w:pPr>
            <w:r>
              <w:rPr>
                <w:rFonts w:hint="default" w:ascii="Times New Roman" w:hAnsi="Times New Roman"/>
                <w:b/>
                <w:kern w:val="2"/>
                <w:sz w:val="21"/>
                <w:szCs w:val="21"/>
              </w:rPr>
              <w:t>护措</w:t>
            </w:r>
          </w:p>
          <w:p w14:paraId="5A83EDDC">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Cs/>
                <w:kern w:val="2"/>
                <w:sz w:val="21"/>
                <w:szCs w:val="21"/>
              </w:rPr>
            </w:pPr>
            <w:r>
              <w:rPr>
                <w:rFonts w:hint="default" w:ascii="Times New Roman" w:hAnsi="Times New Roman"/>
                <w:b/>
                <w:kern w:val="2"/>
                <w:sz w:val="21"/>
                <w:szCs w:val="21"/>
              </w:rPr>
              <w:t>施</w:t>
            </w:r>
          </w:p>
        </w:tc>
        <w:tc>
          <w:tcPr>
            <w:tcW w:w="8998" w:type="dxa"/>
          </w:tcPr>
          <w:p w14:paraId="195E3558">
            <w:pPr>
              <w:keepNext w:val="0"/>
              <w:keepLines w:val="0"/>
              <w:suppressLineNumbers w:val="0"/>
              <w:adjustRightInd w:val="0"/>
              <w:snapToGrid w:val="0"/>
              <w:spacing w:before="0" w:beforeAutospacing="0" w:after="0" w:afterAutospacing="0" w:line="356" w:lineRule="auto"/>
              <w:ind w:left="0" w:right="0" w:firstLine="480" w:firstLineChars="200"/>
              <w:jc w:val="both"/>
              <w:rPr>
                <w:rFonts w:hint="default"/>
                <w:color w:val="auto"/>
                <w:sz w:val="24"/>
                <w:highlight w:val="none"/>
              </w:rPr>
            </w:pPr>
            <w:r>
              <w:rPr>
                <w:rFonts w:hint="default"/>
                <w:color w:val="auto"/>
                <w:sz w:val="24"/>
                <w:highlight w:val="none"/>
              </w:rPr>
              <w:t>本项目</w:t>
            </w:r>
            <w:r>
              <w:rPr>
                <w:rFonts w:hint="eastAsia" w:ascii="Times New Roman" w:eastAsia="宋体"/>
                <w:color w:val="auto"/>
                <w:sz w:val="24"/>
                <w:highlight w:val="none"/>
                <w:lang w:val="en-US" w:eastAsia="zh-CN"/>
              </w:rPr>
              <w:t>租赁</w:t>
            </w:r>
            <w:r>
              <w:rPr>
                <w:rFonts w:hint="eastAsia"/>
                <w:color w:val="auto"/>
                <w:sz w:val="24"/>
                <w:highlight w:val="none"/>
                <w:lang w:val="en-US" w:eastAsia="zh-CN"/>
              </w:rPr>
              <w:t>安徽数字星空工业技术有限公司</w:t>
            </w:r>
            <w:r>
              <w:rPr>
                <w:rFonts w:hint="eastAsia" w:ascii="Times New Roman" w:eastAsia="宋体"/>
                <w:color w:val="auto"/>
                <w:sz w:val="24"/>
                <w:highlight w:val="none"/>
                <w:lang w:val="en-US" w:eastAsia="zh-CN"/>
              </w:rPr>
              <w:t>厂房</w:t>
            </w:r>
            <w:r>
              <w:rPr>
                <w:rFonts w:hint="default"/>
                <w:color w:val="auto"/>
                <w:sz w:val="24"/>
                <w:highlight w:val="none"/>
              </w:rPr>
              <w:t>，施工期主要进行生产设备安装及调试，不涉及土建。施工期产生的污染物较少，周期较短，对周边环境影响较小。</w:t>
            </w:r>
          </w:p>
          <w:p w14:paraId="21112D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1、废气污染防治措施</w:t>
            </w:r>
          </w:p>
          <w:p w14:paraId="4C69E2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项目不涉及土建，只需进行简单的</w:t>
            </w:r>
            <w:r>
              <w:rPr>
                <w:rFonts w:hint="default" w:ascii="Times New Roman" w:hAnsi="Times New Roman" w:eastAsia="宋体" w:cs="Times New Roman"/>
                <w:color w:val="auto"/>
                <w:kern w:val="0"/>
                <w:sz w:val="24"/>
              </w:rPr>
              <w:t>设备安装和调试</w:t>
            </w:r>
            <w:r>
              <w:rPr>
                <w:rFonts w:hint="default" w:ascii="Times New Roman" w:hAnsi="Times New Roman" w:eastAsia="宋体" w:cs="Times New Roman"/>
                <w:color w:val="auto"/>
                <w:sz w:val="24"/>
              </w:rPr>
              <w:t>，施工时间短，对周围环境影响较小。</w:t>
            </w:r>
          </w:p>
          <w:p w14:paraId="589A24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2、废水污染防治措施</w:t>
            </w:r>
          </w:p>
          <w:p w14:paraId="53278415">
            <w:pPr>
              <w:keepNext w:val="0"/>
              <w:keepLines w:val="0"/>
              <w:pageBreakBefore w:val="0"/>
              <w:widowControl w:val="0"/>
              <w:suppressLineNumbers w:val="0"/>
              <w:kinsoku/>
              <w:wordWrap/>
              <w:overflowPunct/>
              <w:topLinePunct w:val="0"/>
              <w:autoSpaceDE/>
              <w:autoSpaceDN/>
              <w:bidi w:val="0"/>
              <w:spacing w:before="0" w:beforeAutospacing="0" w:after="0" w:afterAutospacing="0" w:line="356"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本项目施工期废水排放主要是施工现场工人排放的生活污水，生活污水主要污染物是COD、SS、氨氮、总磷</w:t>
            </w:r>
            <w:r>
              <w:rPr>
                <w:rFonts w:hint="eastAsia" w:cs="Times New Roman"/>
                <w:color w:val="auto"/>
                <w:sz w:val="24"/>
                <w:lang w:eastAsia="zh-CN"/>
              </w:rPr>
              <w:t>、</w:t>
            </w:r>
            <w:r>
              <w:rPr>
                <w:rFonts w:hint="eastAsia" w:cs="Times New Roman"/>
                <w:color w:val="auto"/>
                <w:sz w:val="24"/>
                <w:lang w:val="en-US" w:eastAsia="zh-CN"/>
              </w:rPr>
              <w:t>动植物油</w:t>
            </w:r>
            <w:r>
              <w:rPr>
                <w:rFonts w:hint="default" w:ascii="Times New Roman" w:hAnsi="Times New Roman" w:eastAsia="宋体" w:cs="Times New Roman"/>
                <w:color w:val="auto"/>
                <w:sz w:val="24"/>
              </w:rPr>
              <w:t>等。由于装修以及设备安装所需要的工人较少，因此废水排放量较少，该废水进入厂区</w:t>
            </w:r>
            <w:r>
              <w:rPr>
                <w:rFonts w:hint="eastAsia" w:cs="Times New Roman"/>
                <w:color w:val="auto"/>
                <w:sz w:val="24"/>
                <w:lang w:val="en-US" w:eastAsia="zh-CN"/>
              </w:rPr>
              <w:t>隔油池+</w:t>
            </w:r>
            <w:r>
              <w:rPr>
                <w:rFonts w:hint="default" w:ascii="Times New Roman" w:hAnsi="Times New Roman" w:eastAsia="宋体" w:cs="Times New Roman"/>
                <w:color w:val="auto"/>
                <w:sz w:val="24"/>
              </w:rPr>
              <w:t>化粪池处理后排入</w:t>
            </w:r>
            <w:r>
              <w:rPr>
                <w:rFonts w:hint="eastAsia" w:ascii="Times New Roman" w:hAnsi="Times New Roman" w:eastAsia="宋体" w:cs="Times New Roman"/>
                <w:color w:val="auto"/>
                <w:sz w:val="24"/>
                <w:lang w:eastAsia="zh-CN"/>
              </w:rPr>
              <w:t>宿州市</w:t>
            </w:r>
            <w:r>
              <w:rPr>
                <w:rFonts w:hint="eastAsia" w:cs="Times New Roman"/>
                <w:color w:val="auto"/>
                <w:sz w:val="24"/>
                <w:lang w:val="en-US" w:eastAsia="zh-CN"/>
              </w:rPr>
              <w:t>汴北</w:t>
            </w:r>
            <w:r>
              <w:rPr>
                <w:rFonts w:hint="eastAsia" w:ascii="Times New Roman" w:hAnsi="Times New Roman" w:eastAsia="宋体" w:cs="Times New Roman"/>
                <w:color w:val="auto"/>
                <w:sz w:val="24"/>
                <w:lang w:eastAsia="zh-CN"/>
              </w:rPr>
              <w:t>污水处理厂</w:t>
            </w:r>
            <w:r>
              <w:rPr>
                <w:rFonts w:hint="default" w:ascii="Times New Roman" w:hAnsi="Times New Roman" w:eastAsia="宋体" w:cs="Times New Roman"/>
                <w:color w:val="auto"/>
                <w:sz w:val="24"/>
              </w:rPr>
              <w:t>进一步处理，污水厂尾水达标后排放，对地表水环境影响较小。</w:t>
            </w:r>
          </w:p>
          <w:p w14:paraId="5D9C8385">
            <w:pPr>
              <w:keepNext w:val="0"/>
              <w:keepLines w:val="0"/>
              <w:pageBreakBefore w:val="0"/>
              <w:widowControl w:val="0"/>
              <w:suppressLineNumbers w:val="0"/>
              <w:kinsoku/>
              <w:wordWrap/>
              <w:overflowPunct/>
              <w:topLinePunct w:val="0"/>
              <w:autoSpaceDE/>
              <w:autoSpaceDN/>
              <w:bidi w:val="0"/>
              <w:spacing w:before="0" w:beforeAutospacing="0" w:after="0" w:afterAutospacing="0" w:line="356" w:lineRule="auto"/>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3、噪声污染防治措施</w:t>
            </w:r>
          </w:p>
          <w:p w14:paraId="030E3257">
            <w:pPr>
              <w:keepNext w:val="0"/>
              <w:keepLines w:val="0"/>
              <w:pageBreakBefore w:val="0"/>
              <w:widowControl w:val="0"/>
              <w:suppressLineNumbers w:val="0"/>
              <w:kinsoku/>
              <w:wordWrap/>
              <w:overflowPunct/>
              <w:topLinePunct w:val="0"/>
              <w:autoSpaceDE/>
              <w:autoSpaceDN/>
              <w:bidi w:val="0"/>
              <w:spacing w:before="0" w:beforeAutospacing="0" w:after="0" w:afterAutospacing="0" w:line="356"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装修以及设备安装时产生的噪声，混合噪声级约为75dB(A)，此阶段主要是在室内进行，对周围声环境影响较小。</w:t>
            </w:r>
          </w:p>
          <w:p w14:paraId="0DA6D5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合理安排高噪声机械使用时间，减少噪声对周围环境的影响。严格按照国家和地方环境保护法律法规要求，对施工场地边界的噪声控制在国家《建筑</w:t>
            </w:r>
            <w:r>
              <w:rPr>
                <w:rFonts w:hint="eastAsia" w:ascii="Times New Roman" w:hAnsi="Times New Roman" w:eastAsia="宋体" w:cs="Times New Roman"/>
                <w:color w:val="auto"/>
                <w:sz w:val="24"/>
                <w:lang w:val="en-US" w:eastAsia="zh-CN"/>
              </w:rPr>
              <w:t>施工</w:t>
            </w:r>
            <w:r>
              <w:rPr>
                <w:rFonts w:hint="default" w:ascii="Times New Roman" w:hAnsi="Times New Roman" w:eastAsia="宋体" w:cs="Times New Roman"/>
                <w:color w:val="auto"/>
                <w:sz w:val="24"/>
              </w:rPr>
              <w:t>噪声排放标准》（GB12523-20</w:t>
            </w:r>
            <w:r>
              <w:rPr>
                <w:rFonts w:hint="eastAsia" w:cs="Times New Roman"/>
                <w:color w:val="auto"/>
                <w:sz w:val="24"/>
                <w:lang w:val="en-US" w:eastAsia="zh-CN"/>
              </w:rPr>
              <w:t>25</w:t>
            </w:r>
            <w:r>
              <w:rPr>
                <w:rFonts w:hint="default" w:ascii="Times New Roman" w:hAnsi="Times New Roman" w:eastAsia="宋体" w:cs="Times New Roman"/>
                <w:color w:val="auto"/>
                <w:sz w:val="24"/>
              </w:rPr>
              <w:t>）的指标要求范围内，避免对周围环境的影响。</w:t>
            </w:r>
          </w:p>
          <w:p w14:paraId="24F88B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4、固体废物污染防治措施</w:t>
            </w:r>
          </w:p>
          <w:p w14:paraId="3183A5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施工期间产生的固体废弃物主要为废弃的装修材料等建筑垃圾以及各类装修材料的包装箱、袋和生活垃圾等。</w:t>
            </w:r>
            <w:r>
              <w:rPr>
                <w:rFonts w:hint="eastAsia" w:ascii="Times New Roman" w:hAnsi="Times New Roman" w:eastAsia="宋体" w:cs="Times New Roman"/>
                <w:color w:val="auto"/>
                <w:sz w:val="24"/>
                <w:lang w:val="en-US" w:eastAsia="zh-CN"/>
              </w:rPr>
              <w:t>建筑垃圾由施工单位运至市政指定建筑废渣专用堆放场，</w:t>
            </w:r>
            <w:r>
              <w:rPr>
                <w:rFonts w:hint="default" w:ascii="Times New Roman" w:hAnsi="Times New Roman" w:eastAsia="宋体" w:cs="Times New Roman"/>
                <w:color w:val="auto"/>
                <w:sz w:val="24"/>
              </w:rPr>
              <w:t>包装物</w:t>
            </w:r>
            <w:r>
              <w:rPr>
                <w:rFonts w:hint="eastAsia" w:ascii="Times New Roman" w:hAnsi="Times New Roman" w:eastAsia="宋体" w:cs="Times New Roman"/>
                <w:color w:val="auto"/>
                <w:sz w:val="24"/>
                <w:lang w:val="en-US" w:eastAsia="zh-CN"/>
              </w:rPr>
              <w:t>外售处理</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生活垃圾</w:t>
            </w:r>
            <w:r>
              <w:rPr>
                <w:rFonts w:hint="default" w:ascii="Times New Roman" w:hAnsi="Times New Roman" w:eastAsia="宋体" w:cs="Times New Roman"/>
                <w:color w:val="auto"/>
                <w:sz w:val="24"/>
              </w:rPr>
              <w:t>由环卫</w:t>
            </w:r>
            <w:r>
              <w:rPr>
                <w:rFonts w:hint="eastAsia" w:ascii="Times New Roman" w:hAnsi="Times New Roman" w:eastAsia="宋体" w:cs="Times New Roman"/>
                <w:color w:val="auto"/>
                <w:sz w:val="24"/>
                <w:lang w:val="en-US" w:eastAsia="zh-CN"/>
              </w:rPr>
              <w:t>部门清运。</w:t>
            </w:r>
            <w:r>
              <w:rPr>
                <w:rFonts w:hint="default" w:ascii="Times New Roman" w:hAnsi="Times New Roman" w:eastAsia="宋体" w:cs="Times New Roman"/>
                <w:color w:val="auto"/>
                <w:sz w:val="24"/>
              </w:rPr>
              <w:t>因此，上述废弃物对环境影响较小。</w:t>
            </w:r>
          </w:p>
          <w:p w14:paraId="7E9109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5、振动污染防治措施</w:t>
            </w:r>
          </w:p>
          <w:p w14:paraId="3A295A1C">
            <w:pPr>
              <w:keepNext w:val="0"/>
              <w:keepLines w:val="0"/>
              <w:suppressLineNumbers w:val="0"/>
              <w:adjustRightInd w:val="0"/>
              <w:snapToGrid w:val="0"/>
              <w:spacing w:before="0" w:beforeAutospacing="0" w:after="0" w:afterAutospacing="0" w:line="356" w:lineRule="auto"/>
              <w:ind w:left="0" w:right="0" w:firstLine="480" w:firstLineChars="200"/>
              <w:jc w:val="both"/>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施工期不涉及土建，施工期主要为生产及辅助设备的运输、安装与调试，不涉及大规模土建工程。施工期振动主要来源于重型设备的场内移动及空载试运行。为最大限度减轻振动影响，将采取分级管控的综合防治措施</w:t>
            </w:r>
            <w:r>
              <w:rPr>
                <w:rFonts w:hint="eastAsia" w:ascii="Times New Roman" w:hAnsi="Times New Roman" w:eastAsia="宋体" w:cs="Times New Roman"/>
                <w:color w:val="auto"/>
                <w:sz w:val="24"/>
                <w:lang w:eastAsia="zh-CN"/>
              </w:rPr>
              <w:t>。</w:t>
            </w:r>
          </w:p>
          <w:p w14:paraId="4A96DAAC">
            <w:pPr>
              <w:keepNext w:val="0"/>
              <w:keepLines w:val="0"/>
              <w:suppressLineNumbers w:val="0"/>
              <w:adjustRightInd w:val="0"/>
              <w:snapToGrid w:val="0"/>
              <w:spacing w:before="0" w:beforeAutospacing="0" w:after="0" w:afterAutospacing="0" w:line="356" w:lineRule="auto"/>
              <w:ind w:left="0" w:right="0" w:firstLine="480" w:firstLineChars="200"/>
              <w:jc w:val="both"/>
              <w:rPr>
                <w:rFonts w:hint="eastAsia"/>
                <w:color w:val="auto"/>
                <w:sz w:val="24"/>
                <w:highlight w:val="none"/>
                <w:lang w:val="en-US" w:eastAsia="zh-CN"/>
              </w:rPr>
            </w:pPr>
            <w:r>
              <w:rPr>
                <w:rFonts w:hint="eastAsia" w:ascii="Times New Roman" w:hAnsi="Times New Roman" w:eastAsia="宋体" w:cs="Times New Roman"/>
                <w:color w:val="auto"/>
                <w:sz w:val="24"/>
                <w:lang w:val="en-US" w:eastAsia="zh-CN"/>
              </w:rPr>
              <w:t>对于振动值较高的关键设备，在安装阶段即实施针对性减振设计。在设备搬运与定位过程中，严格使用吊装器具，并在设备与地面接触部位铺垫高密度橡胶板，避免金属直接撞击地面。</w:t>
            </w:r>
          </w:p>
        </w:tc>
      </w:tr>
      <w:tr w14:paraId="50601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72" w:hRule="atLeast"/>
          <w:jc w:val="center"/>
        </w:trPr>
        <w:tc>
          <w:tcPr>
            <w:tcW w:w="664" w:type="dxa"/>
            <w:tcMar>
              <w:left w:w="28" w:type="dxa"/>
              <w:right w:w="28" w:type="dxa"/>
            </w:tcMar>
            <w:vAlign w:val="center"/>
          </w:tcPr>
          <w:p w14:paraId="1CB0DB5A">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运营</w:t>
            </w:r>
          </w:p>
          <w:p w14:paraId="3A747DA1">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期环</w:t>
            </w:r>
          </w:p>
          <w:p w14:paraId="347C5978">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境影</w:t>
            </w:r>
          </w:p>
          <w:p w14:paraId="13C27D6C">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响和</w:t>
            </w:r>
          </w:p>
          <w:p w14:paraId="33CA3C7C">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保护</w:t>
            </w:r>
          </w:p>
          <w:p w14:paraId="246A3A69">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措施</w:t>
            </w:r>
          </w:p>
        </w:tc>
        <w:tc>
          <w:tcPr>
            <w:tcW w:w="8998" w:type="dxa"/>
          </w:tcPr>
          <w:p w14:paraId="0A4EB90B">
            <w:pPr>
              <w:keepNext w:val="0"/>
              <w:keepLines w:val="0"/>
              <w:suppressLineNumbers w:val="0"/>
              <w:spacing w:before="0" w:beforeAutospacing="0" w:after="0" w:afterAutospacing="0" w:line="360" w:lineRule="auto"/>
              <w:ind w:left="0" w:right="0"/>
              <w:rPr>
                <w:rFonts w:hint="default"/>
                <w:b/>
                <w:color w:val="auto"/>
                <w:spacing w:val="4"/>
                <w:sz w:val="24"/>
              </w:rPr>
            </w:pPr>
            <w:r>
              <w:rPr>
                <w:rFonts w:hint="eastAsia"/>
                <w:b/>
                <w:color w:val="auto"/>
                <w:spacing w:val="4"/>
                <w:sz w:val="24"/>
              </w:rPr>
              <w:t>4.1</w:t>
            </w:r>
            <w:r>
              <w:rPr>
                <w:rFonts w:hint="default"/>
                <w:b/>
                <w:color w:val="auto"/>
                <w:spacing w:val="4"/>
                <w:sz w:val="24"/>
              </w:rPr>
              <w:t>大气环境影响及防治措施分析</w:t>
            </w:r>
          </w:p>
          <w:p w14:paraId="05FE6048">
            <w:pPr>
              <w:pStyle w:val="42"/>
              <w:keepNext w:val="0"/>
              <w:keepLines w:val="0"/>
              <w:numPr>
                <w:ilvl w:val="1"/>
                <w:numId w:val="0"/>
              </w:numPr>
              <w:suppressLineNumbers w:val="0"/>
              <w:spacing w:before="0" w:beforeAutospacing="0" w:after="0" w:afterAutospacing="0" w:line="360" w:lineRule="auto"/>
              <w:ind w:left="420" w:leftChars="200" w:right="0"/>
              <w:rPr>
                <w:rFonts w:hint="default"/>
                <w:b/>
                <w:bCs/>
              </w:rPr>
            </w:pPr>
            <w:r>
              <w:rPr>
                <w:rFonts w:hint="default" w:ascii="Times New Roman" w:hAnsi="Times New Roman" w:cs="Times New Roman"/>
                <w:b/>
                <w:bCs/>
              </w:rPr>
              <w:t>1</w:t>
            </w:r>
            <w:r>
              <w:rPr>
                <w:rFonts w:hint="eastAsia"/>
                <w:b/>
                <w:bCs/>
              </w:rPr>
              <w:t>、</w:t>
            </w:r>
            <w:r>
              <w:rPr>
                <w:rFonts w:hint="eastAsia"/>
                <w:b/>
                <w:bCs/>
                <w:lang w:val="en-US" w:eastAsia="zh-CN"/>
              </w:rPr>
              <w:t>大</w:t>
            </w:r>
            <w:r>
              <w:rPr>
                <w:rFonts w:hint="eastAsia"/>
                <w:b/>
                <w:bCs/>
              </w:rPr>
              <w:t>气污染源强核算</w:t>
            </w:r>
          </w:p>
          <w:p w14:paraId="0D78800A">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w:t>
            </w:r>
            <w:r>
              <w:rPr>
                <w:rFonts w:hint="default" w:ascii="Times New Roman" w:hAnsi="Times New Roman" w:cs="Times New Roman"/>
                <w:b/>
                <w:bCs/>
                <w:color w:val="auto"/>
                <w:sz w:val="24"/>
                <w:lang w:val="en-US" w:eastAsia="zh-CN"/>
              </w:rPr>
              <w:t>1</w:t>
            </w:r>
            <w:r>
              <w:rPr>
                <w:rFonts w:hint="eastAsia" w:ascii="Times New Roman" w:hAnsi="Times New Roman" w:cs="Times New Roman"/>
                <w:b/>
                <w:bCs/>
                <w:color w:val="auto"/>
                <w:sz w:val="24"/>
                <w:lang w:val="en-US" w:eastAsia="zh-CN"/>
              </w:rPr>
              <w:t>）投料混合粉尘</w:t>
            </w:r>
          </w:p>
          <w:p w14:paraId="69B46B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由于项目使用的原料为粉末状，在投料、混合过程中会有粉尘产生。参考《逸散性工业粉尘控制技术》卸料散逸尘排放因子1kg/t物料，本项目</w:t>
            </w:r>
            <w:r>
              <w:rPr>
                <w:rFonts w:hint="eastAsia" w:cs="Times New Roman"/>
                <w:color w:val="auto"/>
                <w:sz w:val="24"/>
                <w:lang w:val="en-US" w:eastAsia="zh-CN"/>
              </w:rPr>
              <w:t>使用</w:t>
            </w:r>
            <w:r>
              <w:rPr>
                <w:rFonts w:hint="default" w:ascii="Times New Roman" w:hAnsi="Times New Roman" w:cs="Times New Roman"/>
                <w:color w:val="auto"/>
                <w:sz w:val="24"/>
                <w:lang w:val="en-US" w:eastAsia="zh-CN"/>
              </w:rPr>
              <w:t>原料</w:t>
            </w:r>
            <w:r>
              <w:rPr>
                <w:rFonts w:hint="eastAsia" w:cs="Times New Roman"/>
                <w:color w:val="auto"/>
                <w:sz w:val="24"/>
                <w:lang w:val="en-US" w:eastAsia="zh-CN"/>
              </w:rPr>
              <w:t>均为粉料，</w:t>
            </w:r>
            <w:r>
              <w:rPr>
                <w:rFonts w:hint="eastAsia" w:ascii="Times New Roman" w:hAnsi="Times New Roman" w:eastAsia="宋体" w:cs="Times New Roman"/>
                <w:color w:val="auto"/>
                <w:sz w:val="24"/>
                <w:lang w:val="en-US" w:eastAsia="zh-CN"/>
              </w:rPr>
              <w:t>原料</w:t>
            </w:r>
            <w:r>
              <w:rPr>
                <w:rFonts w:hint="default" w:ascii="Times New Roman" w:hAnsi="Times New Roman" w:eastAsia="宋体" w:cs="Times New Roman"/>
                <w:color w:val="auto"/>
                <w:sz w:val="24"/>
                <w:lang w:val="en-US" w:eastAsia="zh-CN"/>
              </w:rPr>
              <w:t>使用</w:t>
            </w:r>
            <w:r>
              <w:rPr>
                <w:rFonts w:hint="default" w:ascii="Times New Roman" w:hAnsi="Times New Roman" w:cs="Times New Roman"/>
                <w:color w:val="auto"/>
                <w:sz w:val="24"/>
                <w:lang w:val="en-US" w:eastAsia="zh-CN"/>
              </w:rPr>
              <w:t>量约</w:t>
            </w:r>
            <w:r>
              <w:rPr>
                <w:rFonts w:hint="default" w:ascii="Times New Roman" w:hAnsi="Times New Roman" w:eastAsia="宋体" w:cs="Times New Roman"/>
                <w:color w:val="auto"/>
                <w:sz w:val="24"/>
                <w:lang w:val="en-US" w:eastAsia="zh-CN"/>
              </w:rPr>
              <w:t>3700</w:t>
            </w:r>
            <w:r>
              <w:rPr>
                <w:rFonts w:hint="eastAsia" w:ascii="Times New Roman" w:hAnsi="Times New Roman" w:eastAsia="宋体" w:cs="Times New Roman"/>
                <w:color w:val="auto"/>
                <w:sz w:val="24"/>
                <w:lang w:val="en-US" w:eastAsia="zh-CN"/>
              </w:rPr>
              <w:t>.1t</w:t>
            </w:r>
            <w:r>
              <w:rPr>
                <w:rFonts w:hint="default" w:ascii="Times New Roman" w:hAnsi="Times New Roman" w:eastAsia="宋体" w:cs="Times New Roman"/>
                <w:color w:val="auto"/>
                <w:sz w:val="24"/>
                <w:lang w:val="en-US" w:eastAsia="zh-CN"/>
              </w:rPr>
              <w:t>/a</w:t>
            </w:r>
            <w:r>
              <w:rPr>
                <w:rFonts w:hint="default" w:ascii="Times New Roman" w:hAnsi="Times New Roman" w:cs="Times New Roman"/>
                <w:color w:val="auto"/>
                <w:sz w:val="24"/>
                <w:lang w:val="en-US" w:eastAsia="zh-CN"/>
              </w:rPr>
              <w:t>，则粉尘产生量约为3.7t/a。</w:t>
            </w:r>
            <w:r>
              <w:rPr>
                <w:rFonts w:hint="eastAsia" w:cs="Times New Roman"/>
                <w:color w:val="auto"/>
                <w:sz w:val="24"/>
                <w:lang w:val="en-US" w:eastAsia="zh-CN"/>
              </w:rPr>
              <w:t>设置集气罩收集废气，</w:t>
            </w:r>
            <w:r>
              <w:rPr>
                <w:rFonts w:hint="eastAsia" w:ascii="Times New Roman" w:hAnsi="Times New Roman" w:cs="Times New Roman"/>
                <w:color w:val="auto"/>
                <w:sz w:val="24"/>
                <w:lang w:val="en-US" w:eastAsia="zh-CN"/>
              </w:rPr>
              <w:t>收集效率按</w:t>
            </w:r>
            <w:r>
              <w:rPr>
                <w:rFonts w:hint="eastAsia" w:cs="Times New Roman"/>
                <w:color w:val="auto"/>
                <w:sz w:val="24"/>
                <w:lang w:val="en-US" w:eastAsia="zh-CN"/>
              </w:rPr>
              <w:t>9</w:t>
            </w:r>
            <w:r>
              <w:rPr>
                <w:rFonts w:hint="eastAsia" w:ascii="Times New Roman" w:hAnsi="Times New Roman" w:cs="Times New Roman"/>
                <w:color w:val="auto"/>
                <w:sz w:val="24"/>
                <w:lang w:val="en-US" w:eastAsia="zh-CN"/>
              </w:rPr>
              <w:t>0%计算，车间内废气经布袋除尘器处理后通过15m高的排气筒排放，布袋除尘器除尘效率以99%计，则粉尘有组织排放量为0.03</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t/a</w:t>
            </w:r>
            <w:r>
              <w:rPr>
                <w:rFonts w:hint="eastAsia" w:ascii="Times New Roman" w:hAnsi="Times New Roman" w:cs="Times New Roman"/>
                <w:color w:val="auto"/>
                <w:sz w:val="24"/>
                <w:lang w:val="en-US" w:eastAsia="zh-CN"/>
              </w:rPr>
              <w:t>。</w:t>
            </w:r>
          </w:p>
          <w:p w14:paraId="0B32F813">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（2）天然气燃烧废气</w:t>
            </w:r>
          </w:p>
          <w:p w14:paraId="3EB03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根据建设单位提供资料，本项目设置</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台</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t/h</w:t>
            </w:r>
            <w:r>
              <w:rPr>
                <w:rFonts w:hint="eastAsia" w:ascii="Times New Roman" w:hAnsi="Times New Roman" w:cs="Times New Roman"/>
                <w:color w:val="auto"/>
                <w:sz w:val="24"/>
                <w:lang w:val="en-US" w:eastAsia="zh-CN"/>
              </w:rPr>
              <w:t>蒸汽发生器</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蒸汽发生器使用天然气，年工作时间300天，</w:t>
            </w:r>
            <w:r>
              <w:rPr>
                <w:rFonts w:hint="eastAsia" w:cs="Times New Roman"/>
                <w:color w:val="auto"/>
                <w:sz w:val="24"/>
                <w:lang w:val="en-US" w:eastAsia="zh-CN"/>
              </w:rPr>
              <w:t>为</w:t>
            </w:r>
            <w:r>
              <w:rPr>
                <w:rFonts w:hint="eastAsia" w:ascii="Times New Roman" w:hAnsi="Times New Roman" w:cs="Times New Roman"/>
                <w:color w:val="auto"/>
                <w:sz w:val="24"/>
                <w:lang w:val="en-US" w:eastAsia="zh-CN"/>
              </w:rPr>
              <w:t>满足生产工艺（如UHT杀菌、巴氏杀菌）的温度要求，以及执行严格的食品安全生产后消毒程序，蒸汽发生器需提前启动、延时关闭</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每天运行15h，</w:t>
            </w:r>
            <w:r>
              <w:rPr>
                <w:rFonts w:hint="default" w:ascii="Times New Roman" w:hAnsi="Times New Roman" w:eastAsia="宋体" w:cs="Times New Roman"/>
                <w:color w:val="auto"/>
                <w:sz w:val="24"/>
                <w:lang w:val="en-US" w:eastAsia="zh-CN"/>
              </w:rPr>
              <w:t>每</w:t>
            </w:r>
            <w:r>
              <w:rPr>
                <w:rFonts w:hint="default" w:ascii="Times New Roman" w:hAnsi="Times New Roman" w:cs="Times New Roman"/>
                <w:color w:val="auto"/>
                <w:sz w:val="24"/>
                <w:lang w:val="en-US" w:eastAsia="zh-CN"/>
              </w:rPr>
              <w:t>小时消耗约</w:t>
            </w:r>
            <w:r>
              <w:rPr>
                <w:rFonts w:hint="eastAsia" w:ascii="Times New Roman" w:hAnsi="Times New Roman" w:cs="Times New Roman"/>
                <w:color w:val="auto"/>
                <w:sz w:val="24"/>
                <w:lang w:val="en-US" w:eastAsia="zh-CN"/>
              </w:rPr>
              <w:t>160方天然气</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天然气使</w:t>
            </w:r>
            <w:r>
              <w:rPr>
                <w:rFonts w:hint="default" w:ascii="Times New Roman" w:hAnsi="Times New Roman" w:cs="Times New Roman"/>
                <w:color w:val="auto"/>
                <w:sz w:val="24"/>
                <w:lang w:val="en-US" w:eastAsia="zh-CN"/>
              </w:rPr>
              <w:t>用量为</w:t>
            </w:r>
            <w:r>
              <w:rPr>
                <w:rFonts w:hint="eastAsia" w:ascii="Times New Roman" w:hAnsi="Times New Roman" w:cs="Times New Roman"/>
                <w:color w:val="auto"/>
                <w:sz w:val="24"/>
                <w:lang w:val="en-US" w:eastAsia="zh-CN"/>
              </w:rPr>
              <w:t>72万</w:t>
            </w:r>
            <w:r>
              <w:rPr>
                <w:rFonts w:hint="eastAsia" w:ascii="Times New Roman" w:hAnsi="Times New Roman" w:eastAsia="宋体" w:cs="宋体"/>
                <w:b w:val="0"/>
                <w:bCs/>
                <w:color w:val="auto"/>
                <w:kern w:val="2"/>
                <w:sz w:val="24"/>
                <w:szCs w:val="24"/>
                <w:lang w:val="en-US" w:eastAsia="zh-CN" w:bidi="ar-SA"/>
              </w:rPr>
              <w:t>m</w:t>
            </w:r>
            <w:r>
              <w:rPr>
                <w:rFonts w:hint="eastAsia" w:ascii="Times New Roman" w:hAnsi="Times New Roman" w:eastAsia="宋体" w:cs="宋体"/>
                <w:b w:val="0"/>
                <w:bCs/>
                <w:color w:val="auto"/>
                <w:kern w:val="2"/>
                <w:sz w:val="24"/>
                <w:szCs w:val="24"/>
                <w:vertAlign w:val="superscript"/>
                <w:lang w:val="en-US" w:eastAsia="zh-CN" w:bidi="ar-SA"/>
              </w:rPr>
              <w:t>3</w:t>
            </w:r>
            <w:r>
              <w:rPr>
                <w:rFonts w:hint="eastAsia" w:ascii="Times New Roman" w:hAnsi="Times New Roman" w:eastAsia="宋体" w:cs="宋体"/>
                <w:b w:val="0"/>
                <w:bCs/>
                <w:color w:val="auto"/>
                <w:kern w:val="2"/>
                <w:sz w:val="24"/>
                <w:szCs w:val="24"/>
                <w:lang w:val="en-US" w:eastAsia="zh-CN" w:bidi="ar-SA"/>
              </w:rPr>
              <w:t>/a</w:t>
            </w:r>
            <w:r>
              <w:rPr>
                <w:rFonts w:hint="default" w:ascii="Times New Roman" w:hAnsi="Times New Roman" w:cs="Times New Roman"/>
                <w:color w:val="auto"/>
                <w:sz w:val="24"/>
                <w:lang w:val="en-US" w:eastAsia="zh-CN"/>
              </w:rPr>
              <w:t>。</w:t>
            </w:r>
          </w:p>
          <w:p w14:paraId="449B700F">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宋体"/>
                <w:b w:val="0"/>
                <w:bCs/>
                <w:color w:val="auto"/>
                <w:kern w:val="2"/>
                <w:sz w:val="24"/>
                <w:szCs w:val="24"/>
                <w:lang w:val="en-US" w:eastAsia="zh-CN" w:bidi="ar-SA"/>
              </w:rPr>
            </w:pPr>
            <w:r>
              <w:rPr>
                <w:rFonts w:hint="eastAsia" w:ascii="Times New Roman" w:hAnsi="Times New Roman" w:eastAsia="宋体" w:cs="宋体"/>
                <w:b w:val="0"/>
                <w:bCs/>
                <w:color w:val="auto"/>
                <w:kern w:val="2"/>
                <w:sz w:val="24"/>
                <w:szCs w:val="24"/>
                <w:lang w:val="en-US" w:eastAsia="zh-CN" w:bidi="ar-SA"/>
              </w:rPr>
              <w:t>①颗粒物排放量</w:t>
            </w:r>
          </w:p>
          <w:p w14:paraId="23AEBC85">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vertAlign w:val="superscript"/>
                <w:lang w:val="en-US" w:eastAsia="zh-CN" w:bidi="ar-SA"/>
              </w:rPr>
            </w:pPr>
            <w:r>
              <w:rPr>
                <w:rFonts w:hint="eastAsia" w:ascii="Times New Roman" w:hAnsi="Times New Roman" w:eastAsia="宋体" w:cs="宋体"/>
                <w:b w:val="0"/>
                <w:bCs/>
                <w:color w:val="auto"/>
                <w:kern w:val="2"/>
                <w:sz w:val="24"/>
                <w:szCs w:val="24"/>
                <w:lang w:val="en-US" w:eastAsia="zh-CN" w:bidi="ar-SA"/>
              </w:rPr>
              <w:t>采用《排污许可证申请与核发技术规范 锅炉》（HJ953-2018）中推荐的产排污计算公式：</w:t>
            </w:r>
            <w:r>
              <w:rPr>
                <w:rFonts w:hint="default" w:ascii="Times New Roman" w:hAnsi="Times New Roman" w:eastAsia="宋体" w:cs="Times New Roman"/>
                <w:b w:val="0"/>
                <w:bCs/>
                <w:color w:val="auto"/>
                <w:kern w:val="2"/>
                <w:sz w:val="24"/>
                <w:szCs w:val="24"/>
                <w:lang w:val="en-US" w:eastAsia="zh-CN" w:bidi="ar-SA"/>
              </w:rPr>
              <w:t>E</w:t>
            </w:r>
            <w:r>
              <w:rPr>
                <w:rFonts w:hint="default" w:ascii="Times New Roman" w:hAnsi="Times New Roman" w:eastAsia="宋体" w:cs="Times New Roman"/>
                <w:b w:val="0"/>
                <w:bCs/>
                <w:color w:val="auto"/>
                <w:kern w:val="2"/>
                <w:sz w:val="24"/>
                <w:szCs w:val="24"/>
                <w:vertAlign w:val="subscript"/>
                <w:lang w:val="en-US" w:eastAsia="zh-CN" w:bidi="ar-SA"/>
              </w:rPr>
              <w:t>颗粒物</w:t>
            </w:r>
            <w:r>
              <w:rPr>
                <w:rFonts w:hint="default" w:ascii="Times New Roman" w:hAnsi="Times New Roman" w:eastAsia="宋体" w:cs="Times New Roman"/>
                <w:b w:val="0"/>
                <w:bCs/>
                <w:color w:val="auto"/>
                <w:kern w:val="2"/>
                <w:sz w:val="24"/>
                <w:szCs w:val="24"/>
                <w:lang w:val="en-US" w:eastAsia="zh-CN" w:bidi="ar-SA"/>
              </w:rPr>
              <w:t>=R×β</w:t>
            </w:r>
            <w:r>
              <w:rPr>
                <w:rFonts w:hint="default" w:ascii="Times New Roman" w:hAnsi="Times New Roman" w:eastAsia="宋体" w:cs="Times New Roman"/>
                <w:b w:val="0"/>
                <w:bCs/>
                <w:color w:val="auto"/>
                <w:kern w:val="2"/>
                <w:sz w:val="24"/>
                <w:szCs w:val="24"/>
                <w:vertAlign w:val="subscript"/>
                <w:lang w:val="en-US" w:eastAsia="zh-CN" w:bidi="ar-SA"/>
              </w:rPr>
              <w:t>颗粒物</w:t>
            </w:r>
            <w:r>
              <w:rPr>
                <w:rFonts w:hint="default" w:ascii="Times New Roman" w:hAnsi="Times New Roman" w:eastAsia="宋体" w:cs="Times New Roman"/>
                <w:b w:val="0"/>
                <w:bCs/>
                <w:color w:val="auto"/>
                <w:kern w:val="2"/>
                <w:sz w:val="24"/>
                <w:szCs w:val="24"/>
                <w:lang w:val="en-US" w:eastAsia="zh-CN" w:bidi="ar-SA"/>
              </w:rPr>
              <w:t>×10</w:t>
            </w:r>
            <w:r>
              <w:rPr>
                <w:rFonts w:hint="default" w:ascii="Times New Roman" w:hAnsi="Times New Roman" w:eastAsia="宋体" w:cs="Times New Roman"/>
                <w:b w:val="0"/>
                <w:bCs/>
                <w:color w:val="auto"/>
                <w:kern w:val="2"/>
                <w:sz w:val="24"/>
                <w:szCs w:val="24"/>
                <w:vertAlign w:val="superscript"/>
                <w:lang w:val="en-US" w:eastAsia="zh-CN" w:bidi="ar-SA"/>
              </w:rPr>
              <w:t>-3</w:t>
            </w:r>
          </w:p>
          <w:p w14:paraId="6649B8E0">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color w:val="auto"/>
                <w:kern w:val="2"/>
                <w:sz w:val="24"/>
                <w:szCs w:val="24"/>
                <w:vertAlign w:val="baseline"/>
                <w:lang w:val="en-US" w:eastAsia="zh-CN" w:bidi="ar-SA"/>
              </w:rPr>
            </w:pPr>
            <w:r>
              <w:rPr>
                <w:rFonts w:hint="eastAsia" w:ascii="Times New Roman" w:hAnsi="Times New Roman" w:eastAsia="宋体" w:cs="Times New Roman"/>
                <w:b w:val="0"/>
                <w:bCs/>
                <w:color w:val="auto"/>
                <w:kern w:val="2"/>
                <w:sz w:val="24"/>
                <w:szCs w:val="24"/>
                <w:vertAlign w:val="baseline"/>
                <w:lang w:val="en-US" w:eastAsia="zh-CN" w:bidi="ar-SA"/>
              </w:rPr>
              <w:t>式中：</w:t>
            </w:r>
            <w:r>
              <w:rPr>
                <w:rFonts w:hint="default" w:ascii="Times New Roman" w:hAnsi="Times New Roman" w:eastAsia="宋体" w:cs="Times New Roman"/>
                <w:b w:val="0"/>
                <w:bCs/>
                <w:color w:val="auto"/>
                <w:kern w:val="2"/>
                <w:sz w:val="24"/>
                <w:szCs w:val="24"/>
                <w:lang w:val="en-US" w:eastAsia="zh-CN" w:bidi="ar-SA"/>
              </w:rPr>
              <w:t>E</w:t>
            </w:r>
            <w:r>
              <w:rPr>
                <w:rFonts w:hint="default" w:ascii="Times New Roman" w:hAnsi="Times New Roman" w:eastAsia="宋体" w:cs="Times New Roman"/>
                <w:b w:val="0"/>
                <w:bCs/>
                <w:color w:val="auto"/>
                <w:kern w:val="2"/>
                <w:sz w:val="24"/>
                <w:szCs w:val="24"/>
                <w:vertAlign w:val="subscript"/>
                <w:lang w:val="en-US" w:eastAsia="zh-CN" w:bidi="ar-SA"/>
              </w:rPr>
              <w:t>颗粒物</w:t>
            </w:r>
            <w:r>
              <w:rPr>
                <w:rFonts w:hint="eastAsia" w:ascii="宋体" w:hAnsi="宋体" w:eastAsia="宋体" w:cs="宋体"/>
                <w:b w:val="0"/>
                <w:bCs/>
                <w:color w:val="auto"/>
                <w:kern w:val="2"/>
                <w:sz w:val="24"/>
                <w:szCs w:val="24"/>
                <w:vertAlign w:val="baseline"/>
                <w:lang w:val="en-US" w:eastAsia="zh-CN" w:bidi="ar-SA"/>
              </w:rPr>
              <w:t>－</w:t>
            </w:r>
            <w:r>
              <w:rPr>
                <w:rFonts w:hint="eastAsia" w:ascii="Times New Roman" w:hAnsi="Times New Roman" w:eastAsia="宋体" w:cs="Times New Roman"/>
                <w:b w:val="0"/>
                <w:bCs/>
                <w:color w:val="auto"/>
                <w:kern w:val="2"/>
                <w:sz w:val="24"/>
                <w:szCs w:val="24"/>
                <w:vertAlign w:val="baseline"/>
                <w:lang w:val="en-US" w:eastAsia="zh-CN" w:bidi="ar-SA"/>
              </w:rPr>
              <w:t>颗粒物的排放总量，吨；</w:t>
            </w:r>
          </w:p>
          <w:p w14:paraId="1DD86FF5">
            <w:pPr>
              <w:keepNext w:val="0"/>
              <w:keepLines w:val="0"/>
              <w:widowControl w:val="0"/>
              <w:suppressLineNumbers w:val="0"/>
              <w:adjustRightInd w:val="0"/>
              <w:spacing w:before="0" w:beforeAutospacing="0" w:after="0" w:afterAutospacing="0" w:line="360" w:lineRule="auto"/>
              <w:ind w:left="0" w:right="0" w:firstLine="1200" w:firstLineChars="500"/>
              <w:jc w:val="both"/>
              <w:rPr>
                <w:rFonts w:hint="eastAsia" w:ascii="宋体" w:hAnsi="宋体" w:eastAsia="宋体" w:cs="宋体"/>
                <w:b w:val="0"/>
                <w:bCs/>
                <w:color w:val="auto"/>
                <w:kern w:val="2"/>
                <w:sz w:val="24"/>
                <w:szCs w:val="24"/>
                <w:vertAlign w:val="baseline"/>
                <w:lang w:val="en-US" w:eastAsia="zh-CN" w:bidi="ar-SA"/>
              </w:rPr>
            </w:pPr>
            <w:r>
              <w:rPr>
                <w:rFonts w:hint="default" w:ascii="Times New Roman" w:hAnsi="Times New Roman" w:eastAsia="宋体" w:cs="Times New Roman"/>
                <w:b w:val="0"/>
                <w:bCs/>
                <w:color w:val="auto"/>
                <w:kern w:val="2"/>
                <w:sz w:val="24"/>
                <w:szCs w:val="24"/>
                <w:lang w:val="en-US" w:eastAsia="zh-CN" w:bidi="ar-SA"/>
              </w:rPr>
              <w:t>R</w:t>
            </w:r>
            <w:r>
              <w:rPr>
                <w:rFonts w:hint="eastAsia" w:ascii="宋体" w:hAnsi="宋体" w:eastAsia="宋体" w:cs="宋体"/>
                <w:b w:val="0"/>
                <w:bCs/>
                <w:color w:val="auto"/>
                <w:kern w:val="2"/>
                <w:sz w:val="24"/>
                <w:szCs w:val="24"/>
                <w:vertAlign w:val="baseline"/>
                <w:lang w:val="en-US" w:eastAsia="zh-CN" w:bidi="ar-SA"/>
              </w:rPr>
              <w:t>－锅炉燃烧消耗量，吨；</w:t>
            </w:r>
          </w:p>
          <w:p w14:paraId="6C9FE693">
            <w:pPr>
              <w:keepNext w:val="0"/>
              <w:keepLines w:val="0"/>
              <w:widowControl w:val="0"/>
              <w:suppressLineNumbers w:val="0"/>
              <w:adjustRightInd w:val="0"/>
              <w:spacing w:before="0" w:beforeAutospacing="0" w:after="0" w:afterAutospacing="0" w:line="360" w:lineRule="auto"/>
              <w:ind w:left="0" w:right="0" w:firstLine="1200" w:firstLineChars="500"/>
              <w:jc w:val="both"/>
              <w:rPr>
                <w:rFonts w:hint="default" w:ascii="Times New Roman" w:hAnsi="Times New Roman" w:eastAsia="宋体" w:cs="Times New Roman"/>
                <w:b w:val="0"/>
                <w:bCs/>
                <w:color w:val="auto"/>
                <w:kern w:val="2"/>
                <w:sz w:val="24"/>
                <w:szCs w:val="24"/>
                <w:vertAlign w:val="baseline"/>
                <w:lang w:val="en-US" w:eastAsia="zh-CN" w:bidi="ar-SA"/>
              </w:rPr>
            </w:pPr>
            <w:r>
              <w:rPr>
                <w:rFonts w:hint="default" w:ascii="Times New Roman" w:hAnsi="Times New Roman" w:eastAsia="宋体" w:cs="Times New Roman"/>
                <w:b w:val="0"/>
                <w:bCs/>
                <w:color w:val="auto"/>
                <w:kern w:val="2"/>
                <w:sz w:val="24"/>
                <w:szCs w:val="24"/>
                <w:lang w:val="en-US" w:eastAsia="zh-CN" w:bidi="ar-SA"/>
              </w:rPr>
              <w:t>β</w:t>
            </w:r>
            <w:r>
              <w:rPr>
                <w:rFonts w:hint="default" w:ascii="Times New Roman" w:hAnsi="Times New Roman" w:eastAsia="宋体" w:cs="Times New Roman"/>
                <w:b w:val="0"/>
                <w:bCs/>
                <w:color w:val="auto"/>
                <w:kern w:val="2"/>
                <w:sz w:val="24"/>
                <w:szCs w:val="24"/>
                <w:vertAlign w:val="subscript"/>
                <w:lang w:val="en-US" w:eastAsia="zh-CN" w:bidi="ar-SA"/>
              </w:rPr>
              <w:t>颗粒物</w:t>
            </w:r>
            <w:r>
              <w:rPr>
                <w:rFonts w:hint="eastAsia" w:ascii="宋体" w:hAnsi="宋体" w:eastAsia="宋体" w:cs="宋体"/>
                <w:b w:val="0"/>
                <w:bCs/>
                <w:color w:val="auto"/>
                <w:kern w:val="2"/>
                <w:sz w:val="24"/>
                <w:szCs w:val="24"/>
                <w:vertAlign w:val="baseline"/>
                <w:lang w:val="en-US" w:eastAsia="zh-CN" w:bidi="ar-SA"/>
              </w:rPr>
              <w:t>－颗粒物产排污系数，</w:t>
            </w:r>
            <w:r>
              <w:rPr>
                <w:rFonts w:hint="default" w:ascii="Times New Roman" w:hAnsi="Times New Roman" w:eastAsia="宋体" w:cs="Times New Roman"/>
                <w:b w:val="0"/>
                <w:bCs/>
                <w:color w:val="auto"/>
                <w:kern w:val="2"/>
                <w:sz w:val="24"/>
                <w:szCs w:val="24"/>
                <w:vertAlign w:val="baseline"/>
                <w:lang w:val="en-US" w:eastAsia="zh-CN" w:bidi="ar-SA"/>
              </w:rPr>
              <w:t>kg/</w:t>
            </w:r>
            <w:r>
              <w:rPr>
                <w:rFonts w:hint="eastAsia" w:ascii="Times New Roman" w:hAnsi="Times New Roman" w:eastAsia="宋体" w:cs="Times New Roman"/>
                <w:b w:val="0"/>
                <w:bCs/>
                <w:color w:val="auto"/>
                <w:kern w:val="2"/>
                <w:sz w:val="24"/>
                <w:szCs w:val="24"/>
                <w:vertAlign w:val="baseline"/>
                <w:lang w:val="en-US" w:eastAsia="zh-CN" w:bidi="ar-SA"/>
              </w:rPr>
              <w:t>万m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vertAlign w:val="baseline"/>
                <w:lang w:val="en-US" w:eastAsia="zh-CN" w:bidi="ar-SA"/>
              </w:rPr>
              <w:t>-燃料</w:t>
            </w:r>
            <w:r>
              <w:rPr>
                <w:rFonts w:hint="eastAsia" w:ascii="Times New Roman" w:hAnsi="Times New Roman" w:eastAsia="宋体" w:cs="Times New Roman"/>
                <w:b w:val="0"/>
                <w:bCs/>
                <w:color w:val="auto"/>
                <w:kern w:val="2"/>
                <w:sz w:val="24"/>
                <w:szCs w:val="24"/>
                <w:vertAlign w:val="baseline"/>
                <w:lang w:val="en-US" w:eastAsia="zh-CN" w:bidi="ar-SA"/>
              </w:rPr>
              <w:t>，产污系数取2.86；</w:t>
            </w:r>
          </w:p>
          <w:p w14:paraId="4C8D14A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kern w:val="2"/>
                <w:sz w:val="24"/>
                <w:szCs w:val="24"/>
                <w:vertAlign w:val="baseline"/>
                <w:lang w:val="en-US" w:eastAsia="zh-CN" w:bidi="ar-SA"/>
              </w:rPr>
            </w:pPr>
            <w:r>
              <w:rPr>
                <w:rFonts w:hint="eastAsia" w:ascii="Times New Roman" w:hAnsi="Times New Roman" w:eastAsia="宋体" w:cs="Times New Roman"/>
                <w:b w:val="0"/>
                <w:bCs/>
                <w:color w:val="auto"/>
                <w:kern w:val="2"/>
                <w:sz w:val="24"/>
                <w:szCs w:val="24"/>
                <w:vertAlign w:val="baseline"/>
                <w:lang w:val="en-US" w:eastAsia="zh-CN" w:bidi="ar-SA"/>
              </w:rPr>
              <w:t>由此计算所得颗粒物产生量为0.206t/a，排放量为0.206t/a。</w:t>
            </w:r>
          </w:p>
          <w:p w14:paraId="04BC7285">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宋体"/>
                <w:b w:val="0"/>
                <w:bCs/>
                <w:color w:val="auto"/>
                <w:kern w:val="2"/>
                <w:sz w:val="24"/>
                <w:szCs w:val="24"/>
                <w:lang w:val="en-US" w:eastAsia="zh-CN" w:bidi="ar-SA"/>
              </w:rPr>
            </w:pPr>
            <w:r>
              <w:rPr>
                <w:rFonts w:hint="eastAsia" w:ascii="Times New Roman" w:hAnsi="Times New Roman" w:eastAsia="宋体" w:cs="宋体"/>
                <w:b w:val="0"/>
                <w:bCs/>
                <w:color w:val="auto"/>
                <w:kern w:val="2"/>
                <w:sz w:val="24"/>
                <w:szCs w:val="24"/>
                <w:lang w:val="en-US" w:eastAsia="zh-CN" w:bidi="ar-SA"/>
              </w:rPr>
              <w:t>②二氧化硫排放量</w:t>
            </w:r>
          </w:p>
          <w:p w14:paraId="34C5E594">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vertAlign w:val="superscript"/>
                <w:lang w:val="en-US" w:eastAsia="zh-CN" w:bidi="ar-SA"/>
              </w:rPr>
            </w:pPr>
            <w:r>
              <w:rPr>
                <w:rFonts w:hint="eastAsia" w:ascii="Times New Roman" w:hAnsi="Times New Roman" w:eastAsia="宋体" w:cs="宋体"/>
                <w:b w:val="0"/>
                <w:bCs/>
                <w:color w:val="auto"/>
                <w:kern w:val="2"/>
                <w:sz w:val="24"/>
                <w:szCs w:val="24"/>
                <w:lang w:val="en-US" w:eastAsia="zh-CN" w:bidi="ar-SA"/>
              </w:rPr>
              <w:t>采用《排污许可证申请与核发技术规范 锅炉》（HJ953-2018）中推荐的产排污计算公式：</w:t>
            </w:r>
            <w:r>
              <w:rPr>
                <w:rFonts w:hint="default" w:ascii="Times New Roman" w:hAnsi="Times New Roman" w:eastAsia="宋体" w:cs="Times New Roman"/>
                <w:b w:val="0"/>
                <w:bCs/>
                <w:color w:val="auto"/>
                <w:kern w:val="2"/>
                <w:sz w:val="24"/>
                <w:szCs w:val="24"/>
                <w:lang w:val="en-US" w:eastAsia="zh-CN" w:bidi="ar-SA"/>
              </w:rPr>
              <w:t>E</w:t>
            </w:r>
            <w:r>
              <w:rPr>
                <w:rFonts w:hint="eastAsia" w:ascii="Times New Roman" w:hAnsi="Times New Roman" w:eastAsia="宋体" w:cs="Times New Roman"/>
                <w:b w:val="0"/>
                <w:bCs/>
                <w:color w:val="auto"/>
                <w:kern w:val="2"/>
                <w:sz w:val="24"/>
                <w:szCs w:val="24"/>
                <w:vertAlign w:val="subscript"/>
                <w:lang w:val="en-US" w:eastAsia="zh-CN" w:bidi="ar-SA"/>
              </w:rPr>
              <w:t>二氧化硫</w:t>
            </w:r>
            <w:r>
              <w:rPr>
                <w:rFonts w:hint="default" w:ascii="Times New Roman" w:hAnsi="Times New Roman" w:eastAsia="宋体" w:cs="Times New Roman"/>
                <w:b w:val="0"/>
                <w:bCs/>
                <w:color w:val="auto"/>
                <w:kern w:val="2"/>
                <w:sz w:val="24"/>
                <w:szCs w:val="24"/>
                <w:lang w:val="en-US" w:eastAsia="zh-CN" w:bidi="ar-SA"/>
              </w:rPr>
              <w:t>=R×β</w:t>
            </w:r>
            <w:r>
              <w:rPr>
                <w:rFonts w:hint="eastAsia" w:ascii="Times New Roman" w:hAnsi="Times New Roman" w:eastAsia="宋体" w:cs="Times New Roman"/>
                <w:b w:val="0"/>
                <w:bCs/>
                <w:color w:val="auto"/>
                <w:kern w:val="2"/>
                <w:sz w:val="24"/>
                <w:szCs w:val="24"/>
                <w:vertAlign w:val="subscript"/>
                <w:lang w:val="en-US" w:eastAsia="zh-CN" w:bidi="ar-SA"/>
              </w:rPr>
              <w:t>二氧化硫</w:t>
            </w:r>
            <w:r>
              <w:rPr>
                <w:rFonts w:hint="default" w:ascii="Times New Roman" w:hAnsi="Times New Roman" w:eastAsia="宋体" w:cs="Times New Roman"/>
                <w:b w:val="0"/>
                <w:bCs/>
                <w:color w:val="auto"/>
                <w:kern w:val="2"/>
                <w:sz w:val="24"/>
                <w:szCs w:val="24"/>
                <w:lang w:val="en-US" w:eastAsia="zh-CN" w:bidi="ar-SA"/>
              </w:rPr>
              <w:t>×10</w:t>
            </w:r>
            <w:r>
              <w:rPr>
                <w:rFonts w:hint="default" w:ascii="Times New Roman" w:hAnsi="Times New Roman" w:eastAsia="宋体" w:cs="Times New Roman"/>
                <w:b w:val="0"/>
                <w:bCs/>
                <w:color w:val="auto"/>
                <w:kern w:val="2"/>
                <w:sz w:val="24"/>
                <w:szCs w:val="24"/>
                <w:vertAlign w:val="superscript"/>
                <w:lang w:val="en-US" w:eastAsia="zh-CN" w:bidi="ar-SA"/>
              </w:rPr>
              <w:t>-3</w:t>
            </w:r>
          </w:p>
          <w:p w14:paraId="4AA3D589">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color w:val="auto"/>
                <w:kern w:val="2"/>
                <w:sz w:val="24"/>
                <w:szCs w:val="24"/>
                <w:vertAlign w:val="baseline"/>
                <w:lang w:val="en-US" w:eastAsia="zh-CN" w:bidi="ar-SA"/>
              </w:rPr>
            </w:pPr>
            <w:r>
              <w:rPr>
                <w:rFonts w:hint="eastAsia" w:ascii="Times New Roman" w:hAnsi="Times New Roman" w:eastAsia="宋体" w:cs="Times New Roman"/>
                <w:b w:val="0"/>
                <w:bCs/>
                <w:color w:val="auto"/>
                <w:kern w:val="2"/>
                <w:sz w:val="24"/>
                <w:szCs w:val="24"/>
                <w:vertAlign w:val="baseline"/>
                <w:lang w:val="en-US" w:eastAsia="zh-CN" w:bidi="ar-SA"/>
              </w:rPr>
              <w:t>式中：</w:t>
            </w:r>
            <w:r>
              <w:rPr>
                <w:rFonts w:hint="default" w:ascii="Times New Roman" w:hAnsi="Times New Roman" w:eastAsia="宋体" w:cs="Times New Roman"/>
                <w:b w:val="0"/>
                <w:bCs/>
                <w:color w:val="auto"/>
                <w:kern w:val="2"/>
                <w:sz w:val="24"/>
                <w:szCs w:val="24"/>
                <w:lang w:val="en-US" w:eastAsia="zh-CN" w:bidi="ar-SA"/>
              </w:rPr>
              <w:t>E</w:t>
            </w:r>
            <w:r>
              <w:rPr>
                <w:rFonts w:hint="eastAsia" w:ascii="Times New Roman" w:hAnsi="Times New Roman" w:eastAsia="宋体" w:cs="Times New Roman"/>
                <w:b w:val="0"/>
                <w:bCs/>
                <w:color w:val="auto"/>
                <w:kern w:val="2"/>
                <w:sz w:val="24"/>
                <w:szCs w:val="24"/>
                <w:vertAlign w:val="subscript"/>
                <w:lang w:val="en-US" w:eastAsia="zh-CN" w:bidi="ar-SA"/>
              </w:rPr>
              <w:t>二氧化硫</w:t>
            </w:r>
            <w:r>
              <w:rPr>
                <w:rFonts w:hint="eastAsia" w:ascii="宋体" w:hAnsi="宋体" w:eastAsia="宋体" w:cs="宋体"/>
                <w:b w:val="0"/>
                <w:bCs/>
                <w:color w:val="auto"/>
                <w:kern w:val="2"/>
                <w:sz w:val="24"/>
                <w:szCs w:val="24"/>
                <w:vertAlign w:val="baseline"/>
                <w:lang w:val="en-US" w:eastAsia="zh-CN" w:bidi="ar-SA"/>
              </w:rPr>
              <w:t>－</w:t>
            </w:r>
            <w:r>
              <w:rPr>
                <w:rFonts w:hint="eastAsia" w:ascii="Times New Roman" w:hAnsi="Times New Roman" w:eastAsia="宋体" w:cs="Times New Roman"/>
                <w:b w:val="0"/>
                <w:bCs/>
                <w:color w:val="auto"/>
                <w:kern w:val="2"/>
                <w:sz w:val="24"/>
                <w:szCs w:val="24"/>
                <w:vertAlign w:val="baseline"/>
                <w:lang w:val="en-US" w:eastAsia="zh-CN" w:bidi="ar-SA"/>
              </w:rPr>
              <w:t>二氧化硫的排放总量，吨；</w:t>
            </w:r>
          </w:p>
          <w:p w14:paraId="175AC87E">
            <w:pPr>
              <w:keepNext w:val="0"/>
              <w:keepLines w:val="0"/>
              <w:widowControl w:val="0"/>
              <w:suppressLineNumbers w:val="0"/>
              <w:adjustRightInd w:val="0"/>
              <w:spacing w:before="0" w:beforeAutospacing="0" w:after="0" w:afterAutospacing="0" w:line="360" w:lineRule="auto"/>
              <w:ind w:left="0" w:right="0" w:firstLine="1200" w:firstLineChars="500"/>
              <w:jc w:val="both"/>
              <w:rPr>
                <w:rFonts w:hint="eastAsia" w:ascii="宋体" w:hAnsi="宋体" w:eastAsia="宋体" w:cs="宋体"/>
                <w:b w:val="0"/>
                <w:bCs/>
                <w:color w:val="auto"/>
                <w:kern w:val="2"/>
                <w:sz w:val="24"/>
                <w:szCs w:val="24"/>
                <w:vertAlign w:val="baseline"/>
                <w:lang w:val="en-US" w:eastAsia="zh-CN" w:bidi="ar-SA"/>
              </w:rPr>
            </w:pPr>
            <w:r>
              <w:rPr>
                <w:rFonts w:hint="default" w:ascii="Times New Roman" w:hAnsi="Times New Roman" w:eastAsia="宋体" w:cs="Times New Roman"/>
                <w:b w:val="0"/>
                <w:bCs/>
                <w:color w:val="auto"/>
                <w:kern w:val="2"/>
                <w:sz w:val="24"/>
                <w:szCs w:val="24"/>
                <w:lang w:val="en-US" w:eastAsia="zh-CN" w:bidi="ar-SA"/>
              </w:rPr>
              <w:t>R</w:t>
            </w:r>
            <w:r>
              <w:rPr>
                <w:rFonts w:hint="eastAsia" w:ascii="宋体" w:hAnsi="宋体" w:eastAsia="宋体" w:cs="宋体"/>
                <w:b w:val="0"/>
                <w:bCs/>
                <w:color w:val="auto"/>
                <w:kern w:val="2"/>
                <w:sz w:val="24"/>
                <w:szCs w:val="24"/>
                <w:vertAlign w:val="baseline"/>
                <w:lang w:val="en-US" w:eastAsia="zh-CN" w:bidi="ar-SA"/>
              </w:rPr>
              <w:t>－锅炉燃烧消耗量，吨；</w:t>
            </w:r>
          </w:p>
          <w:p w14:paraId="2CC8505E">
            <w:pPr>
              <w:keepNext w:val="0"/>
              <w:keepLines w:val="0"/>
              <w:widowControl w:val="0"/>
              <w:suppressLineNumbers w:val="0"/>
              <w:adjustRightInd w:val="0"/>
              <w:spacing w:before="0" w:beforeAutospacing="0" w:after="0" w:afterAutospacing="0" w:line="360" w:lineRule="auto"/>
              <w:ind w:left="0" w:right="0" w:firstLine="1200" w:firstLineChars="500"/>
              <w:jc w:val="both"/>
              <w:rPr>
                <w:rFonts w:hint="eastAsia" w:ascii="Times New Roman" w:hAnsi="Times New Roman" w:eastAsia="宋体" w:cs="Times New Roman"/>
                <w:b w:val="0"/>
                <w:bCs/>
                <w:color w:val="auto"/>
                <w:kern w:val="2"/>
                <w:sz w:val="24"/>
                <w:szCs w:val="24"/>
                <w:vertAlign w:val="baseline"/>
                <w:lang w:val="en-US" w:eastAsia="zh-CN" w:bidi="ar-SA"/>
              </w:rPr>
            </w:pPr>
            <w:r>
              <w:rPr>
                <w:rFonts w:hint="default" w:ascii="Times New Roman" w:hAnsi="Times New Roman" w:eastAsia="宋体" w:cs="Times New Roman"/>
                <w:b w:val="0"/>
                <w:bCs/>
                <w:color w:val="auto"/>
                <w:kern w:val="2"/>
                <w:sz w:val="24"/>
                <w:szCs w:val="24"/>
                <w:lang w:val="en-US" w:eastAsia="zh-CN" w:bidi="ar-SA"/>
              </w:rPr>
              <w:t>β</w:t>
            </w:r>
            <w:r>
              <w:rPr>
                <w:rFonts w:hint="eastAsia" w:ascii="Times New Roman" w:hAnsi="Times New Roman" w:eastAsia="宋体" w:cs="Times New Roman"/>
                <w:b w:val="0"/>
                <w:bCs/>
                <w:color w:val="auto"/>
                <w:kern w:val="2"/>
                <w:sz w:val="24"/>
                <w:szCs w:val="24"/>
                <w:vertAlign w:val="subscript"/>
                <w:lang w:val="en-US" w:eastAsia="zh-CN" w:bidi="ar-SA"/>
              </w:rPr>
              <w:t>二氧化硫</w:t>
            </w:r>
            <w:r>
              <w:rPr>
                <w:rFonts w:hint="eastAsia" w:ascii="宋体" w:hAnsi="宋体" w:eastAsia="宋体" w:cs="宋体"/>
                <w:b w:val="0"/>
                <w:bCs/>
                <w:color w:val="auto"/>
                <w:kern w:val="2"/>
                <w:sz w:val="24"/>
                <w:szCs w:val="24"/>
                <w:vertAlign w:val="baseline"/>
                <w:lang w:val="en-US" w:eastAsia="zh-CN" w:bidi="ar-SA"/>
              </w:rPr>
              <w:t>－</w:t>
            </w:r>
            <w:r>
              <w:rPr>
                <w:rFonts w:hint="eastAsia" w:ascii="Times New Roman" w:hAnsi="Times New Roman" w:eastAsia="宋体" w:cs="Times New Roman"/>
                <w:b w:val="0"/>
                <w:bCs/>
                <w:color w:val="auto"/>
                <w:kern w:val="2"/>
                <w:sz w:val="24"/>
                <w:szCs w:val="24"/>
                <w:vertAlign w:val="baseline"/>
                <w:lang w:val="en-US" w:eastAsia="zh-CN" w:bidi="ar-SA"/>
              </w:rPr>
              <w:t>二氧化硫</w:t>
            </w:r>
            <w:r>
              <w:rPr>
                <w:rFonts w:hint="eastAsia" w:ascii="宋体" w:hAnsi="宋体" w:eastAsia="宋体" w:cs="宋体"/>
                <w:b w:val="0"/>
                <w:bCs/>
                <w:color w:val="auto"/>
                <w:kern w:val="2"/>
                <w:sz w:val="24"/>
                <w:szCs w:val="24"/>
                <w:vertAlign w:val="baseline"/>
                <w:lang w:val="en-US" w:eastAsia="zh-CN" w:bidi="ar-SA"/>
              </w:rPr>
              <w:t>产排污系数，</w:t>
            </w:r>
            <w:r>
              <w:rPr>
                <w:rFonts w:hint="default" w:ascii="Times New Roman" w:hAnsi="Times New Roman" w:eastAsia="宋体" w:cs="Times New Roman"/>
                <w:b w:val="0"/>
                <w:bCs/>
                <w:color w:val="auto"/>
                <w:kern w:val="2"/>
                <w:sz w:val="24"/>
                <w:szCs w:val="24"/>
                <w:vertAlign w:val="baseline"/>
                <w:lang w:val="en-US" w:eastAsia="zh-CN" w:bidi="ar-SA"/>
              </w:rPr>
              <w:t>kg/</w:t>
            </w:r>
            <w:r>
              <w:rPr>
                <w:rFonts w:hint="eastAsia" w:ascii="Times New Roman" w:hAnsi="Times New Roman" w:eastAsia="宋体" w:cs="Times New Roman"/>
                <w:b w:val="0"/>
                <w:bCs/>
                <w:color w:val="auto"/>
                <w:kern w:val="2"/>
                <w:sz w:val="24"/>
                <w:szCs w:val="24"/>
                <w:vertAlign w:val="baseline"/>
                <w:lang w:val="en-US" w:eastAsia="zh-CN" w:bidi="ar-SA"/>
              </w:rPr>
              <w:t>万m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vertAlign w:val="baseline"/>
                <w:lang w:val="en-US" w:eastAsia="zh-CN" w:bidi="ar-SA"/>
              </w:rPr>
              <w:t>-燃料</w:t>
            </w:r>
            <w:r>
              <w:rPr>
                <w:rFonts w:hint="eastAsia" w:ascii="Times New Roman" w:hAnsi="Times New Roman" w:eastAsia="宋体" w:cs="Times New Roman"/>
                <w:b w:val="0"/>
                <w:bCs/>
                <w:color w:val="auto"/>
                <w:kern w:val="2"/>
                <w:sz w:val="24"/>
                <w:szCs w:val="24"/>
                <w:vertAlign w:val="baseline"/>
                <w:lang w:val="en-US" w:eastAsia="zh-CN" w:bidi="ar-SA"/>
              </w:rPr>
              <w:t>，直排取0.02S，S取100。</w:t>
            </w:r>
          </w:p>
          <w:p w14:paraId="0F44E3C2">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color w:val="auto"/>
                <w:kern w:val="2"/>
                <w:sz w:val="24"/>
                <w:szCs w:val="24"/>
                <w:vertAlign w:val="baseline"/>
                <w:lang w:val="en-US" w:eastAsia="zh-CN" w:bidi="ar-SA"/>
              </w:rPr>
            </w:pPr>
            <w:r>
              <w:rPr>
                <w:rFonts w:hint="eastAsia" w:ascii="Times New Roman" w:hAnsi="Times New Roman" w:eastAsia="宋体" w:cs="Times New Roman"/>
                <w:b w:val="0"/>
                <w:bCs/>
                <w:color w:val="auto"/>
                <w:kern w:val="2"/>
                <w:sz w:val="24"/>
                <w:szCs w:val="24"/>
                <w:vertAlign w:val="baseline"/>
                <w:lang w:val="en-US" w:eastAsia="zh-CN" w:bidi="ar-SA"/>
              </w:rPr>
              <w:t>由此计算所得二氧化硫产生量0.144t/a，排放量为0.144t/a。</w:t>
            </w:r>
          </w:p>
          <w:p w14:paraId="598D45E3">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宋体"/>
                <w:b w:val="0"/>
                <w:bCs/>
                <w:color w:val="auto"/>
                <w:kern w:val="2"/>
                <w:sz w:val="24"/>
                <w:szCs w:val="24"/>
                <w:lang w:val="en-US" w:eastAsia="zh-CN" w:bidi="ar-SA"/>
              </w:rPr>
            </w:pPr>
            <w:r>
              <w:rPr>
                <w:rFonts w:hint="eastAsia" w:ascii="Times New Roman" w:hAnsi="Times New Roman" w:eastAsia="宋体" w:cs="宋体"/>
                <w:b w:val="0"/>
                <w:bCs/>
                <w:color w:val="auto"/>
                <w:kern w:val="2"/>
                <w:sz w:val="24"/>
                <w:szCs w:val="24"/>
                <w:lang w:val="en-US" w:eastAsia="zh-CN" w:bidi="ar-SA"/>
              </w:rPr>
              <w:t>③氮氧化物排放量</w:t>
            </w:r>
          </w:p>
          <w:p w14:paraId="164038AB">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vertAlign w:val="superscript"/>
                <w:lang w:val="en-US" w:eastAsia="zh-CN" w:bidi="ar-SA"/>
              </w:rPr>
            </w:pPr>
            <w:r>
              <w:rPr>
                <w:rFonts w:hint="eastAsia" w:ascii="Times New Roman" w:hAnsi="Times New Roman" w:eastAsia="宋体" w:cs="宋体"/>
                <w:b w:val="0"/>
                <w:bCs/>
                <w:color w:val="auto"/>
                <w:kern w:val="2"/>
                <w:sz w:val="24"/>
                <w:szCs w:val="24"/>
                <w:lang w:val="en-US" w:eastAsia="zh-CN" w:bidi="ar-SA"/>
              </w:rPr>
              <w:t>采用《排污许可证申请与核发技术规范 锅炉》（HJ953-2018）中推荐的产排污计算公式：</w:t>
            </w:r>
            <w:r>
              <w:rPr>
                <w:rFonts w:hint="default" w:ascii="Times New Roman" w:hAnsi="Times New Roman" w:eastAsia="宋体" w:cs="Times New Roman"/>
                <w:b w:val="0"/>
                <w:bCs/>
                <w:color w:val="auto"/>
                <w:kern w:val="2"/>
                <w:sz w:val="24"/>
                <w:szCs w:val="24"/>
                <w:lang w:val="en-US" w:eastAsia="zh-CN" w:bidi="ar-SA"/>
              </w:rPr>
              <w:t>E</w:t>
            </w:r>
            <w:r>
              <w:rPr>
                <w:rFonts w:hint="eastAsia" w:ascii="Times New Roman" w:hAnsi="Times New Roman" w:eastAsia="宋体" w:cs="宋体"/>
                <w:b w:val="0"/>
                <w:bCs/>
                <w:color w:val="auto"/>
                <w:kern w:val="2"/>
                <w:sz w:val="24"/>
                <w:szCs w:val="24"/>
                <w:vertAlign w:val="subscript"/>
                <w:lang w:val="en-US" w:eastAsia="zh-CN" w:bidi="ar-SA"/>
              </w:rPr>
              <w:t>氮氧化物</w:t>
            </w:r>
            <w:r>
              <w:rPr>
                <w:rFonts w:hint="default" w:ascii="Times New Roman" w:hAnsi="Times New Roman" w:eastAsia="宋体" w:cs="Times New Roman"/>
                <w:b w:val="0"/>
                <w:bCs/>
                <w:color w:val="auto"/>
                <w:kern w:val="2"/>
                <w:sz w:val="24"/>
                <w:szCs w:val="24"/>
                <w:lang w:val="en-US" w:eastAsia="zh-CN" w:bidi="ar-SA"/>
              </w:rPr>
              <w:t>=R×β</w:t>
            </w:r>
            <w:r>
              <w:rPr>
                <w:rFonts w:hint="eastAsia" w:ascii="Times New Roman" w:hAnsi="Times New Roman" w:eastAsia="宋体" w:cs="宋体"/>
                <w:b w:val="0"/>
                <w:bCs/>
                <w:color w:val="auto"/>
                <w:kern w:val="2"/>
                <w:sz w:val="24"/>
                <w:szCs w:val="24"/>
                <w:vertAlign w:val="subscript"/>
                <w:lang w:val="en-US" w:eastAsia="zh-CN" w:bidi="ar-SA"/>
              </w:rPr>
              <w:t>氮氧化物</w:t>
            </w:r>
            <w:r>
              <w:rPr>
                <w:rFonts w:hint="default" w:ascii="Times New Roman" w:hAnsi="Times New Roman" w:eastAsia="宋体" w:cs="Times New Roman"/>
                <w:b w:val="0"/>
                <w:bCs/>
                <w:color w:val="auto"/>
                <w:kern w:val="2"/>
                <w:sz w:val="24"/>
                <w:szCs w:val="24"/>
                <w:lang w:val="en-US" w:eastAsia="zh-CN" w:bidi="ar-SA"/>
              </w:rPr>
              <w:t>×10</w:t>
            </w:r>
            <w:r>
              <w:rPr>
                <w:rFonts w:hint="default" w:ascii="Times New Roman" w:hAnsi="Times New Roman" w:eastAsia="宋体" w:cs="Times New Roman"/>
                <w:b w:val="0"/>
                <w:bCs/>
                <w:color w:val="auto"/>
                <w:kern w:val="2"/>
                <w:sz w:val="24"/>
                <w:szCs w:val="24"/>
                <w:vertAlign w:val="superscript"/>
                <w:lang w:val="en-US" w:eastAsia="zh-CN" w:bidi="ar-SA"/>
              </w:rPr>
              <w:t>-3</w:t>
            </w:r>
          </w:p>
          <w:p w14:paraId="39262E34">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color w:val="auto"/>
                <w:kern w:val="2"/>
                <w:sz w:val="24"/>
                <w:szCs w:val="24"/>
                <w:vertAlign w:val="baseline"/>
                <w:lang w:val="en-US" w:eastAsia="zh-CN" w:bidi="ar-SA"/>
              </w:rPr>
            </w:pPr>
            <w:r>
              <w:rPr>
                <w:rFonts w:hint="eastAsia" w:ascii="Times New Roman" w:hAnsi="Times New Roman" w:eastAsia="宋体" w:cs="Times New Roman"/>
                <w:b w:val="0"/>
                <w:bCs/>
                <w:color w:val="auto"/>
                <w:kern w:val="2"/>
                <w:sz w:val="24"/>
                <w:szCs w:val="24"/>
                <w:vertAlign w:val="baseline"/>
                <w:lang w:val="en-US" w:eastAsia="zh-CN" w:bidi="ar-SA"/>
              </w:rPr>
              <w:t>式中：</w:t>
            </w:r>
            <w:r>
              <w:rPr>
                <w:rFonts w:hint="default" w:ascii="Times New Roman" w:hAnsi="Times New Roman" w:eastAsia="宋体" w:cs="Times New Roman"/>
                <w:b w:val="0"/>
                <w:bCs/>
                <w:color w:val="auto"/>
                <w:kern w:val="2"/>
                <w:sz w:val="24"/>
                <w:szCs w:val="24"/>
                <w:lang w:val="en-US" w:eastAsia="zh-CN" w:bidi="ar-SA"/>
              </w:rPr>
              <w:t>E</w:t>
            </w:r>
            <w:r>
              <w:rPr>
                <w:rFonts w:hint="eastAsia" w:ascii="Times New Roman" w:hAnsi="Times New Roman" w:eastAsia="宋体" w:cs="宋体"/>
                <w:b w:val="0"/>
                <w:bCs/>
                <w:color w:val="auto"/>
                <w:kern w:val="2"/>
                <w:sz w:val="24"/>
                <w:szCs w:val="24"/>
                <w:vertAlign w:val="subscript"/>
                <w:lang w:val="en-US" w:eastAsia="zh-CN" w:bidi="ar-SA"/>
              </w:rPr>
              <w:t>氮氧化物</w:t>
            </w:r>
            <w:r>
              <w:rPr>
                <w:rFonts w:hint="eastAsia" w:ascii="宋体" w:hAnsi="宋体" w:eastAsia="宋体" w:cs="宋体"/>
                <w:b w:val="0"/>
                <w:bCs/>
                <w:color w:val="auto"/>
                <w:kern w:val="2"/>
                <w:sz w:val="24"/>
                <w:szCs w:val="24"/>
                <w:vertAlign w:val="baseline"/>
                <w:lang w:val="en-US" w:eastAsia="zh-CN" w:bidi="ar-SA"/>
              </w:rPr>
              <w:t>－</w:t>
            </w:r>
            <w:r>
              <w:rPr>
                <w:rFonts w:hint="eastAsia" w:ascii="Times New Roman" w:hAnsi="Times New Roman" w:eastAsia="宋体" w:cs="宋体"/>
                <w:b w:val="0"/>
                <w:bCs/>
                <w:color w:val="auto"/>
                <w:kern w:val="2"/>
                <w:sz w:val="24"/>
                <w:szCs w:val="24"/>
                <w:vertAlign w:val="baseline"/>
                <w:lang w:val="en-US" w:eastAsia="zh-CN" w:bidi="ar-SA"/>
              </w:rPr>
              <w:t>氮氧化物</w:t>
            </w:r>
            <w:r>
              <w:rPr>
                <w:rFonts w:hint="eastAsia" w:ascii="Times New Roman" w:hAnsi="Times New Roman" w:eastAsia="宋体" w:cs="Times New Roman"/>
                <w:b w:val="0"/>
                <w:bCs/>
                <w:color w:val="auto"/>
                <w:kern w:val="2"/>
                <w:sz w:val="24"/>
                <w:szCs w:val="24"/>
                <w:vertAlign w:val="baseline"/>
                <w:lang w:val="en-US" w:eastAsia="zh-CN" w:bidi="ar-SA"/>
              </w:rPr>
              <w:t>的排放总量，吨；</w:t>
            </w:r>
          </w:p>
          <w:p w14:paraId="1DB1DC96">
            <w:pPr>
              <w:keepNext w:val="0"/>
              <w:keepLines w:val="0"/>
              <w:widowControl w:val="0"/>
              <w:suppressLineNumbers w:val="0"/>
              <w:adjustRightInd w:val="0"/>
              <w:spacing w:before="0" w:beforeAutospacing="0" w:after="0" w:afterAutospacing="0" w:line="360" w:lineRule="auto"/>
              <w:ind w:left="0" w:right="0" w:firstLine="1200" w:firstLineChars="500"/>
              <w:jc w:val="both"/>
              <w:rPr>
                <w:rFonts w:hint="eastAsia" w:ascii="宋体" w:hAnsi="宋体" w:eastAsia="宋体" w:cs="宋体"/>
                <w:b w:val="0"/>
                <w:bCs/>
                <w:color w:val="auto"/>
                <w:kern w:val="2"/>
                <w:sz w:val="24"/>
                <w:szCs w:val="24"/>
                <w:vertAlign w:val="baseline"/>
                <w:lang w:val="en-US" w:eastAsia="zh-CN" w:bidi="ar-SA"/>
              </w:rPr>
            </w:pPr>
            <w:r>
              <w:rPr>
                <w:rFonts w:hint="default" w:ascii="Times New Roman" w:hAnsi="Times New Roman" w:eastAsia="宋体" w:cs="Times New Roman"/>
                <w:b w:val="0"/>
                <w:bCs/>
                <w:color w:val="auto"/>
                <w:kern w:val="2"/>
                <w:sz w:val="24"/>
                <w:szCs w:val="24"/>
                <w:lang w:val="en-US" w:eastAsia="zh-CN" w:bidi="ar-SA"/>
              </w:rPr>
              <w:t>R</w:t>
            </w:r>
            <w:r>
              <w:rPr>
                <w:rFonts w:hint="eastAsia" w:ascii="宋体" w:hAnsi="宋体" w:eastAsia="宋体" w:cs="宋体"/>
                <w:b w:val="0"/>
                <w:bCs/>
                <w:color w:val="auto"/>
                <w:kern w:val="2"/>
                <w:sz w:val="24"/>
                <w:szCs w:val="24"/>
                <w:vertAlign w:val="baseline"/>
                <w:lang w:val="en-US" w:eastAsia="zh-CN" w:bidi="ar-SA"/>
              </w:rPr>
              <w:t>－锅炉燃烧消耗量，吨；</w:t>
            </w:r>
          </w:p>
          <w:p w14:paraId="2407D38A">
            <w:pPr>
              <w:keepNext w:val="0"/>
              <w:keepLines w:val="0"/>
              <w:widowControl w:val="0"/>
              <w:suppressLineNumbers w:val="0"/>
              <w:adjustRightInd w:val="0"/>
              <w:spacing w:before="0" w:beforeAutospacing="0" w:after="0" w:afterAutospacing="0" w:line="360" w:lineRule="auto"/>
              <w:ind w:left="0" w:right="0" w:firstLine="1200" w:firstLineChars="500"/>
              <w:jc w:val="both"/>
              <w:rPr>
                <w:rFonts w:hint="eastAsia" w:ascii="Times New Roman" w:hAnsi="Times New Roman" w:eastAsia="宋体" w:cs="Times New Roman"/>
                <w:b w:val="0"/>
                <w:bCs/>
                <w:color w:val="auto"/>
                <w:kern w:val="2"/>
                <w:sz w:val="24"/>
                <w:szCs w:val="24"/>
                <w:vertAlign w:val="baseline"/>
                <w:lang w:val="en-US" w:eastAsia="zh-CN" w:bidi="ar-SA"/>
              </w:rPr>
            </w:pPr>
            <w:r>
              <w:rPr>
                <w:rFonts w:hint="default" w:ascii="Times New Roman" w:hAnsi="Times New Roman" w:eastAsia="宋体" w:cs="Times New Roman"/>
                <w:b w:val="0"/>
                <w:bCs/>
                <w:color w:val="auto"/>
                <w:kern w:val="2"/>
                <w:sz w:val="24"/>
                <w:szCs w:val="24"/>
                <w:lang w:val="en-US" w:eastAsia="zh-CN" w:bidi="ar-SA"/>
              </w:rPr>
              <w:t>β</w:t>
            </w:r>
            <w:r>
              <w:rPr>
                <w:rFonts w:hint="eastAsia" w:ascii="Times New Roman" w:hAnsi="Times New Roman" w:eastAsia="宋体" w:cs="宋体"/>
                <w:b w:val="0"/>
                <w:bCs/>
                <w:color w:val="auto"/>
                <w:kern w:val="2"/>
                <w:sz w:val="24"/>
                <w:szCs w:val="24"/>
                <w:vertAlign w:val="subscript"/>
                <w:lang w:val="en-US" w:eastAsia="zh-CN" w:bidi="ar-SA"/>
              </w:rPr>
              <w:t>氮氧化物</w:t>
            </w:r>
            <w:r>
              <w:rPr>
                <w:rFonts w:hint="eastAsia" w:ascii="宋体" w:hAnsi="宋体" w:eastAsia="宋体" w:cs="宋体"/>
                <w:b w:val="0"/>
                <w:bCs/>
                <w:color w:val="auto"/>
                <w:kern w:val="2"/>
                <w:sz w:val="24"/>
                <w:szCs w:val="24"/>
                <w:vertAlign w:val="baseline"/>
                <w:lang w:val="en-US" w:eastAsia="zh-CN" w:bidi="ar-SA"/>
              </w:rPr>
              <w:t>－</w:t>
            </w:r>
            <w:r>
              <w:rPr>
                <w:rFonts w:hint="eastAsia" w:ascii="Times New Roman" w:hAnsi="Times New Roman" w:eastAsia="宋体" w:cs="宋体"/>
                <w:b w:val="0"/>
                <w:bCs/>
                <w:color w:val="auto"/>
                <w:kern w:val="2"/>
                <w:sz w:val="24"/>
                <w:szCs w:val="24"/>
                <w:vertAlign w:val="baseline"/>
                <w:lang w:val="en-US" w:eastAsia="zh-CN" w:bidi="ar-SA"/>
              </w:rPr>
              <w:t>氮氧化物</w:t>
            </w:r>
            <w:r>
              <w:rPr>
                <w:rFonts w:hint="eastAsia" w:ascii="宋体" w:hAnsi="宋体" w:eastAsia="宋体" w:cs="宋体"/>
                <w:b w:val="0"/>
                <w:bCs/>
                <w:color w:val="auto"/>
                <w:kern w:val="2"/>
                <w:sz w:val="24"/>
                <w:szCs w:val="24"/>
                <w:vertAlign w:val="baseline"/>
                <w:lang w:val="en-US" w:eastAsia="zh-CN" w:bidi="ar-SA"/>
              </w:rPr>
              <w:t>产排污系数，</w:t>
            </w:r>
            <w:r>
              <w:rPr>
                <w:rFonts w:hint="default" w:ascii="Times New Roman" w:hAnsi="Times New Roman" w:eastAsia="宋体" w:cs="Times New Roman"/>
                <w:b w:val="0"/>
                <w:bCs/>
                <w:color w:val="auto"/>
                <w:kern w:val="2"/>
                <w:sz w:val="24"/>
                <w:szCs w:val="24"/>
                <w:vertAlign w:val="baseline"/>
                <w:lang w:val="en-US" w:eastAsia="zh-CN" w:bidi="ar-SA"/>
              </w:rPr>
              <w:t>kg/</w:t>
            </w:r>
            <w:r>
              <w:rPr>
                <w:rFonts w:hint="eastAsia" w:ascii="Times New Roman" w:hAnsi="Times New Roman" w:eastAsia="宋体" w:cs="Times New Roman"/>
                <w:b w:val="0"/>
                <w:bCs/>
                <w:color w:val="auto"/>
                <w:kern w:val="2"/>
                <w:sz w:val="24"/>
                <w:szCs w:val="24"/>
                <w:vertAlign w:val="baseline"/>
                <w:lang w:val="en-US" w:eastAsia="zh-CN" w:bidi="ar-SA"/>
              </w:rPr>
              <w:t>万m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vertAlign w:val="baseline"/>
                <w:lang w:val="en-US" w:eastAsia="zh-CN" w:bidi="ar-SA"/>
              </w:rPr>
              <w:t>-燃料</w:t>
            </w:r>
            <w:r>
              <w:rPr>
                <w:rFonts w:hint="eastAsia" w:ascii="Times New Roman" w:hAnsi="Times New Roman" w:eastAsia="宋体" w:cs="Times New Roman"/>
                <w:b w:val="0"/>
                <w:bCs/>
                <w:color w:val="auto"/>
                <w:kern w:val="2"/>
                <w:sz w:val="24"/>
                <w:szCs w:val="24"/>
                <w:vertAlign w:val="baseline"/>
                <w:lang w:val="en-US" w:eastAsia="zh-CN" w:bidi="ar-SA"/>
              </w:rPr>
              <w:t>，产污系数取值9.36。</w:t>
            </w:r>
          </w:p>
          <w:p w14:paraId="5745B292">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由此计算所得氮氧化物产生量为0.674t/a，排放量为0.674t/a。</w:t>
            </w:r>
          </w:p>
          <w:p w14:paraId="1A62717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val="0"/>
                <w:color w:val="auto"/>
                <w:sz w:val="24"/>
              </w:rPr>
            </w:pPr>
            <w:r>
              <w:rPr>
                <w:rFonts w:hint="eastAsia" w:ascii="Times New Roman" w:hAnsi="Times New Roman" w:eastAsia="宋体" w:cs="Times New Roman"/>
                <w:bCs/>
                <w:color w:val="auto"/>
                <w:sz w:val="24"/>
                <w:lang w:val="en-US" w:eastAsia="zh-CN"/>
              </w:rPr>
              <w:t>因此</w:t>
            </w:r>
            <w:r>
              <w:rPr>
                <w:rFonts w:hint="default" w:ascii="Times New Roman" w:hAnsi="Times New Roman" w:eastAsia="宋体" w:cs="Times New Roman"/>
                <w:bCs/>
                <w:color w:val="auto"/>
                <w:sz w:val="24"/>
              </w:rPr>
              <w:t>，本项目天然气废气排放情况如下：</w:t>
            </w:r>
          </w:p>
          <w:p w14:paraId="656C9345">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val="0"/>
                <w:color w:val="auto"/>
                <w:sz w:val="24"/>
              </w:rPr>
            </w:pPr>
            <w:r>
              <w:rPr>
                <w:rFonts w:hint="default" w:ascii="Times New Roman" w:hAnsi="Times New Roman" w:eastAsia="宋体" w:cs="Times New Roman"/>
                <w:b/>
                <w:bCs/>
                <w:color w:val="auto"/>
                <w:sz w:val="24"/>
              </w:rPr>
              <w:t>天然气燃烧废气排放情况表</w:t>
            </w:r>
          </w:p>
          <w:tbl>
            <w:tblPr>
              <w:tblStyle w:val="35"/>
              <w:tblW w:w="49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903"/>
              <w:gridCol w:w="1559"/>
              <w:gridCol w:w="2450"/>
            </w:tblGrid>
            <w:tr w14:paraId="3DEB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12" w:type="pct"/>
                  <w:noWrap w:val="0"/>
                  <w:vAlign w:val="center"/>
                </w:tcPr>
                <w:p w14:paraId="624BC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color w:val="auto"/>
                      <w:sz w:val="21"/>
                      <w:szCs w:val="21"/>
                    </w:rPr>
                    <w:t>产污单元</w:t>
                  </w:r>
                </w:p>
              </w:tc>
              <w:tc>
                <w:tcPr>
                  <w:tcW w:w="1674" w:type="pct"/>
                  <w:noWrap w:val="0"/>
                  <w:vAlign w:val="center"/>
                </w:tcPr>
                <w:p w14:paraId="2E88CF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color w:val="auto"/>
                      <w:sz w:val="21"/>
                      <w:szCs w:val="21"/>
                    </w:rPr>
                    <w:t>处理措施</w:t>
                  </w:r>
                </w:p>
              </w:tc>
              <w:tc>
                <w:tcPr>
                  <w:tcW w:w="899" w:type="pct"/>
                  <w:noWrap w:val="0"/>
                  <w:vAlign w:val="center"/>
                </w:tcPr>
                <w:p w14:paraId="45B20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color w:val="auto"/>
                      <w:sz w:val="21"/>
                      <w:szCs w:val="21"/>
                    </w:rPr>
                    <w:t>污染物</w:t>
                  </w:r>
                </w:p>
              </w:tc>
              <w:tc>
                <w:tcPr>
                  <w:tcW w:w="1413" w:type="pct"/>
                  <w:noWrap w:val="0"/>
                  <w:vAlign w:val="center"/>
                </w:tcPr>
                <w:p w14:paraId="033E7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color w:val="auto"/>
                      <w:sz w:val="21"/>
                      <w:szCs w:val="21"/>
                    </w:rPr>
                    <w:t>排放量</w:t>
                  </w:r>
                  <w:r>
                    <w:rPr>
                      <w:rFonts w:hint="default" w:ascii="Times New Roman" w:hAnsi="Times New Roman" w:eastAsia="宋体" w:cs="Times New Roman"/>
                      <w:bCs/>
                      <w:color w:val="auto"/>
                      <w:sz w:val="21"/>
                      <w:szCs w:val="21"/>
                    </w:rPr>
                    <w:t>（t/a）</w:t>
                  </w:r>
                </w:p>
              </w:tc>
            </w:tr>
            <w:tr w14:paraId="1232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012" w:type="pct"/>
                  <w:vMerge w:val="restart"/>
                  <w:noWrap w:val="0"/>
                  <w:vAlign w:val="center"/>
                </w:tcPr>
                <w:p w14:paraId="73D35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Cs/>
                      <w:color w:val="auto"/>
                      <w:sz w:val="21"/>
                      <w:szCs w:val="21"/>
                    </w:rPr>
                    <w:t>天然气燃烧装置</w:t>
                  </w:r>
                </w:p>
              </w:tc>
              <w:tc>
                <w:tcPr>
                  <w:tcW w:w="1674" w:type="pct"/>
                  <w:vMerge w:val="restart"/>
                  <w:noWrap w:val="0"/>
                  <w:vAlign w:val="center"/>
                </w:tcPr>
                <w:p w14:paraId="2534D5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eastAsia" w:ascii="Times New Roman" w:hAnsi="Times New Roman" w:eastAsia="宋体" w:cs="Times New Roman"/>
                      <w:bCs/>
                      <w:color w:val="auto"/>
                      <w:sz w:val="21"/>
                      <w:szCs w:val="21"/>
                      <w:lang w:val="en-US" w:eastAsia="zh-CN"/>
                    </w:rPr>
                    <w:t>不低于8m高</w:t>
                  </w:r>
                  <w:r>
                    <w:rPr>
                      <w:rFonts w:hint="default" w:ascii="Times New Roman" w:hAnsi="Times New Roman" w:eastAsia="宋体" w:cs="Times New Roman"/>
                      <w:bCs/>
                      <w:color w:val="auto"/>
                      <w:sz w:val="21"/>
                      <w:szCs w:val="21"/>
                    </w:rPr>
                    <w:t>的排气筒排放</w:t>
                  </w:r>
                </w:p>
              </w:tc>
              <w:tc>
                <w:tcPr>
                  <w:tcW w:w="899" w:type="pct"/>
                  <w:noWrap w:val="0"/>
                  <w:vAlign w:val="center"/>
                </w:tcPr>
                <w:p w14:paraId="71E6AB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Cs/>
                      <w:color w:val="auto"/>
                      <w:sz w:val="21"/>
                      <w:szCs w:val="21"/>
                    </w:rPr>
                    <w:t>颗粒物</w:t>
                  </w:r>
                </w:p>
              </w:tc>
              <w:tc>
                <w:tcPr>
                  <w:tcW w:w="1413" w:type="pct"/>
                  <w:noWrap w:val="0"/>
                  <w:vAlign w:val="center"/>
                </w:tcPr>
                <w:p w14:paraId="54C3F2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0.206</w:t>
                  </w:r>
                </w:p>
              </w:tc>
            </w:tr>
            <w:tr w14:paraId="6B4F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2" w:type="pct"/>
                  <w:vMerge w:val="continue"/>
                  <w:noWrap w:val="0"/>
                  <w:vAlign w:val="center"/>
                </w:tcPr>
                <w:p w14:paraId="12938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p>
              </w:tc>
              <w:tc>
                <w:tcPr>
                  <w:tcW w:w="1674" w:type="pct"/>
                  <w:vMerge w:val="continue"/>
                  <w:noWrap w:val="0"/>
                  <w:vAlign w:val="center"/>
                </w:tcPr>
                <w:p w14:paraId="2E93CC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p>
              </w:tc>
              <w:tc>
                <w:tcPr>
                  <w:tcW w:w="899" w:type="pct"/>
                  <w:noWrap w:val="0"/>
                  <w:vAlign w:val="center"/>
                </w:tcPr>
                <w:p w14:paraId="3F4E0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Cs/>
                      <w:color w:val="auto"/>
                      <w:sz w:val="21"/>
                      <w:szCs w:val="21"/>
                    </w:rPr>
                    <w:t>二氧化硫</w:t>
                  </w:r>
                </w:p>
              </w:tc>
              <w:tc>
                <w:tcPr>
                  <w:tcW w:w="1413" w:type="pct"/>
                  <w:noWrap w:val="0"/>
                  <w:vAlign w:val="center"/>
                </w:tcPr>
                <w:p w14:paraId="7364A1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0.144</w:t>
                  </w:r>
                </w:p>
              </w:tc>
            </w:tr>
            <w:tr w14:paraId="2A87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012" w:type="pct"/>
                  <w:vMerge w:val="continue"/>
                  <w:noWrap w:val="0"/>
                  <w:vAlign w:val="center"/>
                </w:tcPr>
                <w:p w14:paraId="73D785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p>
              </w:tc>
              <w:tc>
                <w:tcPr>
                  <w:tcW w:w="1674" w:type="pct"/>
                  <w:vMerge w:val="continue"/>
                  <w:noWrap w:val="0"/>
                  <w:vAlign w:val="center"/>
                </w:tcPr>
                <w:p w14:paraId="2ACDD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p>
              </w:tc>
              <w:tc>
                <w:tcPr>
                  <w:tcW w:w="899" w:type="pct"/>
                  <w:noWrap w:val="0"/>
                  <w:vAlign w:val="center"/>
                </w:tcPr>
                <w:p w14:paraId="31092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Cs/>
                      <w:color w:val="auto"/>
                      <w:sz w:val="21"/>
                      <w:szCs w:val="21"/>
                    </w:rPr>
                    <w:t>氮氧化物</w:t>
                  </w:r>
                </w:p>
              </w:tc>
              <w:tc>
                <w:tcPr>
                  <w:tcW w:w="1413" w:type="pct"/>
                  <w:noWrap w:val="0"/>
                  <w:vAlign w:val="center"/>
                </w:tcPr>
                <w:p w14:paraId="46337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0.674</w:t>
                  </w:r>
                </w:p>
              </w:tc>
            </w:tr>
          </w:tbl>
          <w:p w14:paraId="46B5A5F6">
            <w:pPr>
              <w:pStyle w:val="42"/>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lang w:val="en-US" w:eastAsia="zh-CN"/>
              </w:rPr>
              <w:t>2、</w:t>
            </w:r>
            <w:r>
              <w:rPr>
                <w:rFonts w:hint="default" w:ascii="Times New Roman" w:hAnsi="Times New Roman" w:eastAsia="宋体" w:cs="Times New Roman"/>
                <w:b/>
                <w:bCs/>
                <w:color w:val="auto"/>
                <w:sz w:val="24"/>
                <w:szCs w:val="32"/>
                <w:highlight w:val="none"/>
              </w:rPr>
              <w:t>废气污染防治措施可行性分析</w:t>
            </w:r>
          </w:p>
          <w:p w14:paraId="5ED0071F">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（1）</w:t>
            </w:r>
            <w:r>
              <w:rPr>
                <w:rFonts w:hint="default" w:ascii="Times New Roman" w:hAnsi="Times New Roman" w:eastAsia="宋体" w:cs="Times New Roman"/>
                <w:color w:val="auto"/>
                <w:sz w:val="24"/>
                <w:highlight w:val="none"/>
              </w:rPr>
              <w:t>有组织废气处理措施</w:t>
            </w:r>
          </w:p>
          <w:p w14:paraId="42766B81">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①投料混合粉尘：</w:t>
            </w:r>
          </w:p>
          <w:p w14:paraId="48EC8908">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布袋除尘器是一种干式滤尘装置。它适用于捕集细小、干燥、非纤维性粉尘。滤袋采用纺织的滤布或非纺织的毡制成，利用纤维织物的过滤作用对含尘气体进行过滤，当含尘气体进入布袋除尘器后，颗粒大、比重大的粉尘，由于重力的作用沉降下来，落入灰斗，含有较细小粉尘的气体在通过滤料时，粉尘被阻留，使气体得到净化。</w:t>
            </w:r>
          </w:p>
          <w:p w14:paraId="4DE43F68">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布袋除尘器结构主要由上部箱体、中部箱体、下部箱体（灰斗）、清灰系统和排灰机构等部分组成。布袋除尘器性能的好坏，除了正确选择滤袋材料外，清灰系统对布袋除尘器起着决定性的作用。为此，清灰方法是区分布袋除尘器的特性之一，也是布袋除尘器运行中重要的一环。布袋除尘器的优势：</w:t>
            </w:r>
          </w:p>
          <w:p w14:paraId="398E58C1">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Ⅰ、除尘效率高，布袋除尘器可捕集粒径大于0.3微米的细小粉尘，除尘效率可达99%以上；</w:t>
            </w:r>
          </w:p>
          <w:p w14:paraId="19593F82">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Ⅱ、使用灵活，布袋除尘器处理风量可由每小时数百立方米到每小时数十万立方米，可作为直接设于室内，机床附近的小型机组，也可作成大型的除尘室，即“袋房”；</w:t>
            </w:r>
          </w:p>
          <w:p w14:paraId="3758A01F">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Ⅲ、布袋除尘器结构比较简单，运行比较稳定，初投资较少（与电除尘器比较而言），维护方便。布袋除尘器广泛应用于消除粉尘污染，改善环境，回收物料等；</w:t>
            </w:r>
          </w:p>
          <w:p w14:paraId="220894A6">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Ⅳ、粉尘处理容易，布袋除尘器是一种干式除尘设备，不需用水，所以不存在污水处理或泥浆处理问题，收集的粉尘容易回收利用。</w:t>
            </w:r>
          </w:p>
          <w:p w14:paraId="57370B7D">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采用布袋除尘器去除尘已广泛应用各个产尘行业废气治理工程中，其工艺成熟可靠，</w:t>
            </w:r>
            <w:r>
              <w:rPr>
                <w:rFonts w:hint="eastAsia" w:ascii="Times New Roman" w:hAnsi="Times New Roman" w:cs="Times New Roman"/>
                <w:color w:val="auto"/>
                <w:kern w:val="0"/>
                <w:sz w:val="24"/>
                <w:szCs w:val="24"/>
                <w:lang w:val="en-US" w:eastAsia="zh-CN"/>
              </w:rPr>
              <w:t>因此，本项目采取布袋除尘器进行</w:t>
            </w:r>
            <w:r>
              <w:rPr>
                <w:rFonts w:hint="default" w:ascii="Times New Roman" w:hAnsi="Times New Roman" w:cs="Times New Roman"/>
                <w:color w:val="auto"/>
                <w:kern w:val="0"/>
                <w:sz w:val="24"/>
                <w:szCs w:val="24"/>
                <w:lang w:val="en-US" w:eastAsia="zh-CN"/>
              </w:rPr>
              <w:t>废气处理技术可行。</w:t>
            </w:r>
          </w:p>
          <w:p w14:paraId="5FF9FACE">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②天然气燃烧废气：</w:t>
            </w:r>
          </w:p>
          <w:p w14:paraId="3A75641A">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本项目燃气蒸汽发生器配套低氮燃烧器，废气收集后有组织排放，根据《排污许可证申请与核发技术规范</w:t>
            </w:r>
            <w:r>
              <w:rPr>
                <w:rFonts w:hint="eastAsia" w:ascii="Times New Roman" w:hAnsi="Times New Roman"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锅炉》（</w:t>
            </w:r>
            <w:r>
              <w:rPr>
                <w:rFonts w:hint="default" w:ascii="Times New Roman" w:hAnsi="Times New Roman" w:eastAsia="宋体" w:cs="Times New Roman"/>
                <w:color w:val="auto"/>
                <w:kern w:val="0"/>
                <w:sz w:val="24"/>
                <w:szCs w:val="24"/>
                <w:lang w:val="en-US" w:eastAsia="zh-CN"/>
              </w:rPr>
              <w:t>HJ953-2018</w:t>
            </w:r>
            <w:r>
              <w:rPr>
                <w:rFonts w:hint="eastAsia" w:ascii="Times New Roman" w:hAnsi="Times New Roman" w:eastAsia="宋体" w:cs="Times New Roman"/>
                <w:color w:val="auto"/>
                <w:kern w:val="0"/>
                <w:sz w:val="24"/>
                <w:szCs w:val="24"/>
                <w:lang w:val="en-US" w:eastAsia="zh-CN"/>
              </w:rPr>
              <w:t>）中锅炉烟气污染防治可行技术，具体分析如下：</w:t>
            </w:r>
          </w:p>
          <w:p w14:paraId="64895083">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锅炉烟气污染防治可行技术要求</w:t>
            </w:r>
          </w:p>
          <w:tbl>
            <w:tblPr>
              <w:tblStyle w:val="36"/>
              <w:tblW w:w="87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756"/>
              <w:gridCol w:w="1756"/>
              <w:gridCol w:w="1602"/>
              <w:gridCol w:w="1912"/>
            </w:tblGrid>
            <w:tr w14:paraId="6BE5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8" w:type="dxa"/>
                  <w:gridSpan w:val="3"/>
                  <w:vAlign w:val="center"/>
                </w:tcPr>
                <w:p w14:paraId="08EA527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HJ953-2018 要求</w:t>
                  </w:r>
                </w:p>
              </w:tc>
              <w:tc>
                <w:tcPr>
                  <w:tcW w:w="1602" w:type="dxa"/>
                  <w:vMerge w:val="restart"/>
                  <w:vAlign w:val="center"/>
                </w:tcPr>
                <w:p w14:paraId="59619AC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拟建项目采取的措施</w:t>
                  </w:r>
                </w:p>
              </w:tc>
              <w:tc>
                <w:tcPr>
                  <w:tcW w:w="1912" w:type="dxa"/>
                  <w:vMerge w:val="restart"/>
                  <w:vAlign w:val="center"/>
                </w:tcPr>
                <w:p w14:paraId="5882F56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是否为可行性技术</w:t>
                  </w:r>
                </w:p>
              </w:tc>
            </w:tr>
            <w:tr w14:paraId="1D5E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2" w:type="dxa"/>
                  <w:gridSpan w:val="2"/>
                  <w:vAlign w:val="center"/>
                </w:tcPr>
                <w:p w14:paraId="6C57F78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燃料类型</w:t>
                  </w:r>
                </w:p>
              </w:tc>
              <w:tc>
                <w:tcPr>
                  <w:tcW w:w="1756" w:type="dxa"/>
                  <w:vAlign w:val="center"/>
                </w:tcPr>
                <w:p w14:paraId="4C990A1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燃气</w:t>
                  </w:r>
                </w:p>
              </w:tc>
              <w:tc>
                <w:tcPr>
                  <w:tcW w:w="1602" w:type="dxa"/>
                  <w:vMerge w:val="continue"/>
                  <w:vAlign w:val="center"/>
                </w:tcPr>
                <w:p w14:paraId="3A42C1E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p>
              </w:tc>
              <w:tc>
                <w:tcPr>
                  <w:tcW w:w="1912" w:type="dxa"/>
                  <w:vMerge w:val="continue"/>
                  <w:vAlign w:val="center"/>
                </w:tcPr>
                <w:p w14:paraId="14DE549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p>
              </w:tc>
            </w:tr>
            <w:tr w14:paraId="1D44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vAlign w:val="center"/>
                </w:tcPr>
                <w:p w14:paraId="2CE5BB9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二氧化硫</w:t>
                  </w:r>
                </w:p>
              </w:tc>
              <w:tc>
                <w:tcPr>
                  <w:tcW w:w="1756" w:type="dxa"/>
                  <w:vAlign w:val="center"/>
                </w:tcPr>
                <w:p w14:paraId="6C014DF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重点地区</w:t>
                  </w:r>
                </w:p>
              </w:tc>
              <w:tc>
                <w:tcPr>
                  <w:tcW w:w="1756" w:type="dxa"/>
                  <w:vAlign w:val="center"/>
                </w:tcPr>
                <w:p w14:paraId="42CC037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1602" w:type="dxa"/>
                  <w:shd w:val="clear" w:color="auto" w:fill="auto"/>
                  <w:vAlign w:val="center"/>
                </w:tcPr>
                <w:p w14:paraId="7A881A7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w:t>
                  </w:r>
                </w:p>
              </w:tc>
              <w:tc>
                <w:tcPr>
                  <w:tcW w:w="1912" w:type="dxa"/>
                  <w:vAlign w:val="center"/>
                </w:tcPr>
                <w:p w14:paraId="4A6F031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FF"/>
                      <w:szCs w:val="21"/>
                      <w:highlight w:val="none"/>
                      <w:lang w:val="en-US" w:eastAsia="zh-CN"/>
                    </w:rPr>
                  </w:pPr>
                  <w:r>
                    <w:rPr>
                      <w:rFonts w:hint="eastAsia" w:ascii="Times New Roman" w:hAnsi="Times New Roman" w:eastAsia="宋体" w:cs="Times New Roman"/>
                      <w:bCs/>
                      <w:color w:val="0000FF"/>
                      <w:szCs w:val="21"/>
                      <w:highlight w:val="none"/>
                      <w:lang w:val="en-US" w:eastAsia="zh-CN"/>
                    </w:rPr>
                    <w:t>/</w:t>
                  </w:r>
                </w:p>
              </w:tc>
            </w:tr>
            <w:tr w14:paraId="168F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vAlign w:val="center"/>
                </w:tcPr>
                <w:p w14:paraId="49FC1C1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氮氧化物</w:t>
                  </w:r>
                </w:p>
              </w:tc>
              <w:tc>
                <w:tcPr>
                  <w:tcW w:w="1756" w:type="dxa"/>
                  <w:vAlign w:val="center"/>
                </w:tcPr>
                <w:p w14:paraId="6145216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重点地区</w:t>
                  </w:r>
                </w:p>
              </w:tc>
              <w:tc>
                <w:tcPr>
                  <w:tcW w:w="1756" w:type="dxa"/>
                  <w:vAlign w:val="center"/>
                </w:tcPr>
                <w:p w14:paraId="4F29CFC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低氮燃烧技术、低氮燃烧+SCR 脱硝技术</w:t>
                  </w:r>
                </w:p>
              </w:tc>
              <w:tc>
                <w:tcPr>
                  <w:tcW w:w="1602" w:type="dxa"/>
                  <w:shd w:val="clear" w:color="auto" w:fill="auto"/>
                  <w:vAlign w:val="center"/>
                </w:tcPr>
                <w:p w14:paraId="3FEDB21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低氮燃烧技术</w:t>
                  </w:r>
                </w:p>
              </w:tc>
              <w:tc>
                <w:tcPr>
                  <w:tcW w:w="1912" w:type="dxa"/>
                  <w:vAlign w:val="center"/>
                </w:tcPr>
                <w:p w14:paraId="26E1160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是</w:t>
                  </w:r>
                </w:p>
              </w:tc>
            </w:tr>
            <w:tr w14:paraId="74CA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vAlign w:val="center"/>
                </w:tcPr>
                <w:p w14:paraId="358EE67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颗粒物</w:t>
                  </w:r>
                </w:p>
              </w:tc>
              <w:tc>
                <w:tcPr>
                  <w:tcW w:w="1756" w:type="dxa"/>
                  <w:vAlign w:val="center"/>
                </w:tcPr>
                <w:p w14:paraId="22F0E4B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重点地区</w:t>
                  </w:r>
                </w:p>
              </w:tc>
              <w:tc>
                <w:tcPr>
                  <w:tcW w:w="1756" w:type="dxa"/>
                  <w:vAlign w:val="center"/>
                </w:tcPr>
                <w:p w14:paraId="1EEB8BD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1602" w:type="dxa"/>
                  <w:shd w:val="clear" w:color="auto" w:fill="auto"/>
                  <w:vAlign w:val="center"/>
                </w:tcPr>
                <w:p w14:paraId="6D6396F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w:t>
                  </w:r>
                </w:p>
              </w:tc>
              <w:tc>
                <w:tcPr>
                  <w:tcW w:w="1912" w:type="dxa"/>
                  <w:vAlign w:val="center"/>
                </w:tcPr>
                <w:p w14:paraId="13ADDB7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r>
          </w:tbl>
          <w:p w14:paraId="39BA1FC1">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综上，本项目拟实施的废气治理技术均为可行技术。</w:t>
            </w:r>
          </w:p>
          <w:p w14:paraId="27DD1AB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无组织废气管控措施</w:t>
            </w:r>
          </w:p>
          <w:p w14:paraId="29D5F92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本项目无组织废气主要为各生产工序未能收集的污染物，为从源头减少无组织粉尘及废气排放，降低对周边环境的影响，项目采取以下综合管控措施：</w:t>
            </w:r>
          </w:p>
          <w:p w14:paraId="6BFAA1D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0000FF"/>
                <w:sz w:val="24"/>
                <w:highlight w:val="none"/>
                <w:lang w:eastAsia="zh-CN"/>
              </w:rPr>
            </w:pPr>
            <w:r>
              <w:rPr>
                <w:rFonts w:hint="default" w:ascii="Times New Roman" w:hAnsi="Times New Roman" w:eastAsia="宋体" w:cs="Times New Roman"/>
                <w:bCs/>
                <w:color w:val="auto"/>
                <w:sz w:val="24"/>
                <w:highlight w:val="none"/>
                <w:lang w:eastAsia="zh-CN"/>
              </w:rPr>
              <w:t>①强化源头控制与高效收集，对物料</w:t>
            </w:r>
            <w:r>
              <w:rPr>
                <w:rFonts w:hint="eastAsia" w:cs="Times New Roman"/>
                <w:bCs/>
                <w:color w:val="auto"/>
                <w:sz w:val="24"/>
                <w:highlight w:val="none"/>
                <w:lang w:val="en-US" w:eastAsia="zh-CN"/>
              </w:rPr>
              <w:t>混合</w:t>
            </w:r>
            <w:r>
              <w:rPr>
                <w:rFonts w:hint="default" w:ascii="Times New Roman" w:hAnsi="Times New Roman" w:eastAsia="宋体" w:cs="Times New Roman"/>
                <w:bCs/>
                <w:color w:val="auto"/>
                <w:sz w:val="24"/>
                <w:highlight w:val="none"/>
                <w:lang w:eastAsia="zh-CN"/>
              </w:rPr>
              <w:t>、投料等产尘节点进行设置集气罩，并优化设计以保证废气捕集效率</w:t>
            </w:r>
            <w:r>
              <w:rPr>
                <w:rFonts w:hint="eastAsia" w:cs="Times New Roman"/>
                <w:bCs/>
                <w:color w:val="auto"/>
                <w:sz w:val="24"/>
                <w:highlight w:val="none"/>
                <w:lang w:eastAsia="zh-CN"/>
              </w:rPr>
              <w:t>。</w:t>
            </w:r>
          </w:p>
          <w:p w14:paraId="5EB327C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②</w:t>
            </w:r>
            <w:r>
              <w:rPr>
                <w:rFonts w:hint="default" w:ascii="Times New Roman" w:hAnsi="Times New Roman" w:eastAsia="宋体" w:cs="Times New Roman"/>
                <w:bCs/>
                <w:color w:val="auto"/>
                <w:sz w:val="24"/>
                <w:highlight w:val="none"/>
                <w:lang w:val="en-US" w:eastAsia="zh-CN"/>
              </w:rPr>
              <w:t>除尘器卸灰口采取遮挡等抑尘措施，除尘灰不直接卸落到地面，除尘灰采取袋装等密闭措施收集、存放和运输；</w:t>
            </w:r>
          </w:p>
          <w:p w14:paraId="16CE6CF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③</w:t>
            </w:r>
            <w:r>
              <w:rPr>
                <w:rFonts w:hint="default" w:ascii="Times New Roman" w:hAnsi="Times New Roman" w:eastAsia="宋体" w:cs="Times New Roman"/>
                <w:bCs/>
                <w:color w:val="auto"/>
                <w:sz w:val="24"/>
                <w:highlight w:val="none"/>
              </w:rPr>
              <w:t>车间设置通风设备，在符合安全生产、职业卫生相关规定的前提下，加强车间通风，</w:t>
            </w:r>
            <w:r>
              <w:rPr>
                <w:rFonts w:hint="default" w:ascii="Times New Roman" w:hAnsi="Times New Roman" w:eastAsia="宋体" w:cs="Times New Roman"/>
                <w:color w:val="auto"/>
                <w:sz w:val="24"/>
                <w:szCs w:val="32"/>
                <w:highlight w:val="none"/>
              </w:rPr>
              <w:t>减小车间无组织废气对车间和周围环境的影响</w:t>
            </w:r>
            <w:r>
              <w:rPr>
                <w:rFonts w:hint="default" w:ascii="Times New Roman" w:hAnsi="Times New Roman" w:eastAsia="宋体" w:cs="Times New Roman"/>
                <w:bCs/>
                <w:color w:val="auto"/>
                <w:sz w:val="24"/>
                <w:highlight w:val="none"/>
              </w:rPr>
              <w:t>；</w:t>
            </w:r>
          </w:p>
          <w:p w14:paraId="4AEBD8F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eastAsia="zh-CN"/>
              </w:rPr>
              <w:t>④</w:t>
            </w:r>
            <w:r>
              <w:rPr>
                <w:rFonts w:hint="default" w:ascii="Times New Roman" w:hAnsi="Times New Roman" w:eastAsia="宋体" w:cs="Times New Roman"/>
                <w:bCs/>
                <w:color w:val="auto"/>
                <w:sz w:val="24"/>
                <w:highlight w:val="none"/>
                <w:lang w:val="en-US" w:eastAsia="zh-CN"/>
              </w:rPr>
              <w:t>厂区道路硬化处理，并采取定期清扫、洒水等措施，保持清洁。</w:t>
            </w:r>
          </w:p>
          <w:p w14:paraId="031B943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eastAsia" w:cs="Times New Roman"/>
                <w:bCs/>
                <w:color w:val="auto"/>
                <w:sz w:val="24"/>
                <w:highlight w:val="none"/>
                <w:lang w:val="en-US" w:eastAsia="zh-CN"/>
              </w:rPr>
              <w:t>⑤</w:t>
            </w:r>
            <w:r>
              <w:rPr>
                <w:rFonts w:hint="default" w:ascii="Times New Roman" w:hAnsi="Times New Roman" w:eastAsia="宋体" w:cs="Times New Roman"/>
                <w:bCs/>
                <w:color w:val="auto"/>
                <w:sz w:val="24"/>
                <w:highlight w:val="none"/>
              </w:rPr>
              <w:t>废气收集处理系统与生产工艺设备同步运行，当废气收集处理系统发生故障或检修时，对应的生产工艺设备应停止运行，检修完毕后同步投入使用。</w:t>
            </w:r>
          </w:p>
          <w:p w14:paraId="75476E8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1"/>
                <w:highlight w:val="none"/>
                <w:lang w:eastAsia="zh-CN"/>
              </w:rPr>
            </w:pPr>
            <w:r>
              <w:rPr>
                <w:rFonts w:hint="default" w:ascii="Times New Roman" w:hAnsi="Times New Roman" w:eastAsia="宋体" w:cs="Times New Roman"/>
                <w:bCs/>
                <w:color w:val="auto"/>
                <w:sz w:val="24"/>
                <w:highlight w:val="none"/>
              </w:rPr>
              <w:t>通过以上措施，无组织</w:t>
            </w:r>
            <w:r>
              <w:rPr>
                <w:rFonts w:hint="default" w:ascii="Times New Roman" w:hAnsi="Times New Roman" w:eastAsia="宋体" w:cs="Times New Roman"/>
                <w:color w:val="auto"/>
                <w:sz w:val="24"/>
                <w:highlight w:val="none"/>
              </w:rPr>
              <w:t>颗粒物</w:t>
            </w:r>
            <w:r>
              <w:rPr>
                <w:rFonts w:hint="default" w:ascii="Times New Roman" w:hAnsi="Times New Roman" w:eastAsia="宋体" w:cs="Times New Roman"/>
                <w:bCs/>
                <w:color w:val="auto"/>
                <w:sz w:val="24"/>
                <w:highlight w:val="none"/>
              </w:rPr>
              <w:t>能够达到《大气污染物综合排放标准》（GB16297-1996）表2中相关标准要求</w:t>
            </w:r>
            <w:r>
              <w:rPr>
                <w:rFonts w:hint="default" w:ascii="Times New Roman" w:hAnsi="Times New Roman" w:eastAsia="宋体" w:cs="Times New Roman"/>
                <w:color w:val="auto"/>
                <w:sz w:val="24"/>
                <w:szCs w:val="21"/>
                <w:highlight w:val="none"/>
                <w:lang w:eastAsia="zh-CN"/>
              </w:rPr>
              <w:t>。</w:t>
            </w:r>
          </w:p>
          <w:p w14:paraId="03231BBE">
            <w:pPr>
              <w:keepNext w:val="0"/>
              <w:keepLines w:val="0"/>
              <w:widowControl w:val="0"/>
              <w:numPr>
                <w:ilvl w:val="0"/>
                <w:numId w:val="0"/>
              </w:numPr>
              <w:suppressLineNumbers w:val="0"/>
              <w:autoSpaceDE w:val="0"/>
              <w:autoSpaceDN w:val="0"/>
              <w:adjustRightIn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32"/>
                <w:highlight w:val="none"/>
                <w:lang w:val="en-US" w:eastAsia="zh-CN" w:bidi="ar-SA"/>
              </w:rPr>
              <w:t>3、</w:t>
            </w:r>
            <w:r>
              <w:rPr>
                <w:rFonts w:hint="default" w:ascii="Times New Roman" w:hAnsi="Times New Roman" w:eastAsia="宋体" w:cs="Times New Roman"/>
                <w:b/>
                <w:bCs/>
                <w:color w:val="auto"/>
                <w:kern w:val="2"/>
                <w:sz w:val="24"/>
                <w:szCs w:val="32"/>
                <w:highlight w:val="none"/>
                <w:lang w:val="en-US" w:eastAsia="zh-CN" w:bidi="ar-SA"/>
              </w:rPr>
              <w:t>非正常工况下废气污染物排放</w:t>
            </w:r>
          </w:p>
          <w:p w14:paraId="3A77B94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szCs w:val="22"/>
                <w:highlight w:val="none"/>
              </w:rPr>
              <w:t>非正常排放是指生产设备在开、停车状态，检修状态或者部分设备未能完全运行的状态下污染物的排放情况</w:t>
            </w:r>
            <w:r>
              <w:rPr>
                <w:rFonts w:hint="default" w:ascii="Times New Roman" w:hAnsi="Times New Roman" w:eastAsia="宋体" w:cs="Times New Roman"/>
                <w:color w:val="auto"/>
                <w:kern w:val="0"/>
                <w:sz w:val="24"/>
                <w:highlight w:val="none"/>
              </w:rPr>
              <w:t>，详见下表。</w:t>
            </w:r>
          </w:p>
          <w:p w14:paraId="70E9761D">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本项目废气污染物非正常排放情况</w:t>
            </w:r>
          </w:p>
          <w:tbl>
            <w:tblPr>
              <w:tblStyle w:val="35"/>
              <w:tblW w:w="497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6"/>
              <w:gridCol w:w="831"/>
              <w:gridCol w:w="1209"/>
              <w:gridCol w:w="992"/>
              <w:gridCol w:w="1168"/>
              <w:gridCol w:w="1095"/>
              <w:gridCol w:w="885"/>
              <w:gridCol w:w="805"/>
              <w:gridCol w:w="1223"/>
            </w:tblGrid>
            <w:tr w14:paraId="6D63C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blHeader/>
                <w:jc w:val="center"/>
              </w:trPr>
              <w:tc>
                <w:tcPr>
                  <w:tcW w:w="295" w:type="pct"/>
                  <w:vAlign w:val="center"/>
                </w:tcPr>
                <w:p w14:paraId="758938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序号</w:t>
                  </w:r>
                </w:p>
              </w:tc>
              <w:tc>
                <w:tcPr>
                  <w:tcW w:w="476" w:type="pct"/>
                  <w:vAlign w:val="center"/>
                </w:tcPr>
                <w:p w14:paraId="55A3F8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污染源</w:t>
                  </w:r>
                </w:p>
              </w:tc>
              <w:tc>
                <w:tcPr>
                  <w:tcW w:w="692" w:type="pct"/>
                  <w:vAlign w:val="center"/>
                </w:tcPr>
                <w:p w14:paraId="1A16D2A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非正常排放原因</w:t>
                  </w:r>
                </w:p>
              </w:tc>
              <w:tc>
                <w:tcPr>
                  <w:tcW w:w="568" w:type="pct"/>
                  <w:vAlign w:val="center"/>
                </w:tcPr>
                <w:p w14:paraId="633D44E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污染物</w:t>
                  </w:r>
                </w:p>
              </w:tc>
              <w:tc>
                <w:tcPr>
                  <w:tcW w:w="669" w:type="pct"/>
                  <w:vAlign w:val="center"/>
                </w:tcPr>
                <w:p w14:paraId="20A919B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非正常排放浓度（m</w:t>
                  </w:r>
                  <w:r>
                    <w:rPr>
                      <w:rFonts w:hint="default" w:ascii="Times New Roman" w:hAnsi="Times New Roman" w:eastAsia="宋体" w:cs="Times New Roman"/>
                      <w:color w:val="auto"/>
                      <w:szCs w:val="21"/>
                      <w:highlight w:val="none"/>
                    </w:rPr>
                    <w:t>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bCs/>
                      <w:color w:val="auto"/>
                      <w:szCs w:val="21"/>
                      <w:highlight w:val="none"/>
                    </w:rPr>
                    <w:t>）</w:t>
                  </w:r>
                </w:p>
              </w:tc>
              <w:tc>
                <w:tcPr>
                  <w:tcW w:w="627" w:type="pct"/>
                  <w:vAlign w:val="center"/>
                </w:tcPr>
                <w:p w14:paraId="176488F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非正常排放速率（kg/h）</w:t>
                  </w:r>
                </w:p>
              </w:tc>
              <w:tc>
                <w:tcPr>
                  <w:tcW w:w="507" w:type="pct"/>
                  <w:vAlign w:val="center"/>
                </w:tcPr>
                <w:p w14:paraId="4810EC1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单次持续时间/h</w:t>
                  </w:r>
                </w:p>
              </w:tc>
              <w:tc>
                <w:tcPr>
                  <w:tcW w:w="461" w:type="pct"/>
                  <w:vAlign w:val="center"/>
                </w:tcPr>
                <w:p w14:paraId="5F5131A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年发生频次/次</w:t>
                  </w:r>
                </w:p>
              </w:tc>
              <w:tc>
                <w:tcPr>
                  <w:tcW w:w="700" w:type="pct"/>
                  <w:vAlign w:val="center"/>
                </w:tcPr>
                <w:p w14:paraId="6259FAB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应对措施</w:t>
                  </w:r>
                </w:p>
              </w:tc>
            </w:tr>
            <w:tr w14:paraId="2D3CA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295" w:type="pct"/>
                  <w:vAlign w:val="center"/>
                </w:tcPr>
                <w:p w14:paraId="075A69D0">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1</w:t>
                  </w:r>
                </w:p>
              </w:tc>
              <w:tc>
                <w:tcPr>
                  <w:tcW w:w="476" w:type="pct"/>
                  <w:vAlign w:val="center"/>
                </w:tcPr>
                <w:p w14:paraId="64E73B9B">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DA001</w:t>
                  </w:r>
                </w:p>
              </w:tc>
              <w:tc>
                <w:tcPr>
                  <w:tcW w:w="692" w:type="pct"/>
                  <w:vMerge w:val="restart"/>
                  <w:vAlign w:val="center"/>
                </w:tcPr>
                <w:p w14:paraId="105A45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开、停车或检修时，废气处理装置未及时运行</w:t>
                  </w:r>
                </w:p>
              </w:tc>
              <w:tc>
                <w:tcPr>
                  <w:tcW w:w="568" w:type="pct"/>
                  <w:vAlign w:val="center"/>
                </w:tcPr>
                <w:p w14:paraId="7F32D2F5">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u w:val="none"/>
                    </w:rPr>
                    <w:t>颗粒物</w:t>
                  </w:r>
                </w:p>
              </w:tc>
              <w:tc>
                <w:tcPr>
                  <w:tcW w:w="1168" w:type="dxa"/>
                  <w:vAlign w:val="center"/>
                </w:tcPr>
                <w:p w14:paraId="41B953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Cs w:val="21"/>
                      <w:highlight w:val="none"/>
                    </w:rPr>
                  </w:pPr>
                  <w:r>
                    <w:rPr>
                      <w:rFonts w:hint="eastAsia"/>
                      <w:color w:val="000000"/>
                      <w:szCs w:val="21"/>
                      <w:highlight w:val="none"/>
                      <w:lang w:val="en-US" w:eastAsia="zh-CN"/>
                    </w:rPr>
                    <w:t>256.67</w:t>
                  </w:r>
                </w:p>
              </w:tc>
              <w:tc>
                <w:tcPr>
                  <w:tcW w:w="1095" w:type="dxa"/>
                  <w:vAlign w:val="center"/>
                </w:tcPr>
                <w:p w14:paraId="1267BD84">
                  <w:pPr>
                    <w:keepNext w:val="0"/>
                    <w:keepLines w:val="0"/>
                    <w:widowControl/>
                    <w:suppressLineNumbers w:val="0"/>
                    <w:spacing w:before="0" w:beforeAutospacing="0" w:after="0" w:afterAutospacing="0"/>
                    <w:ind w:left="-84" w:leftChars="-40" w:right="-84" w:rightChars="-40"/>
                    <w:jc w:val="center"/>
                    <w:textAlignment w:val="center"/>
                    <w:rPr>
                      <w:rFonts w:hint="default" w:ascii="Times New Roman" w:hAnsi="Times New Roman" w:eastAsia="宋体" w:cs="Times New Roman"/>
                      <w:b/>
                      <w:bCs/>
                      <w:color w:val="auto"/>
                      <w:szCs w:val="21"/>
                      <w:highlight w:val="none"/>
                    </w:rPr>
                  </w:pPr>
                  <w:r>
                    <w:rPr>
                      <w:rFonts w:hint="eastAsia"/>
                      <w:color w:val="000000"/>
                      <w:szCs w:val="21"/>
                      <w:highlight w:val="none"/>
                      <w:lang w:val="en-US" w:eastAsia="zh-CN"/>
                    </w:rPr>
                    <w:t>1.54</w:t>
                  </w:r>
                </w:p>
              </w:tc>
              <w:tc>
                <w:tcPr>
                  <w:tcW w:w="507" w:type="pct"/>
                  <w:vAlign w:val="center"/>
                </w:tcPr>
                <w:p w14:paraId="4FDCE7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w:t>
                  </w:r>
                </w:p>
              </w:tc>
              <w:tc>
                <w:tcPr>
                  <w:tcW w:w="461" w:type="pct"/>
                  <w:vAlign w:val="center"/>
                </w:tcPr>
                <w:p w14:paraId="6DA019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700" w:type="pct"/>
                  <w:vMerge w:val="restart"/>
                  <w:vAlign w:val="center"/>
                </w:tcPr>
                <w:p w14:paraId="5640BDDA">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定期维修、检修废气装置，生产前后保持处理装置处于运行状态</w:t>
                  </w:r>
                </w:p>
              </w:tc>
            </w:tr>
            <w:tr w14:paraId="78F81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95" w:type="pct"/>
                  <w:vMerge w:val="restart"/>
                  <w:vAlign w:val="center"/>
                </w:tcPr>
                <w:p w14:paraId="63ECF822">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2</w:t>
                  </w:r>
                </w:p>
              </w:tc>
              <w:tc>
                <w:tcPr>
                  <w:tcW w:w="476" w:type="pct"/>
                  <w:vMerge w:val="restart"/>
                  <w:vAlign w:val="center"/>
                </w:tcPr>
                <w:p w14:paraId="006E5FB1">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DA00</w:t>
                  </w:r>
                  <w:r>
                    <w:rPr>
                      <w:rFonts w:hint="eastAsia" w:ascii="Times New Roman" w:hAnsi="Times New Roman" w:eastAsia="宋体" w:cs="Times New Roman"/>
                      <w:color w:val="auto"/>
                      <w:szCs w:val="21"/>
                      <w:highlight w:val="none"/>
                      <w:lang w:val="en-US" w:eastAsia="zh-CN"/>
                    </w:rPr>
                    <w:t>2</w:t>
                  </w:r>
                </w:p>
              </w:tc>
              <w:tc>
                <w:tcPr>
                  <w:tcW w:w="692" w:type="pct"/>
                  <w:vMerge w:val="continue"/>
                  <w:vAlign w:val="center"/>
                </w:tcPr>
                <w:p w14:paraId="7F1F2043">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568" w:type="pct"/>
                  <w:vAlign w:val="center"/>
                </w:tcPr>
                <w:p w14:paraId="21CE9995">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u w:val="none"/>
                      <w:lang w:val="en-US" w:eastAsia="zh-CN"/>
                    </w:rPr>
                    <w:t>颗粒物</w:t>
                  </w:r>
                </w:p>
              </w:tc>
              <w:tc>
                <w:tcPr>
                  <w:tcW w:w="1168" w:type="dxa"/>
                  <w:vAlign w:val="center"/>
                </w:tcPr>
                <w:p w14:paraId="56633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000000"/>
                      <w:kern w:val="2"/>
                      <w:sz w:val="21"/>
                      <w:szCs w:val="21"/>
                      <w:highlight w:val="none"/>
                      <w:lang w:val="en-US" w:eastAsia="zh-CN" w:bidi="ar-SA"/>
                    </w:rPr>
                    <w:t>11.5</w:t>
                  </w:r>
                </w:p>
              </w:tc>
              <w:tc>
                <w:tcPr>
                  <w:tcW w:w="1095" w:type="dxa"/>
                  <w:vAlign w:val="center"/>
                </w:tcPr>
                <w:p w14:paraId="60F18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bCs/>
                      <w:color w:val="auto"/>
                      <w:sz w:val="21"/>
                      <w:szCs w:val="21"/>
                      <w:lang w:val="en-US" w:eastAsia="zh-CN"/>
                    </w:rPr>
                    <w:t>0.046</w:t>
                  </w:r>
                </w:p>
              </w:tc>
              <w:tc>
                <w:tcPr>
                  <w:tcW w:w="507" w:type="pct"/>
                  <w:vMerge w:val="restart"/>
                  <w:vAlign w:val="center"/>
                </w:tcPr>
                <w:p w14:paraId="35AAAD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w:t>
                  </w:r>
                </w:p>
              </w:tc>
              <w:tc>
                <w:tcPr>
                  <w:tcW w:w="461" w:type="pct"/>
                  <w:vMerge w:val="restart"/>
                  <w:vAlign w:val="center"/>
                </w:tcPr>
                <w:p w14:paraId="5DE42B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700" w:type="pct"/>
                  <w:vMerge w:val="continue"/>
                  <w:vAlign w:val="center"/>
                </w:tcPr>
                <w:p w14:paraId="39622A69">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r>
            <w:tr w14:paraId="3593A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295" w:type="pct"/>
                  <w:vMerge w:val="continue"/>
                  <w:vAlign w:val="center"/>
                </w:tcPr>
                <w:p w14:paraId="5825E11B">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476" w:type="pct"/>
                  <w:vMerge w:val="continue"/>
                  <w:vAlign w:val="center"/>
                </w:tcPr>
                <w:p w14:paraId="31B630A4">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692" w:type="pct"/>
                  <w:vMerge w:val="continue"/>
                  <w:vAlign w:val="center"/>
                </w:tcPr>
                <w:p w14:paraId="139E8F61">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568" w:type="pct"/>
                  <w:vAlign w:val="center"/>
                </w:tcPr>
                <w:p w14:paraId="001DB491">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rPr>
                    <w:t>SO</w:t>
                  </w:r>
                  <w:r>
                    <w:rPr>
                      <w:rFonts w:hint="default" w:ascii="Times New Roman" w:hAnsi="Times New Roman" w:eastAsia="宋体" w:cs="Times New Roman"/>
                      <w:color w:val="auto"/>
                      <w:szCs w:val="21"/>
                      <w:highlight w:val="none"/>
                      <w:u w:val="none"/>
                      <w:vertAlign w:val="subscript"/>
                    </w:rPr>
                    <w:t>2</w:t>
                  </w:r>
                </w:p>
              </w:tc>
              <w:tc>
                <w:tcPr>
                  <w:tcW w:w="1168" w:type="dxa"/>
                  <w:vAlign w:val="center"/>
                </w:tcPr>
                <w:p w14:paraId="57CF3C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000000"/>
                      <w:kern w:val="2"/>
                      <w:sz w:val="21"/>
                      <w:szCs w:val="21"/>
                      <w:highlight w:val="none"/>
                      <w:lang w:val="en-US" w:eastAsia="zh-CN" w:bidi="ar-SA"/>
                    </w:rPr>
                    <w:t>8.0</w:t>
                  </w:r>
                </w:p>
              </w:tc>
              <w:tc>
                <w:tcPr>
                  <w:tcW w:w="1095" w:type="dxa"/>
                  <w:vAlign w:val="center"/>
                </w:tcPr>
                <w:p w14:paraId="57091F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bCs/>
                      <w:color w:val="auto"/>
                      <w:sz w:val="21"/>
                      <w:szCs w:val="21"/>
                      <w:lang w:val="en-US" w:eastAsia="zh-CN"/>
                    </w:rPr>
                    <w:t>0.032</w:t>
                  </w:r>
                </w:p>
              </w:tc>
              <w:tc>
                <w:tcPr>
                  <w:tcW w:w="507" w:type="pct"/>
                  <w:vMerge w:val="continue"/>
                  <w:vAlign w:val="center"/>
                </w:tcPr>
                <w:p w14:paraId="64D5C396">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461" w:type="pct"/>
                  <w:vMerge w:val="continue"/>
                  <w:vAlign w:val="center"/>
                </w:tcPr>
                <w:p w14:paraId="0CBA53D6">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700" w:type="pct"/>
                  <w:vMerge w:val="continue"/>
                  <w:vAlign w:val="center"/>
                </w:tcPr>
                <w:p w14:paraId="20789AE7">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r>
            <w:tr w14:paraId="60973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95" w:type="pct"/>
                  <w:vMerge w:val="continue"/>
                  <w:vAlign w:val="center"/>
                </w:tcPr>
                <w:p w14:paraId="11B2C1CE">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p>
              </w:tc>
              <w:tc>
                <w:tcPr>
                  <w:tcW w:w="476" w:type="pct"/>
                  <w:vMerge w:val="continue"/>
                  <w:vAlign w:val="center"/>
                </w:tcPr>
                <w:p w14:paraId="79227C26">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p>
              </w:tc>
              <w:tc>
                <w:tcPr>
                  <w:tcW w:w="692" w:type="pct"/>
                  <w:vMerge w:val="continue"/>
                  <w:vAlign w:val="center"/>
                </w:tcPr>
                <w:p w14:paraId="3B706593">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p>
              </w:tc>
              <w:tc>
                <w:tcPr>
                  <w:tcW w:w="568" w:type="pct"/>
                  <w:vAlign w:val="center"/>
                </w:tcPr>
                <w:p w14:paraId="4143E6B1">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rPr>
                    <w:t>NOx</w:t>
                  </w:r>
                </w:p>
              </w:tc>
              <w:tc>
                <w:tcPr>
                  <w:tcW w:w="1168" w:type="dxa"/>
                  <w:vAlign w:val="center"/>
                </w:tcPr>
                <w:p w14:paraId="6DE08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37.5</w:t>
                  </w:r>
                </w:p>
              </w:tc>
              <w:tc>
                <w:tcPr>
                  <w:tcW w:w="1095" w:type="dxa"/>
                  <w:vAlign w:val="center"/>
                </w:tcPr>
                <w:p w14:paraId="43157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bCs/>
                      <w:color w:val="auto"/>
                      <w:sz w:val="21"/>
                      <w:szCs w:val="21"/>
                      <w:lang w:val="en-US" w:eastAsia="zh-CN"/>
                    </w:rPr>
                    <w:t>0.150</w:t>
                  </w:r>
                </w:p>
              </w:tc>
              <w:tc>
                <w:tcPr>
                  <w:tcW w:w="507" w:type="pct"/>
                  <w:vMerge w:val="continue"/>
                  <w:vAlign w:val="center"/>
                </w:tcPr>
                <w:p w14:paraId="589567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461" w:type="pct"/>
                  <w:vMerge w:val="continue"/>
                  <w:vAlign w:val="center"/>
                </w:tcPr>
                <w:p w14:paraId="171CCA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700" w:type="pct"/>
                  <w:vMerge w:val="continue"/>
                  <w:vAlign w:val="center"/>
                </w:tcPr>
                <w:p w14:paraId="7B7978FD">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p>
              </w:tc>
            </w:tr>
          </w:tbl>
          <w:p w14:paraId="61E756B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为防止生产废气非正常工况排放，企业必须加强废气处理设施的管理，定期检修，确保废气处理设施正常运行，在废气处理设施停止运行或出现故障时，产生废气的各工序也必须相应停止生产。为杜绝废气非正常排放，应采取以下措施确保废气达标排放：</w:t>
            </w:r>
          </w:p>
          <w:p w14:paraId="1737DA78">
            <w:pPr>
              <w:keepNext w:val="0"/>
              <w:keepLines w:val="0"/>
              <w:numPr>
                <w:ilvl w:val="0"/>
                <w:numId w:val="16"/>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安排专人负责环保设备的日常维护和管理，每隔固定时间检查、汇报情况，及时发现废气处理设备的隐患，确保废气处理系统正常运行；</w:t>
            </w:r>
          </w:p>
          <w:p w14:paraId="630C40D0">
            <w:pPr>
              <w:keepNext w:val="0"/>
              <w:keepLines w:val="0"/>
              <w:numPr>
                <w:ilvl w:val="0"/>
                <w:numId w:val="16"/>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建立健全的环保管理机构，对环保管理人员和技术人员进行岗位培训，委托具有专业资质的环境检测单位对项目排放的各类污染物进行定期检测；</w:t>
            </w:r>
          </w:p>
          <w:p w14:paraId="6D28BAC6">
            <w:pPr>
              <w:keepNext w:val="0"/>
              <w:keepLines w:val="0"/>
              <w:numPr>
                <w:ilvl w:val="0"/>
                <w:numId w:val="16"/>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应定期维修、检修废气净化装置，以保持废气处理装置的净化能力和容量；</w:t>
            </w:r>
          </w:p>
          <w:p w14:paraId="2E9401B0">
            <w:pPr>
              <w:keepNext w:val="0"/>
              <w:keepLines w:val="0"/>
              <w:numPr>
                <w:ilvl w:val="0"/>
                <w:numId w:val="16"/>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bCs/>
                <w:color w:val="auto"/>
                <w:sz w:val="24"/>
                <w:highlight w:val="none"/>
              </w:rPr>
              <w:t>生产加工前开启相应的废气处理设备，生产停止一段时间后再关闭相应废气处理设施，杜绝废气突然排放的情况。</w:t>
            </w:r>
          </w:p>
          <w:p w14:paraId="706D22A3">
            <w:pPr>
              <w:keepNext w:val="0"/>
              <w:keepLines w:val="0"/>
              <w:widowControl w:val="0"/>
              <w:numPr>
                <w:ilvl w:val="1"/>
                <w:numId w:val="0"/>
              </w:numPr>
              <w:suppressLineNumbers w:val="0"/>
              <w:autoSpaceDE w:val="0"/>
              <w:autoSpaceDN w:val="0"/>
              <w:adjustRightInd w:val="0"/>
              <w:spacing w:before="0" w:beforeAutospacing="0" w:after="0" w:afterAutospacing="0" w:line="360" w:lineRule="auto"/>
              <w:ind w:left="420" w:leftChars="200" w:right="0"/>
              <w:jc w:val="both"/>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、废</w:t>
            </w:r>
            <w:r>
              <w:rPr>
                <w:rFonts w:hint="eastAsia" w:ascii="Times New Roman" w:hAnsi="Times New Roman" w:eastAsia="宋体" w:cs="Times New Roman"/>
                <w:b/>
                <w:bCs/>
                <w:color w:val="auto"/>
                <w:kern w:val="2"/>
                <w:sz w:val="24"/>
                <w:szCs w:val="24"/>
                <w:lang w:val="en-US" w:eastAsia="zh-CN" w:bidi="ar-SA"/>
              </w:rPr>
              <w:t>气</w:t>
            </w:r>
            <w:r>
              <w:rPr>
                <w:rFonts w:hint="default" w:ascii="Times New Roman" w:hAnsi="Times New Roman" w:eastAsia="宋体" w:cs="Times New Roman"/>
                <w:b/>
                <w:bCs/>
                <w:color w:val="auto"/>
                <w:kern w:val="2"/>
                <w:sz w:val="24"/>
                <w:szCs w:val="24"/>
                <w:lang w:val="en-US" w:eastAsia="zh-CN" w:bidi="ar-SA"/>
              </w:rPr>
              <w:t>排放监测计划</w:t>
            </w:r>
          </w:p>
          <w:p w14:paraId="2E4B79EC">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参考《排污单位自行监测技术指南 食品制造》（HJ1084-2020）、《排污许可证申请与核发技术规范酒、饮料制造工业》（HJ1028-2019）</w:t>
            </w:r>
            <w:r>
              <w:rPr>
                <w:rFonts w:hint="eastAsia"/>
                <w:color w:val="auto"/>
                <w:lang w:eastAsia="zh-CN"/>
              </w:rPr>
              <w:t>、</w:t>
            </w:r>
            <w:r>
              <w:rPr>
                <w:rFonts w:hint="eastAsia" w:ascii="Times New Roman" w:hAnsi="Times New Roman" w:eastAsia="宋体" w:cs="Times New Roman"/>
                <w:bCs/>
                <w:color w:val="auto"/>
                <w:sz w:val="24"/>
                <w:lang w:val="en-US" w:eastAsia="zh-CN"/>
              </w:rPr>
              <w:t>《排污单位自行监测技术指南 火力发电及锅炉》（HJ820-2017）的要求，本项目废气自行监测方案见下表：</w:t>
            </w:r>
          </w:p>
          <w:p w14:paraId="55EAA757">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废气排放监测计划一览表</w:t>
            </w:r>
          </w:p>
          <w:tbl>
            <w:tblPr>
              <w:tblStyle w:val="35"/>
              <w:tblW w:w="497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550"/>
              <w:gridCol w:w="1114"/>
              <w:gridCol w:w="1573"/>
              <w:gridCol w:w="991"/>
              <w:gridCol w:w="4515"/>
            </w:tblGrid>
            <w:tr w14:paraId="262AD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27" w:hRule="atLeast"/>
                <w:jc w:val="center"/>
              </w:trPr>
              <w:tc>
                <w:tcPr>
                  <w:tcW w:w="314" w:type="pct"/>
                  <w:tcBorders>
                    <w:top w:val="single" w:color="auto" w:sz="4" w:space="0"/>
                    <w:left w:val="single" w:color="auto" w:sz="0" w:space="0"/>
                  </w:tcBorders>
                  <w:vAlign w:val="center"/>
                </w:tcPr>
                <w:p w14:paraId="4B27B533">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pacing w:val="4"/>
                      <w:kern w:val="0"/>
                      <w:szCs w:val="21"/>
                    </w:rPr>
                  </w:pPr>
                  <w:r>
                    <w:rPr>
                      <w:rFonts w:hint="default" w:ascii="Times New Roman" w:hAnsi="Times New Roman" w:eastAsia="宋体" w:cs="Times New Roman"/>
                      <w:bCs/>
                      <w:color w:val="auto"/>
                      <w:spacing w:val="4"/>
                      <w:kern w:val="0"/>
                      <w:szCs w:val="21"/>
                    </w:rPr>
                    <w:t>监测项目</w:t>
                  </w:r>
                </w:p>
              </w:tc>
              <w:tc>
                <w:tcPr>
                  <w:tcW w:w="637" w:type="pct"/>
                  <w:tcBorders>
                    <w:top w:val="single" w:color="auto" w:sz="4" w:space="0"/>
                  </w:tcBorders>
                  <w:vAlign w:val="center"/>
                </w:tcPr>
                <w:p w14:paraId="60C9B5F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pacing w:val="4"/>
                      <w:kern w:val="0"/>
                      <w:szCs w:val="21"/>
                    </w:rPr>
                  </w:pPr>
                  <w:r>
                    <w:rPr>
                      <w:rFonts w:hint="default" w:ascii="Times New Roman" w:hAnsi="Times New Roman" w:eastAsia="宋体" w:cs="Times New Roman"/>
                      <w:bCs/>
                      <w:color w:val="auto"/>
                      <w:spacing w:val="4"/>
                      <w:kern w:val="0"/>
                      <w:szCs w:val="21"/>
                    </w:rPr>
                    <w:t>监测点位</w:t>
                  </w:r>
                </w:p>
              </w:tc>
              <w:tc>
                <w:tcPr>
                  <w:tcW w:w="899" w:type="pct"/>
                  <w:tcBorders>
                    <w:top w:val="single" w:color="auto" w:sz="4" w:space="0"/>
                  </w:tcBorders>
                  <w:vAlign w:val="center"/>
                </w:tcPr>
                <w:p w14:paraId="61EC0BA4">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pacing w:val="4"/>
                      <w:kern w:val="0"/>
                      <w:szCs w:val="21"/>
                    </w:rPr>
                  </w:pPr>
                  <w:r>
                    <w:rPr>
                      <w:rFonts w:hint="default" w:ascii="Times New Roman" w:hAnsi="Times New Roman" w:eastAsia="宋体" w:cs="Times New Roman"/>
                      <w:bCs/>
                      <w:color w:val="auto"/>
                      <w:spacing w:val="4"/>
                      <w:kern w:val="0"/>
                      <w:szCs w:val="21"/>
                    </w:rPr>
                    <w:t>监测指标</w:t>
                  </w:r>
                </w:p>
              </w:tc>
              <w:tc>
                <w:tcPr>
                  <w:tcW w:w="566" w:type="pct"/>
                  <w:tcBorders>
                    <w:top w:val="single" w:color="auto" w:sz="4" w:space="0"/>
                  </w:tcBorders>
                  <w:vAlign w:val="center"/>
                </w:tcPr>
                <w:p w14:paraId="03F14155">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pacing w:val="4"/>
                      <w:kern w:val="0"/>
                      <w:szCs w:val="21"/>
                    </w:rPr>
                  </w:pPr>
                  <w:r>
                    <w:rPr>
                      <w:rFonts w:hint="default" w:ascii="Times New Roman" w:hAnsi="Times New Roman" w:eastAsia="宋体" w:cs="Times New Roman"/>
                      <w:bCs/>
                      <w:color w:val="auto"/>
                      <w:spacing w:val="4"/>
                      <w:kern w:val="0"/>
                      <w:szCs w:val="21"/>
                    </w:rPr>
                    <w:t>监测频次</w:t>
                  </w:r>
                </w:p>
              </w:tc>
              <w:tc>
                <w:tcPr>
                  <w:tcW w:w="2581" w:type="pct"/>
                  <w:tcBorders>
                    <w:top w:val="single" w:color="auto" w:sz="4" w:space="0"/>
                    <w:right w:val="single" w:color="auto" w:sz="4" w:space="0"/>
                  </w:tcBorders>
                  <w:vAlign w:val="center"/>
                </w:tcPr>
                <w:p w14:paraId="68B617B7">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pacing w:val="4"/>
                      <w:kern w:val="0"/>
                      <w:szCs w:val="21"/>
                    </w:rPr>
                  </w:pPr>
                  <w:r>
                    <w:rPr>
                      <w:rFonts w:hint="default" w:ascii="Times New Roman" w:hAnsi="Times New Roman" w:eastAsia="宋体" w:cs="Times New Roman"/>
                      <w:bCs/>
                      <w:color w:val="auto"/>
                      <w:spacing w:val="4"/>
                      <w:kern w:val="0"/>
                      <w:szCs w:val="21"/>
                    </w:rPr>
                    <w:t>执行排放标准</w:t>
                  </w:r>
                </w:p>
              </w:tc>
            </w:tr>
            <w:tr w14:paraId="530F7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14" w:type="pct"/>
                  <w:vMerge w:val="restart"/>
                  <w:tcBorders>
                    <w:left w:val="single" w:color="auto" w:sz="4" w:space="0"/>
                  </w:tcBorders>
                  <w:vAlign w:val="center"/>
                </w:tcPr>
                <w:p w14:paraId="4577437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r>
                    <w:rPr>
                      <w:rFonts w:hint="default" w:ascii="Times New Roman" w:hAnsi="Times New Roman" w:eastAsia="宋体" w:cs="Times New Roman"/>
                      <w:color w:val="auto"/>
                      <w:spacing w:val="4"/>
                      <w:kern w:val="0"/>
                      <w:szCs w:val="21"/>
                      <w:lang w:val="en-US" w:eastAsia="zh-CN"/>
                    </w:rPr>
                    <w:t>废气</w:t>
                  </w:r>
                </w:p>
              </w:tc>
              <w:tc>
                <w:tcPr>
                  <w:tcW w:w="637" w:type="pct"/>
                  <w:vAlign w:val="center"/>
                </w:tcPr>
                <w:p w14:paraId="6E538FD5">
                  <w:pPr>
                    <w:keepNext w:val="0"/>
                    <w:keepLines w:val="0"/>
                    <w:suppressLineNumbers w:val="0"/>
                    <w:adjustRightInd w:val="0"/>
                    <w:snapToGrid w:val="0"/>
                    <w:spacing w:before="156" w:beforeLines="5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r>
                    <w:rPr>
                      <w:rFonts w:hint="default" w:ascii="Times New Roman" w:hAnsi="Times New Roman" w:eastAsia="宋体" w:cs="Times New Roman"/>
                      <w:color w:val="auto"/>
                      <w:spacing w:val="4"/>
                      <w:kern w:val="0"/>
                      <w:szCs w:val="21"/>
                      <w:lang w:val="en-US" w:eastAsia="zh-CN"/>
                    </w:rPr>
                    <w:t>DA001</w:t>
                  </w:r>
                </w:p>
              </w:tc>
              <w:tc>
                <w:tcPr>
                  <w:tcW w:w="899" w:type="pct"/>
                  <w:vAlign w:val="center"/>
                </w:tcPr>
                <w:p w14:paraId="4D3DBE7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pacing w:val="4"/>
                      <w:kern w:val="0"/>
                      <w:szCs w:val="21"/>
                      <w:lang w:val="en-US" w:eastAsia="zh-CN"/>
                    </w:rPr>
                  </w:pPr>
                  <w:r>
                    <w:rPr>
                      <w:rFonts w:hint="default" w:ascii="Times New Roman" w:hAnsi="Times New Roman" w:eastAsia="宋体" w:cs="Times New Roman"/>
                      <w:color w:val="auto"/>
                      <w:spacing w:val="4"/>
                      <w:kern w:val="0"/>
                      <w:szCs w:val="21"/>
                      <w:lang w:val="en-US" w:eastAsia="zh-CN"/>
                    </w:rPr>
                    <w:t>颗粒物</w:t>
                  </w:r>
                </w:p>
              </w:tc>
              <w:tc>
                <w:tcPr>
                  <w:tcW w:w="566" w:type="pct"/>
                  <w:vAlign w:val="center"/>
                </w:tcPr>
                <w:p w14:paraId="05D9E58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pacing w:val="4"/>
                      <w:kern w:val="0"/>
                      <w:szCs w:val="21"/>
                    </w:rPr>
                  </w:pPr>
                  <w:r>
                    <w:rPr>
                      <w:rFonts w:hint="default" w:ascii="Times New Roman" w:hAnsi="Times New Roman" w:eastAsia="宋体" w:cs="Times New Roman"/>
                      <w:color w:val="auto"/>
                      <w:spacing w:val="4"/>
                      <w:kern w:val="0"/>
                      <w:szCs w:val="21"/>
                    </w:rPr>
                    <w:t>1次/年</w:t>
                  </w:r>
                </w:p>
              </w:tc>
              <w:tc>
                <w:tcPr>
                  <w:tcW w:w="2581" w:type="pct"/>
                  <w:tcBorders>
                    <w:right w:val="single" w:color="auto" w:sz="4" w:space="0"/>
                  </w:tcBorders>
                  <w:vAlign w:val="center"/>
                </w:tcPr>
                <w:p w14:paraId="4F8A2F5C">
                  <w:pPr>
                    <w:keepNext w:val="0"/>
                    <w:keepLines w:val="0"/>
                    <w:suppressLineNumbers w:val="0"/>
                    <w:adjustRightInd w:val="0"/>
                    <w:snapToGrid w:val="0"/>
                    <w:spacing w:before="156" w:beforeLines="5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r>
                    <w:rPr>
                      <w:rFonts w:hint="default" w:ascii="Times New Roman" w:hAnsi="Times New Roman" w:eastAsia="宋体" w:cs="Times New Roman"/>
                      <w:color w:val="auto"/>
                      <w:spacing w:val="4"/>
                      <w:kern w:val="0"/>
                      <w:szCs w:val="21"/>
                      <w:lang w:val="en-US" w:eastAsia="zh-CN"/>
                    </w:rPr>
                    <w:t>《大气污染物综合排放标准》（GB16297-1996）表</w:t>
                  </w:r>
                  <w:r>
                    <w:rPr>
                      <w:rFonts w:hint="eastAsia" w:ascii="Times New Roman" w:hAnsi="Times New Roman" w:eastAsia="宋体" w:cs="Times New Roman"/>
                      <w:color w:val="auto"/>
                      <w:spacing w:val="4"/>
                      <w:kern w:val="0"/>
                      <w:szCs w:val="21"/>
                      <w:lang w:val="en-US" w:eastAsia="zh-CN"/>
                    </w:rPr>
                    <w:t>2</w:t>
                  </w:r>
                  <w:r>
                    <w:rPr>
                      <w:rFonts w:hint="default" w:ascii="Times New Roman" w:hAnsi="Times New Roman" w:eastAsia="宋体" w:cs="Times New Roman"/>
                      <w:color w:val="auto"/>
                      <w:spacing w:val="4"/>
                      <w:kern w:val="0"/>
                      <w:szCs w:val="21"/>
                      <w:lang w:val="en-US" w:eastAsia="zh-CN"/>
                    </w:rPr>
                    <w:t>中排放浓度限值</w:t>
                  </w:r>
                </w:p>
              </w:tc>
            </w:tr>
            <w:tr w14:paraId="4F17E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54" w:hRule="atLeast"/>
                <w:jc w:val="center"/>
              </w:trPr>
              <w:tc>
                <w:tcPr>
                  <w:tcW w:w="314" w:type="pct"/>
                  <w:vMerge w:val="continue"/>
                  <w:tcBorders>
                    <w:left w:val="single" w:color="auto" w:sz="4" w:space="0"/>
                  </w:tcBorders>
                  <w:vAlign w:val="center"/>
                </w:tcPr>
                <w:p w14:paraId="5AE8B5CA">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p>
              </w:tc>
              <w:tc>
                <w:tcPr>
                  <w:tcW w:w="637" w:type="pct"/>
                  <w:vMerge w:val="restart"/>
                  <w:vAlign w:val="center"/>
                </w:tcPr>
                <w:p w14:paraId="0F06D194">
                  <w:pPr>
                    <w:keepNext w:val="0"/>
                    <w:keepLines w:val="0"/>
                    <w:suppressLineNumbers w:val="0"/>
                    <w:adjustRightInd w:val="0"/>
                    <w:snapToGrid w:val="0"/>
                    <w:spacing w:before="156" w:beforeLines="5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r>
                    <w:rPr>
                      <w:rFonts w:hint="eastAsia" w:ascii="Times New Roman" w:hAnsi="Times New Roman" w:eastAsia="宋体" w:cs="Times New Roman"/>
                      <w:color w:val="auto"/>
                      <w:spacing w:val="4"/>
                      <w:kern w:val="0"/>
                      <w:szCs w:val="21"/>
                      <w:lang w:val="en-US" w:eastAsia="zh-CN"/>
                    </w:rPr>
                    <w:t>DA002</w:t>
                  </w:r>
                </w:p>
              </w:tc>
              <w:tc>
                <w:tcPr>
                  <w:tcW w:w="899" w:type="pct"/>
                  <w:shd w:val="clear" w:color="auto" w:fill="auto"/>
                  <w:vAlign w:val="center"/>
                </w:tcPr>
                <w:p w14:paraId="6536BD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bidi="ar-SA"/>
                    </w:rPr>
                    <w:t>氮氧化物</w:t>
                  </w:r>
                </w:p>
              </w:tc>
              <w:tc>
                <w:tcPr>
                  <w:tcW w:w="566" w:type="pct"/>
                  <w:shd w:val="clear" w:color="auto" w:fill="auto"/>
                  <w:vAlign w:val="center"/>
                </w:tcPr>
                <w:p w14:paraId="7619819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Cs w:val="21"/>
                      <w:highlight w:val="none"/>
                    </w:rPr>
                    <w:t>1次/</w:t>
                  </w:r>
                  <w:r>
                    <w:rPr>
                      <w:rFonts w:hint="eastAsia" w:cs="Times New Roman"/>
                      <w:color w:val="auto"/>
                      <w:spacing w:val="4"/>
                      <w:kern w:val="0"/>
                      <w:szCs w:val="21"/>
                      <w:highlight w:val="none"/>
                      <w:lang w:val="en-US" w:eastAsia="zh-CN"/>
                    </w:rPr>
                    <w:t>月</w:t>
                  </w:r>
                </w:p>
              </w:tc>
              <w:tc>
                <w:tcPr>
                  <w:tcW w:w="2581" w:type="pct"/>
                  <w:vMerge w:val="restart"/>
                  <w:tcBorders>
                    <w:right w:val="single" w:color="auto" w:sz="4" w:space="0"/>
                  </w:tcBorders>
                  <w:shd w:val="clear" w:color="auto" w:fill="auto"/>
                  <w:vAlign w:val="center"/>
                </w:tcPr>
                <w:p w14:paraId="2FA868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《锅炉大气污染物排放标准》（GB13271-2014）表3中排放限值要求和《安徽省大气办关于印发&lt;安徽省2020年大气污染防治重点工作任务&gt;的通知》中相关规定</w:t>
                  </w:r>
                </w:p>
              </w:tc>
            </w:tr>
            <w:tr w14:paraId="39C5D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54" w:hRule="atLeast"/>
                <w:jc w:val="center"/>
              </w:trPr>
              <w:tc>
                <w:tcPr>
                  <w:tcW w:w="314" w:type="pct"/>
                  <w:vMerge w:val="continue"/>
                  <w:tcBorders>
                    <w:left w:val="single" w:color="auto" w:sz="4" w:space="0"/>
                  </w:tcBorders>
                  <w:vAlign w:val="center"/>
                </w:tcPr>
                <w:p w14:paraId="6C1D4BED">
                  <w:pPr>
                    <w:keepNext w:val="0"/>
                    <w:keepLines w:val="0"/>
                    <w:suppressLineNumbers w:val="0"/>
                    <w:spacing w:before="0" w:beforeAutospacing="0" w:after="0" w:afterAutospacing="0"/>
                    <w:ind w:left="0" w:leftChars="0" w:right="0" w:rightChars="0"/>
                    <w:jc w:val="center"/>
                    <w:rPr>
                      <w:rFonts w:hint="default"/>
                      <w:color w:val="auto"/>
                    </w:rPr>
                  </w:pPr>
                </w:p>
              </w:tc>
              <w:tc>
                <w:tcPr>
                  <w:tcW w:w="637" w:type="pct"/>
                  <w:vMerge w:val="continue"/>
                  <w:vAlign w:val="center"/>
                </w:tcPr>
                <w:p w14:paraId="4A08F486">
                  <w:pPr>
                    <w:keepNext w:val="0"/>
                    <w:keepLines w:val="0"/>
                    <w:suppressLineNumbers w:val="0"/>
                    <w:spacing w:before="0" w:beforeAutospacing="0" w:after="0" w:afterAutospacing="0"/>
                    <w:ind w:left="0" w:leftChars="0" w:right="0" w:rightChars="0"/>
                    <w:jc w:val="center"/>
                    <w:rPr>
                      <w:rFonts w:hint="default"/>
                      <w:color w:val="auto"/>
                    </w:rPr>
                  </w:pPr>
                </w:p>
              </w:tc>
              <w:tc>
                <w:tcPr>
                  <w:tcW w:w="899" w:type="pct"/>
                  <w:shd w:val="clear" w:color="auto" w:fill="auto"/>
                  <w:vAlign w:val="center"/>
                </w:tcPr>
                <w:p w14:paraId="518D29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颗粒物、二氧化硫、林格曼黑度</w:t>
                  </w:r>
                </w:p>
              </w:tc>
              <w:tc>
                <w:tcPr>
                  <w:tcW w:w="566" w:type="pct"/>
                  <w:shd w:val="clear" w:color="auto" w:fill="auto"/>
                  <w:vAlign w:val="center"/>
                </w:tcPr>
                <w:p w14:paraId="56E5BBD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0"/>
                      <w:sz w:val="21"/>
                      <w:szCs w:val="21"/>
                      <w:highlight w:val="yellow"/>
                      <w:lang w:val="en-US" w:eastAsia="zh-CN" w:bidi="ar-SA"/>
                    </w:rPr>
                  </w:pPr>
                  <w:r>
                    <w:rPr>
                      <w:rFonts w:hint="default" w:ascii="Times New Roman" w:hAnsi="Times New Roman" w:eastAsia="宋体" w:cs="Times New Roman"/>
                      <w:color w:val="auto"/>
                      <w:spacing w:val="4"/>
                      <w:kern w:val="0"/>
                      <w:szCs w:val="21"/>
                    </w:rPr>
                    <w:t>1次/</w:t>
                  </w:r>
                  <w:r>
                    <w:rPr>
                      <w:rFonts w:hint="default" w:ascii="Times New Roman" w:hAnsi="Times New Roman" w:eastAsia="宋体" w:cs="Times New Roman"/>
                      <w:color w:val="auto"/>
                      <w:spacing w:val="4"/>
                      <w:kern w:val="0"/>
                      <w:szCs w:val="21"/>
                      <w:lang w:eastAsia="zh-CN"/>
                    </w:rPr>
                    <w:t>年</w:t>
                  </w:r>
                </w:p>
              </w:tc>
              <w:tc>
                <w:tcPr>
                  <w:tcW w:w="2581" w:type="pct"/>
                  <w:vMerge w:val="continue"/>
                  <w:tcBorders>
                    <w:right w:val="single" w:color="auto" w:sz="4" w:space="0"/>
                  </w:tcBorders>
                  <w:shd w:val="clear" w:color="auto" w:fill="auto"/>
                  <w:vAlign w:val="center"/>
                </w:tcPr>
                <w:p w14:paraId="40B6ED7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0"/>
                      <w:sz w:val="21"/>
                      <w:szCs w:val="21"/>
                      <w:highlight w:val="yellow"/>
                      <w:lang w:val="en-US" w:eastAsia="zh-CN" w:bidi="ar-SA"/>
                    </w:rPr>
                  </w:pPr>
                </w:p>
              </w:tc>
            </w:tr>
            <w:tr w14:paraId="5EB78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14" w:type="pct"/>
                  <w:vMerge w:val="continue"/>
                  <w:tcBorders>
                    <w:left w:val="single" w:color="auto" w:sz="4" w:space="0"/>
                  </w:tcBorders>
                  <w:vAlign w:val="center"/>
                </w:tcPr>
                <w:p w14:paraId="63F2C21E">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p>
              </w:tc>
              <w:tc>
                <w:tcPr>
                  <w:tcW w:w="637" w:type="pct"/>
                  <w:vAlign w:val="center"/>
                </w:tcPr>
                <w:p w14:paraId="7951B20E">
                  <w:pPr>
                    <w:keepNext w:val="0"/>
                    <w:keepLines w:val="0"/>
                    <w:suppressLineNumbers w:val="0"/>
                    <w:adjustRightInd w:val="0"/>
                    <w:snapToGrid w:val="0"/>
                    <w:spacing w:before="156" w:beforeLines="5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r>
                    <w:rPr>
                      <w:rFonts w:hint="default" w:ascii="Times New Roman" w:hAnsi="Times New Roman" w:eastAsia="宋体" w:cs="Times New Roman"/>
                      <w:color w:val="auto"/>
                      <w:spacing w:val="4"/>
                      <w:kern w:val="0"/>
                      <w:szCs w:val="21"/>
                      <w:lang w:val="en-US" w:eastAsia="zh-CN"/>
                    </w:rPr>
                    <w:t>厂界</w:t>
                  </w:r>
                </w:p>
              </w:tc>
              <w:tc>
                <w:tcPr>
                  <w:tcW w:w="899" w:type="pct"/>
                  <w:vAlign w:val="center"/>
                </w:tcPr>
                <w:p w14:paraId="47159A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4"/>
                      <w:kern w:val="0"/>
                      <w:szCs w:val="21"/>
                      <w:lang w:val="en-US" w:eastAsia="zh-CN"/>
                    </w:rPr>
                  </w:pPr>
                  <w:r>
                    <w:rPr>
                      <w:rFonts w:hint="default" w:ascii="Times New Roman" w:hAnsi="Times New Roman" w:eastAsia="宋体" w:cs="Times New Roman"/>
                      <w:color w:val="auto"/>
                      <w:spacing w:val="4"/>
                      <w:kern w:val="0"/>
                      <w:szCs w:val="21"/>
                      <w:lang w:val="en-US" w:eastAsia="zh-CN"/>
                    </w:rPr>
                    <w:t>颗粒物</w:t>
                  </w:r>
                </w:p>
              </w:tc>
              <w:tc>
                <w:tcPr>
                  <w:tcW w:w="566" w:type="pct"/>
                  <w:vAlign w:val="center"/>
                </w:tcPr>
                <w:p w14:paraId="1A4F8D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4"/>
                      <w:kern w:val="0"/>
                      <w:szCs w:val="21"/>
                    </w:rPr>
                  </w:pPr>
                  <w:r>
                    <w:rPr>
                      <w:rFonts w:hint="default" w:ascii="Times New Roman" w:hAnsi="Times New Roman" w:eastAsia="宋体" w:cs="Times New Roman"/>
                      <w:color w:val="auto"/>
                      <w:spacing w:val="4"/>
                      <w:kern w:val="0"/>
                      <w:szCs w:val="21"/>
                    </w:rPr>
                    <w:t>1次/</w:t>
                  </w:r>
                  <w:r>
                    <w:rPr>
                      <w:rFonts w:hint="default" w:ascii="Times New Roman" w:hAnsi="Times New Roman" w:eastAsia="宋体" w:cs="Times New Roman"/>
                      <w:color w:val="auto"/>
                      <w:spacing w:val="4"/>
                      <w:kern w:val="0"/>
                      <w:szCs w:val="21"/>
                      <w:lang w:eastAsia="zh-CN"/>
                    </w:rPr>
                    <w:t>年</w:t>
                  </w:r>
                </w:p>
              </w:tc>
              <w:tc>
                <w:tcPr>
                  <w:tcW w:w="2581" w:type="pct"/>
                  <w:tcBorders>
                    <w:right w:val="single" w:color="auto" w:sz="4" w:space="0"/>
                  </w:tcBorders>
                  <w:shd w:val="clear" w:color="auto" w:fill="auto"/>
                  <w:vAlign w:val="center"/>
                </w:tcPr>
                <w:p w14:paraId="1653B98D">
                  <w:pPr>
                    <w:keepNext w:val="0"/>
                    <w:keepLines w:val="0"/>
                    <w:suppressLineNumbers w:val="0"/>
                    <w:adjustRightInd w:val="0"/>
                    <w:snapToGrid w:val="0"/>
                    <w:spacing w:before="156" w:beforeLines="50" w:beforeAutospacing="0" w:after="0" w:afterAutospacing="0"/>
                    <w:ind w:left="0" w:leftChars="0" w:right="0" w:rightChars="0"/>
                    <w:jc w:val="center"/>
                    <w:textAlignment w:val="baseline"/>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Cs w:val="21"/>
                      <w:lang w:val="en-US" w:eastAsia="zh-CN"/>
                    </w:rPr>
                    <w:t>《大气污染物综合排放标准》（GB16297-1996）表</w:t>
                  </w:r>
                  <w:r>
                    <w:rPr>
                      <w:rFonts w:hint="eastAsia" w:ascii="Times New Roman" w:hAnsi="Times New Roman" w:eastAsia="宋体" w:cs="Times New Roman"/>
                      <w:color w:val="auto"/>
                      <w:spacing w:val="4"/>
                      <w:kern w:val="0"/>
                      <w:szCs w:val="21"/>
                      <w:lang w:val="en-US" w:eastAsia="zh-CN"/>
                    </w:rPr>
                    <w:t>2</w:t>
                  </w:r>
                  <w:r>
                    <w:rPr>
                      <w:rFonts w:hint="default" w:ascii="Times New Roman" w:hAnsi="Times New Roman" w:eastAsia="宋体" w:cs="Times New Roman"/>
                      <w:color w:val="auto"/>
                      <w:spacing w:val="4"/>
                      <w:kern w:val="0"/>
                      <w:szCs w:val="21"/>
                      <w:lang w:val="en-US" w:eastAsia="zh-CN"/>
                    </w:rPr>
                    <w:t>中排放浓度限值</w:t>
                  </w:r>
                </w:p>
              </w:tc>
            </w:tr>
          </w:tbl>
          <w:p w14:paraId="0023C880">
            <w:pPr>
              <w:pStyle w:val="42"/>
              <w:keepNext w:val="0"/>
              <w:keepLines w:val="0"/>
              <w:suppressLineNumbers w:val="0"/>
              <w:spacing w:before="0" w:beforeAutospacing="0" w:after="0" w:afterAutospacing="0"/>
              <w:ind w:left="0" w:right="0"/>
              <w:rPr>
                <w:rFonts w:hint="default"/>
                <w:lang w:val="en-US" w:eastAsia="zh-CN"/>
              </w:rPr>
            </w:pPr>
          </w:p>
        </w:tc>
      </w:tr>
    </w:tbl>
    <w:p w14:paraId="4AB2339B">
      <w:pPr>
        <w:sectPr>
          <w:pgSz w:w="11907" w:h="16840"/>
          <w:pgMar w:top="1418" w:right="1134" w:bottom="1418" w:left="1247" w:header="851" w:footer="851" w:gutter="0"/>
          <w:cols w:space="720" w:num="1"/>
          <w:docGrid w:linePitch="312" w:charSpace="0"/>
        </w:sectPr>
      </w:pPr>
    </w:p>
    <w:p w14:paraId="294951DA">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本次项目废气产排污节点、污染物产排及污染治理设施信息表</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986"/>
        <w:gridCol w:w="1190"/>
        <w:gridCol w:w="1069"/>
        <w:gridCol w:w="939"/>
        <w:gridCol w:w="811"/>
        <w:gridCol w:w="1515"/>
        <w:gridCol w:w="1116"/>
        <w:gridCol w:w="1069"/>
        <w:gridCol w:w="1253"/>
        <w:gridCol w:w="1074"/>
        <w:gridCol w:w="1051"/>
        <w:gridCol w:w="956"/>
      </w:tblGrid>
      <w:tr w14:paraId="3527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3" w:type="pct"/>
            <w:vMerge w:val="restart"/>
            <w:vAlign w:val="center"/>
          </w:tcPr>
          <w:p w14:paraId="57066F1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工序</w:t>
            </w:r>
          </w:p>
        </w:tc>
        <w:tc>
          <w:tcPr>
            <w:tcW w:w="346" w:type="pct"/>
            <w:vMerge w:val="restart"/>
            <w:vAlign w:val="center"/>
          </w:tcPr>
          <w:p w14:paraId="2556EC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污染物</w:t>
            </w:r>
          </w:p>
        </w:tc>
        <w:tc>
          <w:tcPr>
            <w:tcW w:w="1125" w:type="pct"/>
            <w:gridSpan w:val="3"/>
            <w:vMerge w:val="restart"/>
            <w:vAlign w:val="center"/>
          </w:tcPr>
          <w:p w14:paraId="178C06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污染物产生情况</w:t>
            </w:r>
          </w:p>
        </w:tc>
        <w:tc>
          <w:tcPr>
            <w:tcW w:w="285" w:type="pct"/>
            <w:vMerge w:val="restart"/>
            <w:vAlign w:val="center"/>
          </w:tcPr>
          <w:p w14:paraId="7FE6A6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营运</w:t>
            </w:r>
            <w:r>
              <w:rPr>
                <w:rFonts w:hint="default" w:ascii="Times New Roman" w:hAnsi="Times New Roman" w:eastAsia="宋体" w:cs="Times New Roman"/>
                <w:bCs/>
                <w:color w:val="000000"/>
                <w:kern w:val="2"/>
                <w:sz w:val="21"/>
                <w:szCs w:val="21"/>
                <w:lang w:val="en-US" w:eastAsia="zh-CN" w:bidi="ar-SA"/>
              </w:rPr>
              <w:t>时间h/a</w:t>
            </w:r>
          </w:p>
        </w:tc>
        <w:tc>
          <w:tcPr>
            <w:tcW w:w="1302" w:type="pct"/>
            <w:gridSpan w:val="3"/>
            <w:vMerge w:val="restart"/>
            <w:vAlign w:val="center"/>
          </w:tcPr>
          <w:p w14:paraId="74FF32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治理设施</w:t>
            </w:r>
          </w:p>
        </w:tc>
        <w:tc>
          <w:tcPr>
            <w:tcW w:w="1189" w:type="pct"/>
            <w:gridSpan w:val="3"/>
            <w:vAlign w:val="center"/>
          </w:tcPr>
          <w:p w14:paraId="2BC0A0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污染物排放情况</w:t>
            </w:r>
          </w:p>
        </w:tc>
        <w:tc>
          <w:tcPr>
            <w:tcW w:w="336" w:type="pct"/>
            <w:vMerge w:val="restart"/>
            <w:vAlign w:val="center"/>
          </w:tcPr>
          <w:p w14:paraId="2080BA9A">
            <w:pPr>
              <w:keepNext w:val="0"/>
              <w:keepLines w:val="0"/>
              <w:widowControl/>
              <w:suppressLineNumbers w:val="0"/>
              <w:spacing w:before="0" w:beforeAutospacing="0" w:after="0" w:afterAutospacing="0"/>
              <w:ind w:left="0" w:right="0"/>
              <w:jc w:val="center"/>
              <w:textAlignment w:val="center"/>
              <w:rPr>
                <w:rFonts w:hint="default" w:eastAsia="宋体"/>
                <w:color w:val="000000"/>
              </w:rPr>
            </w:pPr>
            <w:r>
              <w:rPr>
                <w:rFonts w:hint="default" w:eastAsia="宋体"/>
                <w:color w:val="000000"/>
              </w:rPr>
              <w:t>排气筒</w:t>
            </w:r>
            <w:r>
              <w:rPr>
                <w:rFonts w:hint="default" w:eastAsia="宋体"/>
                <w:color w:val="000000"/>
              </w:rPr>
              <w:br w:type="textWrapping"/>
            </w:r>
            <w:r>
              <w:rPr>
                <w:rFonts w:hint="default" w:eastAsia="宋体"/>
                <w:color w:val="000000"/>
              </w:rPr>
              <w:t>编号</w:t>
            </w:r>
          </w:p>
        </w:tc>
      </w:tr>
      <w:tr w14:paraId="373A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3" w:type="pct"/>
            <w:vMerge w:val="continue"/>
            <w:vAlign w:val="center"/>
          </w:tcPr>
          <w:p w14:paraId="02AB2DC8">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2"/>
                <w:sz w:val="21"/>
                <w:szCs w:val="21"/>
                <w:lang w:val="en-US" w:eastAsia="zh-CN" w:bidi="ar-SA"/>
              </w:rPr>
            </w:pPr>
          </w:p>
        </w:tc>
        <w:tc>
          <w:tcPr>
            <w:tcW w:w="346" w:type="pct"/>
            <w:vMerge w:val="continue"/>
            <w:vAlign w:val="center"/>
          </w:tcPr>
          <w:p w14:paraId="57B1E4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1125" w:type="pct"/>
            <w:gridSpan w:val="3"/>
            <w:vMerge w:val="continue"/>
            <w:vAlign w:val="center"/>
          </w:tcPr>
          <w:p w14:paraId="4D76EE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285" w:type="pct"/>
            <w:vMerge w:val="continue"/>
            <w:vAlign w:val="center"/>
          </w:tcPr>
          <w:p w14:paraId="7CE40A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1302" w:type="pct"/>
            <w:gridSpan w:val="3"/>
            <w:vMerge w:val="continue"/>
            <w:vAlign w:val="center"/>
          </w:tcPr>
          <w:p w14:paraId="16C000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1189" w:type="pct"/>
            <w:gridSpan w:val="3"/>
            <w:vAlign w:val="center"/>
          </w:tcPr>
          <w:p w14:paraId="354296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有组织</w:t>
            </w:r>
          </w:p>
        </w:tc>
        <w:tc>
          <w:tcPr>
            <w:tcW w:w="336" w:type="pct"/>
            <w:vMerge w:val="continue"/>
            <w:vAlign w:val="center"/>
          </w:tcPr>
          <w:p w14:paraId="36265A4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2"/>
                <w:sz w:val="21"/>
                <w:szCs w:val="21"/>
                <w:lang w:val="en-US" w:eastAsia="zh-CN" w:bidi="ar-SA"/>
              </w:rPr>
            </w:pPr>
          </w:p>
        </w:tc>
      </w:tr>
      <w:tr w14:paraId="4AF4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vMerge w:val="continue"/>
            <w:vAlign w:val="center"/>
          </w:tcPr>
          <w:p w14:paraId="66E6347A">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2"/>
                <w:sz w:val="21"/>
                <w:szCs w:val="21"/>
                <w:lang w:val="en-US" w:eastAsia="zh-CN" w:bidi="ar-SA"/>
              </w:rPr>
            </w:pPr>
          </w:p>
        </w:tc>
        <w:tc>
          <w:tcPr>
            <w:tcW w:w="346" w:type="pct"/>
            <w:vMerge w:val="continue"/>
            <w:vAlign w:val="center"/>
          </w:tcPr>
          <w:p w14:paraId="5DFD83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418" w:type="pct"/>
            <w:vAlign w:val="center"/>
          </w:tcPr>
          <w:p w14:paraId="594238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产生浓度</w:t>
            </w:r>
          </w:p>
          <w:p w14:paraId="23F9C0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mg/m</w:t>
            </w:r>
            <w:r>
              <w:rPr>
                <w:rFonts w:hint="default" w:ascii="Times New Roman" w:hAnsi="Times New Roman" w:eastAsia="宋体" w:cs="Times New Roman"/>
                <w:bCs/>
                <w:color w:val="000000"/>
                <w:kern w:val="2"/>
                <w:sz w:val="21"/>
                <w:szCs w:val="21"/>
                <w:vertAlign w:val="superscript"/>
                <w:lang w:val="en-US" w:eastAsia="zh-CN" w:bidi="ar-SA"/>
              </w:rPr>
              <w:t>3</w:t>
            </w:r>
          </w:p>
        </w:tc>
        <w:tc>
          <w:tcPr>
            <w:tcW w:w="376" w:type="pct"/>
            <w:vAlign w:val="center"/>
          </w:tcPr>
          <w:p w14:paraId="199EC5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产生速率</w:t>
            </w:r>
          </w:p>
          <w:p w14:paraId="5F9948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kg/h</w:t>
            </w:r>
          </w:p>
        </w:tc>
        <w:tc>
          <w:tcPr>
            <w:tcW w:w="330" w:type="pct"/>
            <w:vAlign w:val="center"/>
          </w:tcPr>
          <w:p w14:paraId="48A7DE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产生量</w:t>
            </w:r>
          </w:p>
          <w:p w14:paraId="4AA628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t/a</w:t>
            </w:r>
          </w:p>
        </w:tc>
        <w:tc>
          <w:tcPr>
            <w:tcW w:w="285" w:type="pct"/>
            <w:vMerge w:val="continue"/>
            <w:vAlign w:val="center"/>
          </w:tcPr>
          <w:p w14:paraId="265A45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533" w:type="pct"/>
            <w:vAlign w:val="center"/>
          </w:tcPr>
          <w:p w14:paraId="7B25BE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治理工艺</w:t>
            </w:r>
          </w:p>
        </w:tc>
        <w:tc>
          <w:tcPr>
            <w:tcW w:w="392" w:type="pct"/>
            <w:vAlign w:val="center"/>
          </w:tcPr>
          <w:p w14:paraId="110119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去除效率%</w:t>
            </w:r>
          </w:p>
        </w:tc>
        <w:tc>
          <w:tcPr>
            <w:tcW w:w="376" w:type="pct"/>
            <w:vAlign w:val="center"/>
          </w:tcPr>
          <w:p w14:paraId="73922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废气量</w:t>
            </w:r>
            <w:r>
              <w:rPr>
                <w:rFonts w:hint="default" w:ascii="Times New Roman" w:hAnsi="Times New Roman" w:eastAsia="宋体" w:cs="Times New Roman"/>
                <w:bCs/>
                <w:color w:val="000000"/>
                <w:kern w:val="2"/>
                <w:sz w:val="21"/>
                <w:szCs w:val="21"/>
                <w:lang w:val="en-US" w:eastAsia="zh-CN" w:bidi="ar-SA"/>
              </w:rPr>
              <w:t>m</w:t>
            </w:r>
            <w:r>
              <w:rPr>
                <w:rFonts w:hint="default" w:ascii="Times New Roman" w:hAnsi="Times New Roman" w:eastAsia="宋体" w:cs="Times New Roman"/>
                <w:bCs/>
                <w:color w:val="000000"/>
                <w:kern w:val="2"/>
                <w:sz w:val="21"/>
                <w:szCs w:val="21"/>
                <w:vertAlign w:val="superscript"/>
                <w:lang w:val="en-US" w:eastAsia="zh-CN" w:bidi="ar-SA"/>
              </w:rPr>
              <w:t>3</w:t>
            </w:r>
            <w:r>
              <w:rPr>
                <w:rFonts w:hint="default" w:ascii="Times New Roman" w:hAnsi="Times New Roman" w:eastAsia="宋体" w:cs="Times New Roman"/>
                <w:bCs/>
                <w:color w:val="000000"/>
                <w:kern w:val="2"/>
                <w:sz w:val="21"/>
                <w:szCs w:val="21"/>
                <w:lang w:val="en-US" w:eastAsia="zh-CN" w:bidi="ar-SA"/>
              </w:rPr>
              <w:t>/h</w:t>
            </w:r>
          </w:p>
        </w:tc>
        <w:tc>
          <w:tcPr>
            <w:tcW w:w="440" w:type="pct"/>
            <w:vAlign w:val="center"/>
          </w:tcPr>
          <w:p w14:paraId="54A829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排放浓度</w:t>
            </w:r>
          </w:p>
          <w:p w14:paraId="2F55E9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mg/m</w:t>
            </w:r>
            <w:r>
              <w:rPr>
                <w:rFonts w:hint="default" w:ascii="Times New Roman" w:hAnsi="Times New Roman" w:eastAsia="宋体" w:cs="Times New Roman"/>
                <w:bCs/>
                <w:color w:val="000000"/>
                <w:kern w:val="2"/>
                <w:sz w:val="21"/>
                <w:szCs w:val="21"/>
                <w:vertAlign w:val="superscript"/>
                <w:lang w:val="en-US" w:eastAsia="zh-CN" w:bidi="ar-SA"/>
              </w:rPr>
              <w:t>3</w:t>
            </w:r>
          </w:p>
        </w:tc>
        <w:tc>
          <w:tcPr>
            <w:tcW w:w="378" w:type="pct"/>
            <w:vAlign w:val="center"/>
          </w:tcPr>
          <w:p w14:paraId="055DDE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排放速率</w:t>
            </w:r>
          </w:p>
          <w:p w14:paraId="046097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kg/h</w:t>
            </w:r>
          </w:p>
        </w:tc>
        <w:tc>
          <w:tcPr>
            <w:tcW w:w="369" w:type="pct"/>
            <w:vAlign w:val="center"/>
          </w:tcPr>
          <w:p w14:paraId="39980A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排放量</w:t>
            </w:r>
          </w:p>
          <w:p w14:paraId="091FE7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t/a</w:t>
            </w:r>
          </w:p>
        </w:tc>
        <w:tc>
          <w:tcPr>
            <w:tcW w:w="336" w:type="pct"/>
            <w:vMerge w:val="continue"/>
            <w:vAlign w:val="center"/>
          </w:tcPr>
          <w:p w14:paraId="416134D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2"/>
                <w:sz w:val="21"/>
                <w:szCs w:val="21"/>
                <w:lang w:val="en-US" w:eastAsia="zh-CN" w:bidi="ar-SA"/>
              </w:rPr>
            </w:pPr>
          </w:p>
        </w:tc>
      </w:tr>
      <w:tr w14:paraId="584B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3" w:type="pct"/>
            <w:vAlign w:val="center"/>
          </w:tcPr>
          <w:p w14:paraId="10946524">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配料、混合</w:t>
            </w:r>
          </w:p>
        </w:tc>
        <w:tc>
          <w:tcPr>
            <w:tcW w:w="346" w:type="pct"/>
            <w:vAlign w:val="center"/>
          </w:tcPr>
          <w:p w14:paraId="54AB1638">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颗粒物</w:t>
            </w:r>
          </w:p>
        </w:tc>
        <w:tc>
          <w:tcPr>
            <w:tcW w:w="418" w:type="pct"/>
            <w:vAlign w:val="center"/>
          </w:tcPr>
          <w:p w14:paraId="52C9B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256.67</w:t>
            </w:r>
          </w:p>
        </w:tc>
        <w:tc>
          <w:tcPr>
            <w:tcW w:w="376" w:type="pct"/>
            <w:vAlign w:val="center"/>
          </w:tcPr>
          <w:p w14:paraId="5A919A9E">
            <w:pPr>
              <w:keepNext w:val="0"/>
              <w:keepLines w:val="0"/>
              <w:widowControl/>
              <w:suppressLineNumbers w:val="0"/>
              <w:spacing w:before="0" w:beforeAutospacing="0" w:after="0" w:afterAutospacing="0"/>
              <w:ind w:left="-84" w:leftChars="-40" w:right="-84" w:rightChars="-4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1.54</w:t>
            </w:r>
          </w:p>
        </w:tc>
        <w:tc>
          <w:tcPr>
            <w:tcW w:w="330" w:type="pct"/>
            <w:vAlign w:val="center"/>
          </w:tcPr>
          <w:p w14:paraId="32E3F95C">
            <w:pPr>
              <w:keepNext w:val="0"/>
              <w:keepLines w:val="0"/>
              <w:widowControl/>
              <w:suppressLineNumbers w:val="0"/>
              <w:spacing w:before="0" w:beforeAutospacing="0" w:after="0" w:afterAutospacing="0"/>
              <w:ind w:left="-84" w:leftChars="-40" w:right="-84" w:rightChars="-40"/>
              <w:jc w:val="center"/>
              <w:textAlignment w:val="center"/>
              <w:rPr>
                <w:rFonts w:hint="default" w:eastAsia="宋体"/>
                <w:color w:val="auto"/>
                <w:szCs w:val="21"/>
                <w:lang w:val="en-US" w:eastAsia="zh-CN"/>
              </w:rPr>
            </w:pPr>
            <w:r>
              <w:rPr>
                <w:rFonts w:hint="eastAsia"/>
                <w:color w:val="auto"/>
                <w:szCs w:val="21"/>
                <w:lang w:val="en-US" w:eastAsia="zh-CN"/>
              </w:rPr>
              <w:t>3.7</w:t>
            </w:r>
          </w:p>
        </w:tc>
        <w:tc>
          <w:tcPr>
            <w:tcW w:w="285" w:type="pct"/>
            <w:vAlign w:val="center"/>
          </w:tcPr>
          <w:p w14:paraId="219BD595">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2400</w:t>
            </w:r>
          </w:p>
        </w:tc>
        <w:tc>
          <w:tcPr>
            <w:tcW w:w="533" w:type="pct"/>
            <w:vAlign w:val="center"/>
          </w:tcPr>
          <w:p w14:paraId="17974B41">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布袋除尘器</w:t>
            </w:r>
          </w:p>
        </w:tc>
        <w:tc>
          <w:tcPr>
            <w:tcW w:w="392" w:type="pct"/>
            <w:vAlign w:val="center"/>
          </w:tcPr>
          <w:p w14:paraId="66241643">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99</w:t>
            </w:r>
          </w:p>
        </w:tc>
        <w:tc>
          <w:tcPr>
            <w:tcW w:w="376" w:type="pct"/>
            <w:vAlign w:val="center"/>
          </w:tcPr>
          <w:p w14:paraId="3C7BCE2C">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6000</w:t>
            </w:r>
          </w:p>
        </w:tc>
        <w:tc>
          <w:tcPr>
            <w:tcW w:w="440" w:type="pct"/>
            <w:vAlign w:val="center"/>
          </w:tcPr>
          <w:p w14:paraId="146B42AC">
            <w:pPr>
              <w:keepNext w:val="0"/>
              <w:keepLines w:val="0"/>
              <w:widowControl/>
              <w:suppressLineNumbers w:val="0"/>
              <w:spacing w:before="0" w:beforeAutospacing="0" w:after="0" w:afterAutospacing="0"/>
              <w:ind w:left="-84" w:leftChars="-40" w:right="-84" w:rightChars="-40"/>
              <w:jc w:val="center"/>
              <w:textAlignment w:val="center"/>
              <w:rPr>
                <w:rFonts w:hint="default" w:eastAsia="宋体"/>
                <w:color w:val="auto"/>
                <w:szCs w:val="21"/>
                <w:lang w:val="en-US" w:eastAsia="zh-CN"/>
              </w:rPr>
            </w:pPr>
            <w:r>
              <w:rPr>
                <w:rFonts w:hint="eastAsia"/>
                <w:color w:val="auto"/>
                <w:szCs w:val="21"/>
                <w:lang w:val="en-US" w:eastAsia="zh-CN"/>
              </w:rPr>
              <w:t>23</w:t>
            </w:r>
          </w:p>
        </w:tc>
        <w:tc>
          <w:tcPr>
            <w:tcW w:w="378" w:type="pct"/>
            <w:vAlign w:val="center"/>
          </w:tcPr>
          <w:p w14:paraId="0C1CFA17">
            <w:pPr>
              <w:keepNext w:val="0"/>
              <w:keepLines w:val="0"/>
              <w:widowControl/>
              <w:suppressLineNumbers w:val="0"/>
              <w:spacing w:before="0" w:beforeAutospacing="0" w:after="0" w:afterAutospacing="0"/>
              <w:ind w:left="-84" w:leftChars="-40" w:right="-84" w:rightChars="-40"/>
              <w:jc w:val="center"/>
              <w:textAlignment w:val="center"/>
              <w:rPr>
                <w:rFonts w:hint="default" w:eastAsia="宋体"/>
                <w:color w:val="auto"/>
                <w:szCs w:val="21"/>
                <w:lang w:val="en-US" w:eastAsia="zh-CN"/>
              </w:rPr>
            </w:pPr>
            <w:r>
              <w:rPr>
                <w:rFonts w:hint="eastAsia"/>
                <w:color w:val="auto"/>
                <w:szCs w:val="21"/>
                <w:lang w:val="en-US" w:eastAsia="zh-CN"/>
              </w:rPr>
              <w:t>0.138</w:t>
            </w:r>
          </w:p>
        </w:tc>
        <w:tc>
          <w:tcPr>
            <w:tcW w:w="369" w:type="pct"/>
            <w:shd w:val="clear" w:color="auto" w:fill="auto"/>
            <w:vAlign w:val="center"/>
          </w:tcPr>
          <w:p w14:paraId="2ED3F06E">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0.033</w:t>
            </w:r>
          </w:p>
        </w:tc>
        <w:tc>
          <w:tcPr>
            <w:tcW w:w="336" w:type="pct"/>
            <w:vAlign w:val="center"/>
          </w:tcPr>
          <w:p w14:paraId="36A0CA57">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rPr>
            </w:pPr>
            <w:r>
              <w:rPr>
                <w:rFonts w:hint="eastAsia" w:eastAsia="宋体"/>
                <w:color w:val="auto"/>
                <w:szCs w:val="21"/>
                <w:lang w:val="en-US" w:eastAsia="zh-CN"/>
              </w:rPr>
              <w:t>DA00</w:t>
            </w:r>
            <w:r>
              <w:rPr>
                <w:rFonts w:hint="eastAsia"/>
                <w:color w:val="auto"/>
                <w:szCs w:val="21"/>
                <w:lang w:val="en-US" w:eastAsia="zh-CN"/>
              </w:rPr>
              <w:t>1</w:t>
            </w:r>
          </w:p>
        </w:tc>
      </w:tr>
      <w:tr w14:paraId="5A3D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3" w:type="pct"/>
            <w:vMerge w:val="restart"/>
            <w:shd w:val="clear" w:color="auto" w:fill="auto"/>
            <w:vAlign w:val="center"/>
          </w:tcPr>
          <w:p w14:paraId="71D6109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天然气燃烧废气</w:t>
            </w:r>
          </w:p>
        </w:tc>
        <w:tc>
          <w:tcPr>
            <w:tcW w:w="346" w:type="pct"/>
            <w:shd w:val="clear" w:color="auto" w:fill="auto"/>
            <w:vAlign w:val="center"/>
          </w:tcPr>
          <w:p w14:paraId="44B46902">
            <w:pPr>
              <w:keepNext w:val="0"/>
              <w:keepLines w:val="0"/>
              <w:widowControl/>
              <w:suppressLineNumbers w:val="0"/>
              <w:spacing w:before="0" w:beforeAutospacing="0" w:after="0" w:afterAutospacing="0"/>
              <w:ind w:left="-105" w:leftChars="-50" w:right="-105" w:rightChars="-5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lang w:val="en-US" w:eastAsia="zh-CN"/>
              </w:rPr>
              <w:t>颗粒物</w:t>
            </w:r>
          </w:p>
        </w:tc>
        <w:tc>
          <w:tcPr>
            <w:tcW w:w="418" w:type="pct"/>
            <w:shd w:val="clear" w:color="auto" w:fill="auto"/>
            <w:vAlign w:val="center"/>
          </w:tcPr>
          <w:p w14:paraId="2102A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w:t>
            </w:r>
          </w:p>
        </w:tc>
        <w:tc>
          <w:tcPr>
            <w:tcW w:w="376" w:type="pct"/>
            <w:shd w:val="clear" w:color="auto" w:fill="auto"/>
            <w:vAlign w:val="center"/>
          </w:tcPr>
          <w:p w14:paraId="6CB156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0.046</w:t>
            </w:r>
          </w:p>
        </w:tc>
        <w:tc>
          <w:tcPr>
            <w:tcW w:w="330" w:type="pct"/>
            <w:shd w:val="clear" w:color="auto" w:fill="auto"/>
            <w:vAlign w:val="center"/>
          </w:tcPr>
          <w:p w14:paraId="07E93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0.206</w:t>
            </w:r>
          </w:p>
        </w:tc>
        <w:tc>
          <w:tcPr>
            <w:tcW w:w="285" w:type="pct"/>
            <w:vMerge w:val="restart"/>
            <w:shd w:val="clear" w:color="auto" w:fill="auto"/>
            <w:vAlign w:val="center"/>
          </w:tcPr>
          <w:p w14:paraId="6562FD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4500</w:t>
            </w:r>
          </w:p>
        </w:tc>
        <w:tc>
          <w:tcPr>
            <w:tcW w:w="533" w:type="pct"/>
            <w:vMerge w:val="restart"/>
            <w:shd w:val="clear" w:color="auto" w:fill="auto"/>
            <w:vAlign w:val="center"/>
          </w:tcPr>
          <w:p w14:paraId="127C97C4">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低氮燃烧</w:t>
            </w:r>
          </w:p>
        </w:tc>
        <w:tc>
          <w:tcPr>
            <w:tcW w:w="392" w:type="pct"/>
            <w:shd w:val="clear" w:color="auto" w:fill="auto"/>
            <w:vAlign w:val="center"/>
          </w:tcPr>
          <w:p w14:paraId="77862F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376" w:type="pct"/>
            <w:vMerge w:val="restart"/>
            <w:shd w:val="clear" w:color="auto" w:fill="auto"/>
            <w:vAlign w:val="center"/>
          </w:tcPr>
          <w:p w14:paraId="505F102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4000</w:t>
            </w:r>
          </w:p>
        </w:tc>
        <w:tc>
          <w:tcPr>
            <w:tcW w:w="440" w:type="pct"/>
            <w:shd w:val="clear" w:color="auto" w:fill="auto"/>
            <w:vAlign w:val="center"/>
          </w:tcPr>
          <w:p w14:paraId="3BFCB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w:t>
            </w:r>
          </w:p>
        </w:tc>
        <w:tc>
          <w:tcPr>
            <w:tcW w:w="378" w:type="pct"/>
            <w:shd w:val="clear" w:color="auto" w:fill="auto"/>
            <w:vAlign w:val="center"/>
          </w:tcPr>
          <w:p w14:paraId="234FF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 xml:space="preserve">0.046 </w:t>
            </w:r>
          </w:p>
        </w:tc>
        <w:tc>
          <w:tcPr>
            <w:tcW w:w="369" w:type="pct"/>
            <w:shd w:val="clear" w:color="auto" w:fill="auto"/>
            <w:vAlign w:val="center"/>
          </w:tcPr>
          <w:p w14:paraId="592B4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0.206</w:t>
            </w:r>
          </w:p>
        </w:tc>
        <w:tc>
          <w:tcPr>
            <w:tcW w:w="336" w:type="pct"/>
            <w:vMerge w:val="restart"/>
            <w:vAlign w:val="center"/>
          </w:tcPr>
          <w:p w14:paraId="147F64C8">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eastAsia="宋体"/>
                <w:color w:val="auto"/>
                <w:szCs w:val="21"/>
                <w:lang w:val="en-US" w:eastAsia="zh-CN"/>
              </w:rPr>
              <w:t>DA00</w:t>
            </w:r>
            <w:r>
              <w:rPr>
                <w:rFonts w:hint="eastAsia"/>
                <w:color w:val="auto"/>
                <w:szCs w:val="21"/>
                <w:lang w:val="en-US" w:eastAsia="zh-CN"/>
              </w:rPr>
              <w:t>2</w:t>
            </w:r>
          </w:p>
        </w:tc>
      </w:tr>
      <w:tr w14:paraId="2F80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3" w:type="pct"/>
            <w:vMerge w:val="continue"/>
            <w:shd w:val="clear" w:color="auto" w:fill="auto"/>
            <w:vAlign w:val="center"/>
          </w:tcPr>
          <w:p w14:paraId="214A86A9">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bCs/>
                <w:color w:val="auto"/>
                <w:kern w:val="2"/>
                <w:sz w:val="21"/>
                <w:szCs w:val="21"/>
                <w:lang w:val="en-US" w:eastAsia="zh-CN" w:bidi="ar-SA"/>
              </w:rPr>
            </w:pPr>
          </w:p>
        </w:tc>
        <w:tc>
          <w:tcPr>
            <w:tcW w:w="346" w:type="pct"/>
            <w:shd w:val="clear" w:color="auto" w:fill="auto"/>
            <w:vAlign w:val="center"/>
          </w:tcPr>
          <w:p w14:paraId="49245AA3">
            <w:pPr>
              <w:keepNext w:val="0"/>
              <w:keepLines w:val="0"/>
              <w:widowControl/>
              <w:suppressLineNumbers w:val="0"/>
              <w:spacing w:before="0" w:beforeAutospacing="0" w:after="0" w:afterAutospacing="0"/>
              <w:ind w:left="-105" w:leftChars="-50" w:right="-105" w:rightChars="-5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rPr>
              <w:t>SO</w:t>
            </w:r>
            <w:r>
              <w:rPr>
                <w:rFonts w:hint="default" w:ascii="Times New Roman" w:hAnsi="Times New Roman" w:eastAsia="宋体" w:cs="Times New Roman"/>
                <w:color w:val="auto"/>
                <w:szCs w:val="21"/>
                <w:highlight w:val="none"/>
                <w:u w:val="none"/>
                <w:vertAlign w:val="subscript"/>
              </w:rPr>
              <w:t>2</w:t>
            </w:r>
          </w:p>
        </w:tc>
        <w:tc>
          <w:tcPr>
            <w:tcW w:w="418" w:type="pct"/>
            <w:shd w:val="clear" w:color="auto" w:fill="auto"/>
            <w:vAlign w:val="center"/>
          </w:tcPr>
          <w:p w14:paraId="64DA40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376" w:type="pct"/>
            <w:shd w:val="clear" w:color="auto" w:fill="auto"/>
            <w:vAlign w:val="center"/>
          </w:tcPr>
          <w:p w14:paraId="43E9A2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0.032</w:t>
            </w:r>
          </w:p>
        </w:tc>
        <w:tc>
          <w:tcPr>
            <w:tcW w:w="330" w:type="pct"/>
            <w:shd w:val="clear" w:color="auto" w:fill="auto"/>
            <w:vAlign w:val="center"/>
          </w:tcPr>
          <w:p w14:paraId="1D1D9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0.144</w:t>
            </w:r>
          </w:p>
        </w:tc>
        <w:tc>
          <w:tcPr>
            <w:tcW w:w="285" w:type="pct"/>
            <w:vMerge w:val="continue"/>
            <w:shd w:val="clear" w:color="auto" w:fill="auto"/>
            <w:vAlign w:val="center"/>
          </w:tcPr>
          <w:p w14:paraId="0C3EA9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lang w:val="en-US" w:eastAsia="zh-CN" w:bidi="ar-SA"/>
              </w:rPr>
            </w:pPr>
          </w:p>
        </w:tc>
        <w:tc>
          <w:tcPr>
            <w:tcW w:w="533" w:type="pct"/>
            <w:vMerge w:val="continue"/>
            <w:shd w:val="clear" w:color="auto" w:fill="auto"/>
            <w:vAlign w:val="center"/>
          </w:tcPr>
          <w:p w14:paraId="3850031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92" w:type="pct"/>
            <w:shd w:val="clear" w:color="auto" w:fill="auto"/>
            <w:vAlign w:val="center"/>
          </w:tcPr>
          <w:p w14:paraId="121EB7E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376" w:type="pct"/>
            <w:vMerge w:val="continue"/>
            <w:shd w:val="clear" w:color="auto" w:fill="auto"/>
            <w:vAlign w:val="center"/>
          </w:tcPr>
          <w:p w14:paraId="49EF23F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440" w:type="pct"/>
            <w:shd w:val="clear" w:color="auto" w:fill="auto"/>
            <w:vAlign w:val="center"/>
          </w:tcPr>
          <w:p w14:paraId="68C36F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378" w:type="pct"/>
            <w:shd w:val="clear" w:color="auto" w:fill="auto"/>
            <w:vAlign w:val="center"/>
          </w:tcPr>
          <w:p w14:paraId="0C932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 xml:space="preserve">0.032 </w:t>
            </w:r>
          </w:p>
        </w:tc>
        <w:tc>
          <w:tcPr>
            <w:tcW w:w="369" w:type="pct"/>
            <w:shd w:val="clear" w:color="auto" w:fill="auto"/>
            <w:vAlign w:val="center"/>
          </w:tcPr>
          <w:p w14:paraId="24907E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0.144</w:t>
            </w:r>
          </w:p>
        </w:tc>
        <w:tc>
          <w:tcPr>
            <w:tcW w:w="336" w:type="pct"/>
            <w:vMerge w:val="continue"/>
            <w:vAlign w:val="center"/>
          </w:tcPr>
          <w:p w14:paraId="1D373FBF">
            <w:pPr>
              <w:keepNext w:val="0"/>
              <w:keepLines w:val="0"/>
              <w:widowControl/>
              <w:suppressLineNumbers w:val="0"/>
              <w:spacing w:before="0" w:beforeAutospacing="0" w:after="0" w:afterAutospacing="0"/>
              <w:ind w:left="0" w:right="0"/>
              <w:jc w:val="center"/>
              <w:textAlignment w:val="center"/>
              <w:rPr>
                <w:rFonts w:hint="eastAsia" w:eastAsia="宋体"/>
                <w:color w:val="auto"/>
                <w:szCs w:val="21"/>
                <w:lang w:val="en-US" w:eastAsia="zh-CN"/>
              </w:rPr>
            </w:pPr>
          </w:p>
        </w:tc>
      </w:tr>
      <w:tr w14:paraId="2752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3" w:type="pct"/>
            <w:vMerge w:val="continue"/>
            <w:shd w:val="clear" w:color="auto" w:fill="auto"/>
            <w:vAlign w:val="center"/>
          </w:tcPr>
          <w:p w14:paraId="393272B1">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bCs/>
                <w:color w:val="auto"/>
                <w:kern w:val="2"/>
                <w:sz w:val="21"/>
                <w:szCs w:val="21"/>
                <w:lang w:val="en-US" w:eastAsia="zh-CN" w:bidi="ar-SA"/>
              </w:rPr>
            </w:pPr>
          </w:p>
        </w:tc>
        <w:tc>
          <w:tcPr>
            <w:tcW w:w="346" w:type="pct"/>
            <w:shd w:val="clear" w:color="auto" w:fill="auto"/>
            <w:vAlign w:val="center"/>
          </w:tcPr>
          <w:p w14:paraId="5C82B05F">
            <w:pPr>
              <w:keepNext w:val="0"/>
              <w:keepLines w:val="0"/>
              <w:widowControl/>
              <w:suppressLineNumbers w:val="0"/>
              <w:spacing w:before="0" w:beforeAutospacing="0" w:after="0" w:afterAutospacing="0"/>
              <w:ind w:left="-105" w:leftChars="-50" w:right="-105" w:rightChars="-5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rPr>
              <w:t>NOx</w:t>
            </w:r>
          </w:p>
        </w:tc>
        <w:tc>
          <w:tcPr>
            <w:tcW w:w="418" w:type="pct"/>
            <w:shd w:val="clear" w:color="auto" w:fill="auto"/>
            <w:vAlign w:val="center"/>
          </w:tcPr>
          <w:p w14:paraId="38047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37.5</w:t>
            </w:r>
          </w:p>
        </w:tc>
        <w:tc>
          <w:tcPr>
            <w:tcW w:w="376" w:type="pct"/>
            <w:shd w:val="clear" w:color="auto" w:fill="auto"/>
            <w:vAlign w:val="center"/>
          </w:tcPr>
          <w:p w14:paraId="3B81EB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0.150</w:t>
            </w:r>
          </w:p>
        </w:tc>
        <w:tc>
          <w:tcPr>
            <w:tcW w:w="330" w:type="pct"/>
            <w:shd w:val="clear" w:color="auto" w:fill="auto"/>
            <w:vAlign w:val="center"/>
          </w:tcPr>
          <w:p w14:paraId="5B20C8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0.674</w:t>
            </w:r>
          </w:p>
        </w:tc>
        <w:tc>
          <w:tcPr>
            <w:tcW w:w="285" w:type="pct"/>
            <w:vMerge w:val="continue"/>
            <w:shd w:val="clear" w:color="auto" w:fill="auto"/>
            <w:vAlign w:val="center"/>
          </w:tcPr>
          <w:p w14:paraId="5549C98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lang w:val="en-US" w:eastAsia="zh-CN" w:bidi="ar-SA"/>
              </w:rPr>
            </w:pPr>
          </w:p>
        </w:tc>
        <w:tc>
          <w:tcPr>
            <w:tcW w:w="533" w:type="pct"/>
            <w:vMerge w:val="continue"/>
            <w:shd w:val="clear" w:color="auto" w:fill="auto"/>
            <w:vAlign w:val="center"/>
          </w:tcPr>
          <w:p w14:paraId="3D0FA729">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92" w:type="pct"/>
            <w:shd w:val="clear" w:color="auto" w:fill="auto"/>
            <w:vAlign w:val="center"/>
          </w:tcPr>
          <w:p w14:paraId="1F8DDC0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376" w:type="pct"/>
            <w:vMerge w:val="continue"/>
            <w:shd w:val="clear" w:color="auto" w:fill="auto"/>
            <w:vAlign w:val="center"/>
          </w:tcPr>
          <w:p w14:paraId="46CBB4A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440" w:type="pct"/>
            <w:shd w:val="clear" w:color="auto" w:fill="auto"/>
            <w:vAlign w:val="center"/>
          </w:tcPr>
          <w:p w14:paraId="384EA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37.5</w:t>
            </w:r>
          </w:p>
        </w:tc>
        <w:tc>
          <w:tcPr>
            <w:tcW w:w="378" w:type="pct"/>
            <w:shd w:val="clear" w:color="auto" w:fill="auto"/>
            <w:vAlign w:val="center"/>
          </w:tcPr>
          <w:p w14:paraId="0AA94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 xml:space="preserve">0.150 </w:t>
            </w:r>
          </w:p>
        </w:tc>
        <w:tc>
          <w:tcPr>
            <w:tcW w:w="369" w:type="pct"/>
            <w:shd w:val="clear" w:color="auto" w:fill="auto"/>
            <w:vAlign w:val="center"/>
          </w:tcPr>
          <w:p w14:paraId="6B45C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0.674</w:t>
            </w:r>
          </w:p>
        </w:tc>
        <w:tc>
          <w:tcPr>
            <w:tcW w:w="336" w:type="pct"/>
            <w:vMerge w:val="continue"/>
            <w:vAlign w:val="center"/>
          </w:tcPr>
          <w:p w14:paraId="6EFBF8F1">
            <w:pPr>
              <w:keepNext w:val="0"/>
              <w:keepLines w:val="0"/>
              <w:widowControl/>
              <w:suppressLineNumbers w:val="0"/>
              <w:spacing w:before="0" w:beforeAutospacing="0" w:after="0" w:afterAutospacing="0"/>
              <w:ind w:left="0" w:right="0"/>
              <w:jc w:val="center"/>
              <w:textAlignment w:val="center"/>
              <w:rPr>
                <w:rFonts w:hint="eastAsia" w:eastAsia="宋体"/>
                <w:color w:val="auto"/>
                <w:szCs w:val="21"/>
                <w:lang w:val="en-US" w:eastAsia="zh-CN"/>
              </w:rPr>
            </w:pPr>
          </w:p>
        </w:tc>
      </w:tr>
    </w:tbl>
    <w:p w14:paraId="55869858">
      <w:pPr>
        <w:widowControl w:val="0"/>
        <w:adjustRightInd w:val="0"/>
        <w:snapToGrid w:val="0"/>
        <w:spacing w:line="360" w:lineRule="auto"/>
        <w:ind w:firstLine="0" w:firstLineChars="0"/>
        <w:jc w:val="left"/>
        <w:rPr>
          <w:rFonts w:ascii="Times New Roman" w:hAnsi="Times New Roman" w:eastAsia="宋体" w:cs="Times New Roman"/>
          <w:bCs/>
          <w:color w:val="auto"/>
          <w:kern w:val="2"/>
          <w:sz w:val="24"/>
          <w:szCs w:val="24"/>
          <w:lang w:val="en-US" w:eastAsia="zh-CN" w:bidi="ar-SA"/>
        </w:rPr>
      </w:pPr>
      <w:r>
        <w:rPr>
          <w:rFonts w:ascii="Times New Roman" w:hAnsi="Times New Roman" w:eastAsia="宋体" w:cs="Times New Roman"/>
          <w:bCs/>
          <w:color w:val="auto"/>
          <w:kern w:val="2"/>
          <w:sz w:val="24"/>
          <w:szCs w:val="24"/>
          <w:lang w:val="en-US" w:eastAsia="zh-CN" w:bidi="ar-SA"/>
        </w:rPr>
        <w:t>项目各个大气污染物排口信息如下表。</w:t>
      </w:r>
    </w:p>
    <w:p w14:paraId="464E9002">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本次项目各大气污染物排口信息及排放标准汇总表</w:t>
      </w:r>
    </w:p>
    <w:tbl>
      <w:tblPr>
        <w:tblStyle w:val="35"/>
        <w:tblW w:w="51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6"/>
        <w:gridCol w:w="780"/>
        <w:gridCol w:w="1517"/>
        <w:gridCol w:w="1150"/>
        <w:gridCol w:w="1239"/>
        <w:gridCol w:w="1204"/>
        <w:gridCol w:w="909"/>
        <w:gridCol w:w="1027"/>
        <w:gridCol w:w="947"/>
        <w:gridCol w:w="833"/>
        <w:gridCol w:w="2766"/>
        <w:gridCol w:w="1406"/>
      </w:tblGrid>
      <w:tr w14:paraId="6548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blHeader/>
          <w:jc w:val="center"/>
        </w:trPr>
        <w:tc>
          <w:tcPr>
            <w:tcW w:w="227" w:type="pct"/>
            <w:vMerge w:val="restart"/>
            <w:vAlign w:val="center"/>
          </w:tcPr>
          <w:p w14:paraId="1DC49C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序号</w:t>
            </w:r>
          </w:p>
        </w:tc>
        <w:tc>
          <w:tcPr>
            <w:tcW w:w="270" w:type="pct"/>
            <w:vMerge w:val="restart"/>
            <w:vAlign w:val="center"/>
          </w:tcPr>
          <w:p w14:paraId="1C3CBF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排放口编号</w:t>
            </w:r>
          </w:p>
        </w:tc>
        <w:tc>
          <w:tcPr>
            <w:tcW w:w="525" w:type="pct"/>
            <w:vMerge w:val="restart"/>
            <w:vAlign w:val="center"/>
          </w:tcPr>
          <w:p w14:paraId="71FF63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排放口名称</w:t>
            </w:r>
          </w:p>
        </w:tc>
        <w:tc>
          <w:tcPr>
            <w:tcW w:w="398" w:type="pct"/>
            <w:vMerge w:val="restart"/>
            <w:vAlign w:val="center"/>
          </w:tcPr>
          <w:p w14:paraId="26DFCB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污染物种类</w:t>
            </w:r>
          </w:p>
        </w:tc>
        <w:tc>
          <w:tcPr>
            <w:tcW w:w="846" w:type="pct"/>
            <w:gridSpan w:val="2"/>
            <w:vAlign w:val="center"/>
          </w:tcPr>
          <w:p w14:paraId="348DC0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排放口地理坐标</w:t>
            </w:r>
          </w:p>
        </w:tc>
        <w:tc>
          <w:tcPr>
            <w:tcW w:w="314" w:type="pct"/>
            <w:vMerge w:val="restart"/>
            <w:vAlign w:val="center"/>
          </w:tcPr>
          <w:p w14:paraId="34383A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排气筒</w:t>
            </w:r>
          </w:p>
          <w:p w14:paraId="07DECB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高度（m）</w:t>
            </w:r>
          </w:p>
        </w:tc>
        <w:tc>
          <w:tcPr>
            <w:tcW w:w="355" w:type="pct"/>
            <w:vMerge w:val="restart"/>
            <w:vAlign w:val="center"/>
          </w:tcPr>
          <w:p w14:paraId="0E14CF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排气筒出口内径（m）</w:t>
            </w:r>
          </w:p>
        </w:tc>
        <w:tc>
          <w:tcPr>
            <w:tcW w:w="328" w:type="pct"/>
            <w:vMerge w:val="restart"/>
            <w:vAlign w:val="center"/>
          </w:tcPr>
          <w:p w14:paraId="0300E6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排气温度（℃）</w:t>
            </w:r>
          </w:p>
        </w:tc>
        <w:tc>
          <w:tcPr>
            <w:tcW w:w="288" w:type="pct"/>
            <w:vMerge w:val="restart"/>
            <w:vAlign w:val="center"/>
          </w:tcPr>
          <w:p w14:paraId="701E37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排放口类型</w:t>
            </w:r>
          </w:p>
        </w:tc>
        <w:tc>
          <w:tcPr>
            <w:tcW w:w="957" w:type="pct"/>
            <w:vMerge w:val="restart"/>
            <w:vAlign w:val="center"/>
          </w:tcPr>
          <w:p w14:paraId="7E846D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执行标准</w:t>
            </w:r>
          </w:p>
        </w:tc>
        <w:tc>
          <w:tcPr>
            <w:tcW w:w="487" w:type="pct"/>
            <w:vMerge w:val="restart"/>
            <w:vAlign w:val="center"/>
          </w:tcPr>
          <w:p w14:paraId="0F8423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限值</w:t>
            </w:r>
            <w:r>
              <w:rPr>
                <w:rFonts w:hint="eastAsia" w:eastAsia="宋体" w:cs="Times New Roman"/>
                <w:color w:val="auto"/>
                <w:sz w:val="21"/>
                <w:szCs w:val="21"/>
                <w:lang w:val="en-US" w:eastAsia="zh-CN"/>
              </w:rPr>
              <w:t>（</w:t>
            </w:r>
            <w:r>
              <w:rPr>
                <w:rFonts w:hint="default" w:ascii="Times New Roman" w:hAnsi="Times New Roman" w:eastAsia="宋体" w:cs="Times New Roman"/>
                <w:color w:val="auto"/>
                <w:kern w:val="0"/>
                <w:sz w:val="21"/>
                <w:szCs w:val="20"/>
                <w:lang w:val="en-US" w:eastAsia="zh-CN" w:bidi="ar-SA"/>
              </w:rPr>
              <w:t>mg/m</w:t>
            </w:r>
            <w:r>
              <w:rPr>
                <w:rFonts w:hint="default" w:ascii="Times New Roman" w:hAnsi="Times New Roman" w:eastAsia="宋体" w:cs="Times New Roman"/>
                <w:color w:val="auto"/>
                <w:kern w:val="0"/>
                <w:sz w:val="21"/>
                <w:szCs w:val="20"/>
                <w:vertAlign w:val="superscript"/>
                <w:lang w:val="en-US" w:eastAsia="zh-CN" w:bidi="ar-SA"/>
              </w:rPr>
              <w:t>3</w:t>
            </w:r>
            <w:r>
              <w:rPr>
                <w:rFonts w:hint="eastAsia" w:ascii="Times New Roman" w:hAnsi="Times New Roman" w:eastAsia="宋体" w:cs="Times New Roman"/>
                <w:color w:val="auto"/>
                <w:kern w:val="0"/>
                <w:sz w:val="21"/>
                <w:szCs w:val="20"/>
                <w:vertAlign w:val="baseline"/>
                <w:lang w:val="en-US" w:eastAsia="zh-CN" w:bidi="ar-SA"/>
              </w:rPr>
              <w:t>）</w:t>
            </w:r>
          </w:p>
        </w:tc>
      </w:tr>
      <w:tr w14:paraId="4BEE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blHeader/>
          <w:jc w:val="center"/>
        </w:trPr>
        <w:tc>
          <w:tcPr>
            <w:tcW w:w="227" w:type="pct"/>
            <w:vMerge w:val="continue"/>
            <w:vAlign w:val="center"/>
          </w:tcPr>
          <w:p w14:paraId="5D598E63">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270" w:type="pct"/>
            <w:vMerge w:val="continue"/>
            <w:vAlign w:val="center"/>
          </w:tcPr>
          <w:p w14:paraId="7A55980F">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525" w:type="pct"/>
            <w:vMerge w:val="continue"/>
            <w:vAlign w:val="center"/>
          </w:tcPr>
          <w:p w14:paraId="410D8ACD">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398" w:type="pct"/>
            <w:vMerge w:val="continue"/>
            <w:vAlign w:val="center"/>
          </w:tcPr>
          <w:p w14:paraId="263CBBA4">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429" w:type="pct"/>
            <w:vAlign w:val="center"/>
          </w:tcPr>
          <w:p w14:paraId="04B51298">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经度</w:t>
            </w:r>
          </w:p>
        </w:tc>
        <w:tc>
          <w:tcPr>
            <w:tcW w:w="417" w:type="pct"/>
            <w:vAlign w:val="center"/>
          </w:tcPr>
          <w:p w14:paraId="07003612">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纬度</w:t>
            </w:r>
          </w:p>
        </w:tc>
        <w:tc>
          <w:tcPr>
            <w:tcW w:w="314" w:type="pct"/>
            <w:vMerge w:val="continue"/>
            <w:vAlign w:val="center"/>
          </w:tcPr>
          <w:p w14:paraId="35D52C25">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355" w:type="pct"/>
            <w:vMerge w:val="continue"/>
            <w:vAlign w:val="center"/>
          </w:tcPr>
          <w:p w14:paraId="032617E0">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328" w:type="pct"/>
            <w:vMerge w:val="continue"/>
            <w:vAlign w:val="center"/>
          </w:tcPr>
          <w:p w14:paraId="5EDAB1E8">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288" w:type="pct"/>
            <w:vMerge w:val="continue"/>
            <w:vAlign w:val="center"/>
          </w:tcPr>
          <w:p w14:paraId="1CF0C6CE">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957" w:type="pct"/>
            <w:vMerge w:val="continue"/>
            <w:vAlign w:val="center"/>
          </w:tcPr>
          <w:p w14:paraId="5AB70636">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487" w:type="pct"/>
            <w:vMerge w:val="continue"/>
            <w:vAlign w:val="center"/>
          </w:tcPr>
          <w:p w14:paraId="724D571D">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r>
      <w:tr w14:paraId="3DC1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blHeader/>
          <w:jc w:val="center"/>
        </w:trPr>
        <w:tc>
          <w:tcPr>
            <w:tcW w:w="227" w:type="pct"/>
            <w:vAlign w:val="center"/>
          </w:tcPr>
          <w:p w14:paraId="23960E14">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w:t>
            </w:r>
          </w:p>
        </w:tc>
        <w:tc>
          <w:tcPr>
            <w:tcW w:w="270" w:type="pct"/>
            <w:shd w:val="clear" w:color="auto" w:fill="auto"/>
            <w:vAlign w:val="center"/>
          </w:tcPr>
          <w:p w14:paraId="24F3D479">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DA001</w:t>
            </w:r>
          </w:p>
        </w:tc>
        <w:tc>
          <w:tcPr>
            <w:tcW w:w="525" w:type="pct"/>
            <w:vAlign w:val="center"/>
          </w:tcPr>
          <w:p w14:paraId="07758C5C">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投料混合粉尘</w:t>
            </w:r>
          </w:p>
        </w:tc>
        <w:tc>
          <w:tcPr>
            <w:tcW w:w="398" w:type="pct"/>
            <w:vAlign w:val="center"/>
          </w:tcPr>
          <w:p w14:paraId="32D1C5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429" w:type="pct"/>
            <w:vAlign w:val="center"/>
          </w:tcPr>
          <w:p w14:paraId="5996BC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116.983079°</w:t>
            </w:r>
          </w:p>
        </w:tc>
        <w:tc>
          <w:tcPr>
            <w:tcW w:w="417" w:type="pct"/>
            <w:vAlign w:val="center"/>
          </w:tcPr>
          <w:p w14:paraId="34F196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33.698096°</w:t>
            </w:r>
          </w:p>
        </w:tc>
        <w:tc>
          <w:tcPr>
            <w:tcW w:w="314" w:type="pct"/>
            <w:shd w:val="clear" w:color="auto" w:fill="auto"/>
            <w:vAlign w:val="center"/>
          </w:tcPr>
          <w:p w14:paraId="078E1AC6">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15</w:t>
            </w:r>
          </w:p>
        </w:tc>
        <w:tc>
          <w:tcPr>
            <w:tcW w:w="355" w:type="pct"/>
            <w:shd w:val="clear" w:color="auto" w:fill="auto"/>
            <w:vAlign w:val="center"/>
          </w:tcPr>
          <w:p w14:paraId="68F5D051">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0.45</w:t>
            </w:r>
          </w:p>
        </w:tc>
        <w:tc>
          <w:tcPr>
            <w:tcW w:w="328" w:type="pct"/>
            <w:shd w:val="clear" w:color="auto" w:fill="auto"/>
            <w:vAlign w:val="center"/>
          </w:tcPr>
          <w:p w14:paraId="399CD826">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25</w:t>
            </w:r>
          </w:p>
        </w:tc>
        <w:tc>
          <w:tcPr>
            <w:tcW w:w="288" w:type="pct"/>
            <w:shd w:val="clear" w:color="auto" w:fill="auto"/>
            <w:vAlign w:val="center"/>
          </w:tcPr>
          <w:p w14:paraId="10DEEF22">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一般排放口</w:t>
            </w:r>
          </w:p>
        </w:tc>
        <w:tc>
          <w:tcPr>
            <w:tcW w:w="957" w:type="pct"/>
            <w:vAlign w:val="center"/>
          </w:tcPr>
          <w:p w14:paraId="500C83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Cs w:val="21"/>
                <w:highlight w:val="none"/>
              </w:rPr>
              <w:t>《大气污染物综合排放标准》（GB16297-1996）</w:t>
            </w:r>
          </w:p>
        </w:tc>
        <w:tc>
          <w:tcPr>
            <w:tcW w:w="487" w:type="pct"/>
            <w:shd w:val="clear" w:color="auto" w:fill="auto"/>
            <w:vAlign w:val="center"/>
          </w:tcPr>
          <w:p w14:paraId="7D640F42">
            <w:pPr>
              <w:keepNext w:val="0"/>
              <w:keepLines w:val="0"/>
              <w:suppressLineNumbers w:val="0"/>
              <w:snapToGrid w:val="0"/>
              <w:spacing w:before="0" w:beforeAutospacing="0" w:after="0" w:afterAutospacing="0"/>
              <w:ind w:left="0" w:right="0"/>
              <w:jc w:val="center"/>
              <w:outlineLvl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r>
      <w:tr w14:paraId="0B56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blHeader/>
          <w:jc w:val="center"/>
        </w:trPr>
        <w:tc>
          <w:tcPr>
            <w:tcW w:w="227" w:type="pct"/>
            <w:vMerge w:val="restart"/>
            <w:vAlign w:val="center"/>
          </w:tcPr>
          <w:p w14:paraId="2611F7B6">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2</w:t>
            </w:r>
          </w:p>
        </w:tc>
        <w:tc>
          <w:tcPr>
            <w:tcW w:w="270" w:type="pct"/>
            <w:vMerge w:val="restart"/>
            <w:shd w:val="clear" w:color="auto" w:fill="auto"/>
            <w:vAlign w:val="center"/>
          </w:tcPr>
          <w:p w14:paraId="155B7ED9">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DA002</w:t>
            </w:r>
          </w:p>
        </w:tc>
        <w:tc>
          <w:tcPr>
            <w:tcW w:w="525" w:type="pct"/>
            <w:vMerge w:val="restart"/>
            <w:shd w:val="clear" w:color="auto" w:fill="auto"/>
            <w:vAlign w:val="center"/>
          </w:tcPr>
          <w:p w14:paraId="3D9936C9">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eastAsia" w:ascii="Times New Roman" w:hAnsi="Times New Roman" w:eastAsia="宋体" w:cs="Times New Roman"/>
                <w:color w:val="auto"/>
                <w:kern w:val="0"/>
                <w:sz w:val="21"/>
                <w:szCs w:val="20"/>
                <w:lang w:val="en-US" w:eastAsia="zh-CN" w:bidi="ar-SA"/>
              </w:rPr>
            </w:pPr>
            <w:r>
              <w:rPr>
                <w:rFonts w:hint="eastAsia" w:cs="Times New Roman"/>
                <w:bCs/>
                <w:color w:val="auto"/>
                <w:kern w:val="2"/>
                <w:sz w:val="21"/>
                <w:szCs w:val="21"/>
                <w:lang w:val="en-US" w:eastAsia="zh-CN" w:bidi="ar-SA"/>
              </w:rPr>
              <w:t>天然气燃烧废气</w:t>
            </w:r>
          </w:p>
        </w:tc>
        <w:tc>
          <w:tcPr>
            <w:tcW w:w="398" w:type="pct"/>
            <w:shd w:val="clear" w:color="auto" w:fill="auto"/>
            <w:vAlign w:val="center"/>
          </w:tcPr>
          <w:p w14:paraId="3ABC31C7">
            <w:pPr>
              <w:keepNext w:val="0"/>
              <w:keepLines w:val="0"/>
              <w:widowControl/>
              <w:suppressLineNumbers w:val="0"/>
              <w:spacing w:before="0" w:beforeAutospacing="0" w:after="0" w:afterAutospacing="0"/>
              <w:ind w:left="-105" w:leftChars="-50" w:right="-105" w:rightChars="-5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lang w:val="en-US" w:eastAsia="zh-CN"/>
              </w:rPr>
              <w:t>颗粒物</w:t>
            </w:r>
          </w:p>
        </w:tc>
        <w:tc>
          <w:tcPr>
            <w:tcW w:w="429" w:type="pct"/>
            <w:vMerge w:val="restart"/>
            <w:shd w:val="clear" w:color="auto" w:fill="auto"/>
            <w:vAlign w:val="center"/>
          </w:tcPr>
          <w:p w14:paraId="66B01E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116.983071°</w:t>
            </w:r>
          </w:p>
        </w:tc>
        <w:tc>
          <w:tcPr>
            <w:tcW w:w="417" w:type="pct"/>
            <w:vMerge w:val="restart"/>
            <w:shd w:val="clear" w:color="auto" w:fill="auto"/>
            <w:vAlign w:val="center"/>
          </w:tcPr>
          <w:p w14:paraId="0E7314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33.697753°</w:t>
            </w:r>
          </w:p>
        </w:tc>
        <w:tc>
          <w:tcPr>
            <w:tcW w:w="314" w:type="pct"/>
            <w:vMerge w:val="restart"/>
            <w:shd w:val="clear" w:color="auto" w:fill="auto"/>
            <w:vAlign w:val="center"/>
          </w:tcPr>
          <w:p w14:paraId="1E295C79">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15</w:t>
            </w:r>
          </w:p>
        </w:tc>
        <w:tc>
          <w:tcPr>
            <w:tcW w:w="355" w:type="pct"/>
            <w:vMerge w:val="restart"/>
            <w:shd w:val="clear" w:color="auto" w:fill="auto"/>
            <w:vAlign w:val="center"/>
          </w:tcPr>
          <w:p w14:paraId="4CB3167F">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0.35</w:t>
            </w:r>
          </w:p>
        </w:tc>
        <w:tc>
          <w:tcPr>
            <w:tcW w:w="328" w:type="pct"/>
            <w:vMerge w:val="restart"/>
            <w:shd w:val="clear" w:color="auto" w:fill="auto"/>
            <w:vAlign w:val="center"/>
          </w:tcPr>
          <w:p w14:paraId="4AC37EFB">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25</w:t>
            </w:r>
          </w:p>
        </w:tc>
        <w:tc>
          <w:tcPr>
            <w:tcW w:w="288" w:type="pct"/>
            <w:vMerge w:val="restart"/>
            <w:shd w:val="clear" w:color="auto" w:fill="auto"/>
            <w:vAlign w:val="center"/>
          </w:tcPr>
          <w:p w14:paraId="5D1D47CF">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一般排放口</w:t>
            </w:r>
          </w:p>
        </w:tc>
        <w:tc>
          <w:tcPr>
            <w:tcW w:w="957" w:type="pct"/>
            <w:vMerge w:val="restart"/>
            <w:shd w:val="clear" w:color="auto" w:fill="auto"/>
            <w:vAlign w:val="center"/>
          </w:tcPr>
          <w:p w14:paraId="6881868D">
            <w:pPr>
              <w:keepNext w:val="0"/>
              <w:keepLines w:val="0"/>
              <w:suppressLineNumbers w:val="0"/>
              <w:adjustRightInd w:val="0"/>
              <w:snapToGrid w:val="0"/>
              <w:spacing w:before="156" w:beforeLines="50" w:beforeAutospacing="0" w:after="0" w:afterAutospacing="0"/>
              <w:ind w:left="0" w:leftChars="0" w:right="0" w:rightChars="0"/>
              <w:jc w:val="center"/>
              <w:textAlignment w:val="baseline"/>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《锅炉大气污染物排放标准》（GB13271-2014）表3中排放限值要求和《安徽省大气办关于印发&lt;安徽省2020年大气污染防治重点工作任务&gt;的通知》中相关规定</w:t>
            </w:r>
          </w:p>
        </w:tc>
        <w:tc>
          <w:tcPr>
            <w:tcW w:w="487" w:type="pct"/>
            <w:shd w:val="clear" w:color="auto" w:fill="auto"/>
            <w:vAlign w:val="center"/>
          </w:tcPr>
          <w:p w14:paraId="68A7EF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r>
      <w:tr w14:paraId="6AB2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blHeader/>
          <w:jc w:val="center"/>
        </w:trPr>
        <w:tc>
          <w:tcPr>
            <w:tcW w:w="227" w:type="pct"/>
            <w:vMerge w:val="continue"/>
            <w:vAlign w:val="center"/>
          </w:tcPr>
          <w:p w14:paraId="4DC44B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auto"/>
              </w:rPr>
            </w:pPr>
          </w:p>
        </w:tc>
        <w:tc>
          <w:tcPr>
            <w:tcW w:w="270" w:type="pct"/>
            <w:vMerge w:val="continue"/>
            <w:shd w:val="clear" w:color="auto" w:fill="auto"/>
            <w:vAlign w:val="center"/>
          </w:tcPr>
          <w:p w14:paraId="338C3A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auto"/>
              </w:rPr>
            </w:pPr>
          </w:p>
        </w:tc>
        <w:tc>
          <w:tcPr>
            <w:tcW w:w="525" w:type="pct"/>
            <w:vMerge w:val="continue"/>
            <w:shd w:val="clear" w:color="auto" w:fill="auto"/>
            <w:vAlign w:val="center"/>
          </w:tcPr>
          <w:p w14:paraId="6FE8EE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auto"/>
              </w:rPr>
            </w:pPr>
          </w:p>
        </w:tc>
        <w:tc>
          <w:tcPr>
            <w:tcW w:w="398" w:type="pct"/>
            <w:shd w:val="clear" w:color="auto" w:fill="auto"/>
            <w:vAlign w:val="center"/>
          </w:tcPr>
          <w:p w14:paraId="7EEAEA72">
            <w:pPr>
              <w:keepNext w:val="0"/>
              <w:keepLines w:val="0"/>
              <w:widowControl/>
              <w:suppressLineNumbers w:val="0"/>
              <w:spacing w:before="0" w:beforeAutospacing="0" w:after="0" w:afterAutospacing="0"/>
              <w:ind w:left="-105" w:leftChars="-50" w:right="-105" w:rightChars="-5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rPr>
              <w:t>SO</w:t>
            </w:r>
            <w:r>
              <w:rPr>
                <w:rFonts w:hint="default" w:ascii="Times New Roman" w:hAnsi="Times New Roman" w:eastAsia="宋体" w:cs="Times New Roman"/>
                <w:color w:val="auto"/>
                <w:szCs w:val="21"/>
                <w:highlight w:val="none"/>
                <w:u w:val="none"/>
                <w:vertAlign w:val="subscript"/>
              </w:rPr>
              <w:t>2</w:t>
            </w:r>
          </w:p>
        </w:tc>
        <w:tc>
          <w:tcPr>
            <w:tcW w:w="429" w:type="pct"/>
            <w:vMerge w:val="continue"/>
            <w:shd w:val="clear" w:color="auto" w:fill="auto"/>
            <w:vAlign w:val="center"/>
          </w:tcPr>
          <w:p w14:paraId="2DD311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417" w:type="pct"/>
            <w:vMerge w:val="continue"/>
            <w:shd w:val="clear" w:color="auto" w:fill="auto"/>
            <w:vAlign w:val="center"/>
          </w:tcPr>
          <w:p w14:paraId="7DC5DD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14" w:type="pct"/>
            <w:vMerge w:val="continue"/>
            <w:shd w:val="clear" w:color="auto" w:fill="auto"/>
            <w:vAlign w:val="center"/>
          </w:tcPr>
          <w:p w14:paraId="7D5604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55" w:type="pct"/>
            <w:vMerge w:val="continue"/>
            <w:shd w:val="clear" w:color="auto" w:fill="auto"/>
            <w:vAlign w:val="center"/>
          </w:tcPr>
          <w:p w14:paraId="59AAC2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28" w:type="pct"/>
            <w:vMerge w:val="continue"/>
            <w:shd w:val="clear" w:color="auto" w:fill="auto"/>
            <w:vAlign w:val="center"/>
          </w:tcPr>
          <w:p w14:paraId="0F9D87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288" w:type="pct"/>
            <w:vMerge w:val="continue"/>
            <w:shd w:val="clear" w:color="auto" w:fill="auto"/>
            <w:vAlign w:val="center"/>
          </w:tcPr>
          <w:p w14:paraId="49F2DB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957" w:type="pct"/>
            <w:vMerge w:val="continue"/>
            <w:shd w:val="clear" w:color="auto" w:fill="auto"/>
            <w:vAlign w:val="center"/>
          </w:tcPr>
          <w:p w14:paraId="345625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487" w:type="pct"/>
            <w:shd w:val="clear" w:color="auto" w:fill="auto"/>
            <w:vAlign w:val="center"/>
          </w:tcPr>
          <w:p w14:paraId="6DEF8F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50</w:t>
            </w:r>
          </w:p>
        </w:tc>
      </w:tr>
      <w:tr w14:paraId="2466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blHeader/>
          <w:jc w:val="center"/>
        </w:trPr>
        <w:tc>
          <w:tcPr>
            <w:tcW w:w="227" w:type="pct"/>
            <w:vMerge w:val="continue"/>
            <w:vAlign w:val="center"/>
          </w:tcPr>
          <w:p w14:paraId="3877B0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270" w:type="pct"/>
            <w:vMerge w:val="continue"/>
            <w:shd w:val="clear" w:color="auto" w:fill="auto"/>
            <w:vAlign w:val="center"/>
          </w:tcPr>
          <w:p w14:paraId="00078E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525" w:type="pct"/>
            <w:vMerge w:val="continue"/>
            <w:shd w:val="clear" w:color="auto" w:fill="auto"/>
            <w:vAlign w:val="center"/>
          </w:tcPr>
          <w:p w14:paraId="28725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98" w:type="pct"/>
            <w:shd w:val="clear" w:color="auto" w:fill="auto"/>
            <w:vAlign w:val="center"/>
          </w:tcPr>
          <w:p w14:paraId="76F09CF5">
            <w:pPr>
              <w:keepNext w:val="0"/>
              <w:keepLines w:val="0"/>
              <w:widowControl/>
              <w:suppressLineNumbers w:val="0"/>
              <w:spacing w:before="0" w:beforeAutospacing="0" w:after="0" w:afterAutospacing="0"/>
              <w:ind w:left="-105" w:leftChars="-50" w:right="-105" w:rightChars="-5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rPr>
              <w:t>NOx</w:t>
            </w:r>
          </w:p>
        </w:tc>
        <w:tc>
          <w:tcPr>
            <w:tcW w:w="429" w:type="pct"/>
            <w:vMerge w:val="continue"/>
            <w:shd w:val="clear" w:color="auto" w:fill="auto"/>
            <w:vAlign w:val="center"/>
          </w:tcPr>
          <w:p w14:paraId="702E5A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417" w:type="pct"/>
            <w:vMerge w:val="continue"/>
            <w:shd w:val="clear" w:color="auto" w:fill="auto"/>
            <w:vAlign w:val="center"/>
          </w:tcPr>
          <w:p w14:paraId="672F12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14" w:type="pct"/>
            <w:vMerge w:val="continue"/>
            <w:shd w:val="clear" w:color="auto" w:fill="auto"/>
            <w:vAlign w:val="center"/>
          </w:tcPr>
          <w:p w14:paraId="6ED0E7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55" w:type="pct"/>
            <w:vMerge w:val="continue"/>
            <w:shd w:val="clear" w:color="auto" w:fill="auto"/>
            <w:vAlign w:val="center"/>
          </w:tcPr>
          <w:p w14:paraId="206382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28" w:type="pct"/>
            <w:vMerge w:val="continue"/>
            <w:shd w:val="clear" w:color="auto" w:fill="auto"/>
            <w:vAlign w:val="center"/>
          </w:tcPr>
          <w:p w14:paraId="5463F4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288" w:type="pct"/>
            <w:vMerge w:val="continue"/>
            <w:shd w:val="clear" w:color="auto" w:fill="auto"/>
            <w:vAlign w:val="center"/>
          </w:tcPr>
          <w:p w14:paraId="474C7C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957" w:type="pct"/>
            <w:vMerge w:val="continue"/>
            <w:shd w:val="clear" w:color="auto" w:fill="auto"/>
            <w:vAlign w:val="center"/>
          </w:tcPr>
          <w:p w14:paraId="5297C8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487" w:type="pct"/>
            <w:shd w:val="clear" w:color="auto" w:fill="auto"/>
            <w:vAlign w:val="center"/>
          </w:tcPr>
          <w:p w14:paraId="5670C4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50</w:t>
            </w:r>
          </w:p>
        </w:tc>
      </w:tr>
    </w:tbl>
    <w:p w14:paraId="4F9D1C60">
      <w:pPr>
        <w:widowControl w:val="0"/>
        <w:adjustRightInd w:val="0"/>
        <w:snapToGrid w:val="0"/>
        <w:spacing w:line="360" w:lineRule="auto"/>
        <w:ind w:firstLine="480" w:firstLineChars="200"/>
        <w:jc w:val="left"/>
        <w:rPr>
          <w:rFonts w:ascii="Times New Roman" w:hAnsi="Times New Roman" w:eastAsia="宋体" w:cs="Times New Roman"/>
          <w:bCs/>
          <w:color w:val="auto"/>
          <w:kern w:val="2"/>
          <w:sz w:val="24"/>
          <w:szCs w:val="24"/>
          <w:lang w:val="en-US" w:eastAsia="zh-CN" w:bidi="ar-SA"/>
        </w:rPr>
      </w:pPr>
      <w:r>
        <w:rPr>
          <w:rFonts w:ascii="Times New Roman" w:hAnsi="Times New Roman" w:eastAsia="宋体" w:cs="Times New Roman"/>
          <w:bCs/>
          <w:color w:val="auto"/>
          <w:kern w:val="2"/>
          <w:sz w:val="24"/>
          <w:szCs w:val="24"/>
          <w:lang w:val="en-US" w:eastAsia="zh-CN" w:bidi="ar-SA"/>
        </w:rPr>
        <w:t>项目大气污染物无组织排放情况见表4-</w:t>
      </w:r>
      <w:r>
        <w:rPr>
          <w:rFonts w:hint="eastAsia" w:cs="Times New Roman"/>
          <w:bCs/>
          <w:color w:val="auto"/>
          <w:kern w:val="2"/>
          <w:sz w:val="24"/>
          <w:szCs w:val="24"/>
          <w:lang w:val="en-US" w:eastAsia="zh-CN" w:bidi="ar-SA"/>
        </w:rPr>
        <w:t>7</w:t>
      </w:r>
      <w:r>
        <w:rPr>
          <w:rFonts w:ascii="Times New Roman" w:hAnsi="Times New Roman" w:eastAsia="宋体" w:cs="Times New Roman"/>
          <w:bCs/>
          <w:color w:val="auto"/>
          <w:kern w:val="2"/>
          <w:sz w:val="24"/>
          <w:szCs w:val="24"/>
          <w:lang w:val="en-US" w:eastAsia="zh-CN" w:bidi="ar-SA"/>
        </w:rPr>
        <w:t>。</w:t>
      </w:r>
    </w:p>
    <w:p w14:paraId="50BE7A96">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厂界大气污染物排放浓度限值一览表</w:t>
      </w:r>
    </w:p>
    <w:tbl>
      <w:tblPr>
        <w:tblStyle w:val="35"/>
        <w:tblW w:w="51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8"/>
        <w:gridCol w:w="2411"/>
        <w:gridCol w:w="2093"/>
        <w:gridCol w:w="2438"/>
        <w:gridCol w:w="4583"/>
        <w:gridCol w:w="1909"/>
      </w:tblGrid>
      <w:tr w14:paraId="1C2A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blHeader/>
          <w:jc w:val="center"/>
        </w:trPr>
        <w:tc>
          <w:tcPr>
            <w:tcW w:w="888" w:type="dxa"/>
            <w:vAlign w:val="center"/>
          </w:tcPr>
          <w:p w14:paraId="1475D65B">
            <w:pPr>
              <w:keepNext w:val="0"/>
              <w:keepLines w:val="0"/>
              <w:widowControl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序号</w:t>
            </w:r>
          </w:p>
        </w:tc>
        <w:tc>
          <w:tcPr>
            <w:tcW w:w="2410" w:type="dxa"/>
            <w:vAlign w:val="center"/>
          </w:tcPr>
          <w:p w14:paraId="214CF3F3">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产污环节</w:t>
            </w:r>
          </w:p>
        </w:tc>
        <w:tc>
          <w:tcPr>
            <w:tcW w:w="2091" w:type="dxa"/>
            <w:vAlign w:val="center"/>
          </w:tcPr>
          <w:p w14:paraId="3086AFD7">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污染物种类</w:t>
            </w:r>
          </w:p>
        </w:tc>
        <w:tc>
          <w:tcPr>
            <w:tcW w:w="2437" w:type="dxa"/>
            <w:vAlign w:val="center"/>
          </w:tcPr>
          <w:p w14:paraId="22D0964C">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主要污染防治措施</w:t>
            </w:r>
          </w:p>
        </w:tc>
        <w:tc>
          <w:tcPr>
            <w:tcW w:w="4580" w:type="dxa"/>
            <w:shd w:val="clear" w:color="auto" w:fill="auto"/>
            <w:vAlign w:val="center"/>
          </w:tcPr>
          <w:p w14:paraId="35DF9FB2">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名称</w:t>
            </w:r>
          </w:p>
        </w:tc>
        <w:tc>
          <w:tcPr>
            <w:tcW w:w="1908" w:type="dxa"/>
            <w:shd w:val="clear" w:color="auto" w:fill="auto"/>
            <w:vAlign w:val="center"/>
          </w:tcPr>
          <w:p w14:paraId="3FA5DBBD">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浓度限值（mg/m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w:t>
            </w:r>
          </w:p>
        </w:tc>
      </w:tr>
      <w:tr w14:paraId="62F4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tblHeader/>
          <w:jc w:val="center"/>
        </w:trPr>
        <w:tc>
          <w:tcPr>
            <w:tcW w:w="888" w:type="dxa"/>
            <w:shd w:val="clear" w:color="auto" w:fill="auto"/>
            <w:vAlign w:val="center"/>
          </w:tcPr>
          <w:p w14:paraId="14341524">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2410" w:type="dxa"/>
            <w:shd w:val="clear" w:color="auto" w:fill="auto"/>
            <w:vAlign w:val="center"/>
          </w:tcPr>
          <w:p w14:paraId="56A2334A">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配料、混合</w:t>
            </w:r>
          </w:p>
        </w:tc>
        <w:tc>
          <w:tcPr>
            <w:tcW w:w="2091" w:type="dxa"/>
            <w:shd w:val="clear" w:color="auto" w:fill="auto"/>
            <w:vAlign w:val="center"/>
          </w:tcPr>
          <w:p w14:paraId="342558A7">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颗粒物</w:t>
            </w:r>
          </w:p>
        </w:tc>
        <w:tc>
          <w:tcPr>
            <w:tcW w:w="2437" w:type="dxa"/>
            <w:shd w:val="clear" w:color="auto" w:fill="auto"/>
            <w:vAlign w:val="center"/>
          </w:tcPr>
          <w:p w14:paraId="01E6D0A3">
            <w:pPr>
              <w:keepNext w:val="0"/>
              <w:keepLines w:val="0"/>
              <w:suppressLineNumbers w:val="0"/>
              <w:spacing w:before="0" w:beforeAutospacing="0" w:after="0" w:afterAutospacing="0"/>
              <w:ind w:left="0" w:right="0"/>
              <w:jc w:val="center"/>
              <w:rPr>
                <w:rFonts w:hint="default" w:ascii="宋体" w:hAnsi="Times New Roman" w:eastAsia="宋体" w:cs="Times New Roman"/>
                <w:iCs/>
                <w:color w:val="auto"/>
                <w:kern w:val="0"/>
                <w:sz w:val="21"/>
                <w:szCs w:val="21"/>
                <w:lang w:val="en-US" w:eastAsia="zh-CN" w:bidi="ar-SA"/>
              </w:rPr>
            </w:pPr>
            <w:r>
              <w:rPr>
                <w:rFonts w:hint="eastAsia" w:ascii="宋体" w:cs="Times New Roman"/>
                <w:iCs/>
                <w:color w:val="auto"/>
                <w:kern w:val="0"/>
                <w:sz w:val="21"/>
                <w:szCs w:val="21"/>
                <w:lang w:val="en-US" w:eastAsia="zh-CN" w:bidi="ar-SA"/>
              </w:rPr>
              <w:t>加强废气收集，源头减少无组织排放</w:t>
            </w:r>
          </w:p>
        </w:tc>
        <w:tc>
          <w:tcPr>
            <w:tcW w:w="4580" w:type="dxa"/>
            <w:shd w:val="clear" w:color="auto" w:fill="auto"/>
            <w:vAlign w:val="center"/>
          </w:tcPr>
          <w:p w14:paraId="4DAFF2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highlight w:val="none"/>
              </w:rPr>
              <w:t>《大气污染物综合排放标准》（GB16297-1996）</w:t>
            </w:r>
          </w:p>
        </w:tc>
        <w:tc>
          <w:tcPr>
            <w:tcW w:w="1908" w:type="dxa"/>
            <w:shd w:val="clear" w:color="auto" w:fill="auto"/>
            <w:vAlign w:val="center"/>
          </w:tcPr>
          <w:p w14:paraId="7DD90A49">
            <w:pPr>
              <w:keepNext w:val="0"/>
              <w:keepLines w:val="0"/>
              <w:suppressLineNumbers w:val="0"/>
              <w:tabs>
                <w:tab w:val="left" w:pos="-2848"/>
              </w:tabs>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p>
        </w:tc>
      </w:tr>
    </w:tbl>
    <w:p w14:paraId="5D8CFDFD">
      <w:pPr>
        <w:sectPr>
          <w:pgSz w:w="16840" w:h="11907" w:orient="landscape"/>
          <w:pgMar w:top="1247" w:right="1418" w:bottom="1134" w:left="1418" w:header="851" w:footer="851" w:gutter="0"/>
          <w:cols w:space="720" w:num="1"/>
          <w:docGrid w:linePitch="312" w:charSpace="0"/>
        </w:sectPr>
      </w:pPr>
    </w:p>
    <w:tbl>
      <w:tblPr>
        <w:tblStyle w:val="35"/>
        <w:tblW w:w="96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7"/>
        <w:gridCol w:w="9035"/>
      </w:tblGrid>
      <w:tr w14:paraId="6908E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32" w:hRule="atLeast"/>
          <w:jc w:val="center"/>
        </w:trPr>
        <w:tc>
          <w:tcPr>
            <w:tcW w:w="627" w:type="dxa"/>
            <w:tcMar>
              <w:left w:w="28" w:type="dxa"/>
              <w:right w:w="28" w:type="dxa"/>
            </w:tcMar>
            <w:vAlign w:val="center"/>
          </w:tcPr>
          <w:p w14:paraId="5C0DC851">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运营</w:t>
            </w:r>
          </w:p>
          <w:p w14:paraId="2B923FE0">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期环</w:t>
            </w:r>
          </w:p>
          <w:p w14:paraId="22F466C8">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境影</w:t>
            </w:r>
          </w:p>
          <w:p w14:paraId="3A2F3769">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响和</w:t>
            </w:r>
          </w:p>
          <w:p w14:paraId="2290684F">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保护</w:t>
            </w:r>
          </w:p>
          <w:p w14:paraId="41A0F162">
            <w:pPr>
              <w:keepNext w:val="0"/>
              <w:keepLines w:val="0"/>
              <w:suppressLineNumbers w:val="0"/>
              <w:adjustRightInd w:val="0"/>
              <w:snapToGrid w:val="0"/>
              <w:spacing w:before="0" w:beforeAutospacing="0" w:after="0" w:afterAutospacing="0"/>
              <w:ind w:left="0" w:right="0"/>
              <w:jc w:val="center"/>
              <w:rPr>
                <w:rFonts w:hint="default"/>
                <w:bCs/>
                <w:szCs w:val="21"/>
              </w:rPr>
            </w:pPr>
            <w:r>
              <w:rPr>
                <w:rFonts w:hint="default"/>
                <w:b/>
                <w:bCs/>
                <w:szCs w:val="21"/>
              </w:rPr>
              <w:t>措施</w:t>
            </w:r>
          </w:p>
        </w:tc>
        <w:tc>
          <w:tcPr>
            <w:tcW w:w="9035" w:type="dxa"/>
          </w:tcPr>
          <w:p w14:paraId="17894D9E">
            <w:pPr>
              <w:keepNext w:val="0"/>
              <w:keepLines w:val="0"/>
              <w:suppressLineNumbers w:val="0"/>
              <w:spacing w:before="0" w:beforeAutospacing="0" w:after="0" w:afterAutospacing="0" w:line="360" w:lineRule="auto"/>
              <w:ind w:left="0" w:right="0"/>
              <w:rPr>
                <w:rFonts w:hint="default"/>
                <w:b/>
                <w:color w:val="auto"/>
                <w:spacing w:val="4"/>
                <w:sz w:val="24"/>
              </w:rPr>
            </w:pPr>
            <w:r>
              <w:rPr>
                <w:rFonts w:hint="default"/>
                <w:b/>
                <w:color w:val="auto"/>
                <w:spacing w:val="4"/>
                <w:sz w:val="24"/>
              </w:rPr>
              <w:t>4.2废水环境影响及防治措施分析</w:t>
            </w:r>
          </w:p>
          <w:p w14:paraId="5EAB62CE">
            <w:pPr>
              <w:pStyle w:val="105"/>
              <w:keepNext w:val="0"/>
              <w:keepLines w:val="0"/>
              <w:suppressLineNumbers w:val="0"/>
              <w:spacing w:before="0" w:beforeAutospacing="0" w:after="0" w:afterAutospacing="0"/>
              <w:ind w:left="0" w:right="0" w:firstLine="482"/>
              <w:jc w:val="both"/>
              <w:rPr>
                <w:rFonts w:hint="default"/>
                <w:b/>
                <w:sz w:val="24"/>
                <w:szCs w:val="24"/>
              </w:rPr>
            </w:pPr>
            <w:r>
              <w:rPr>
                <w:rFonts w:hint="eastAsia"/>
                <w:b/>
                <w:sz w:val="24"/>
                <w:szCs w:val="24"/>
              </w:rPr>
              <w:t>1、</w:t>
            </w:r>
            <w:r>
              <w:rPr>
                <w:rFonts w:hint="default"/>
                <w:b/>
                <w:sz w:val="24"/>
                <w:szCs w:val="24"/>
              </w:rPr>
              <w:t>废水排放情况及污染防治措施</w:t>
            </w:r>
          </w:p>
          <w:p w14:paraId="26307AFE">
            <w:pPr>
              <w:keepNext w:val="0"/>
              <w:keepLines w:val="0"/>
              <w:widowControl w:val="0"/>
              <w:numPr>
                <w:ilvl w:val="0"/>
                <w:numId w:val="0"/>
              </w:numPr>
              <w:suppressLineNumbers w:val="0"/>
              <w:adjustRightInd w:val="0"/>
              <w:snapToGrid w:val="0"/>
              <w:spacing w:before="0" w:beforeAutospacing="0" w:after="0" w:afterAutospacing="0" w:line="360" w:lineRule="auto"/>
              <w:ind w:left="0" w:leftChars="0" w:right="0" w:rightChars="0" w:firstLine="480" w:firstLineChars="200"/>
              <w:jc w:val="left"/>
              <w:rPr>
                <w:rFonts w:hint="eastAsia"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（1）</w:t>
            </w:r>
            <w:r>
              <w:rPr>
                <w:rFonts w:hint="eastAsia" w:cs="Times New Roman"/>
                <w:bCs/>
                <w:color w:val="auto"/>
                <w:kern w:val="2"/>
                <w:sz w:val="24"/>
                <w:szCs w:val="24"/>
                <w:lang w:val="en-US" w:eastAsia="zh-CN" w:bidi="ar-SA"/>
              </w:rPr>
              <w:t>生活污水产排情况</w:t>
            </w:r>
          </w:p>
          <w:p w14:paraId="790AC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s="Times New Roman"/>
                <w:bCs/>
                <w:color w:val="auto"/>
                <w:kern w:val="2"/>
                <w:sz w:val="24"/>
                <w:szCs w:val="24"/>
                <w:lang w:val="en-US" w:eastAsia="zh-CN" w:bidi="ar-SA"/>
              </w:rPr>
            </w:pPr>
            <w:r>
              <w:rPr>
                <w:rFonts w:hint="eastAsia" w:ascii="Times New Roman" w:hAnsi="Times New Roman" w:eastAsia="宋体" w:cs="Times New Roman"/>
                <w:i w:val="0"/>
                <w:iCs w:val="0"/>
                <w:caps w:val="0"/>
                <w:color w:val="auto"/>
                <w:spacing w:val="0"/>
                <w:sz w:val="24"/>
                <w:szCs w:val="24"/>
                <w:lang w:val="en-US" w:eastAsia="zh-CN"/>
              </w:rPr>
              <w:t>主要来源于员工日常生活办公、厕所冲洗水、食堂用水，</w:t>
            </w:r>
            <w:r>
              <w:rPr>
                <w:rFonts w:hint="default" w:cs="Times New Roman"/>
                <w:bCs/>
                <w:color w:val="auto"/>
                <w:kern w:val="2"/>
                <w:sz w:val="24"/>
                <w:szCs w:val="24"/>
                <w:lang w:val="en-US" w:eastAsia="zh-CN" w:bidi="ar-SA"/>
              </w:rPr>
              <w:t>主要污染物为COD、BOD</w:t>
            </w:r>
            <w:r>
              <w:rPr>
                <w:rFonts w:hint="default" w:cs="Times New Roman"/>
                <w:bCs/>
                <w:color w:val="auto"/>
                <w:kern w:val="2"/>
                <w:sz w:val="24"/>
                <w:szCs w:val="24"/>
                <w:vertAlign w:val="subscript"/>
                <w:lang w:val="en-US" w:eastAsia="zh-CN" w:bidi="ar-SA"/>
              </w:rPr>
              <w:t>5</w:t>
            </w:r>
            <w:r>
              <w:rPr>
                <w:rFonts w:hint="default" w:cs="Times New Roman"/>
                <w:bCs/>
                <w:color w:val="auto"/>
                <w:kern w:val="2"/>
                <w:sz w:val="24"/>
                <w:szCs w:val="24"/>
                <w:lang w:val="en-US" w:eastAsia="zh-CN" w:bidi="ar-SA"/>
              </w:rPr>
              <w:t>、SS、氨氮</w:t>
            </w:r>
            <w:r>
              <w:rPr>
                <w:rFonts w:hint="eastAsia" w:cs="Times New Roman"/>
                <w:bCs/>
                <w:color w:val="auto"/>
                <w:kern w:val="2"/>
                <w:sz w:val="24"/>
                <w:szCs w:val="24"/>
                <w:lang w:val="en-US" w:eastAsia="zh-CN" w:bidi="ar-SA"/>
              </w:rPr>
              <w:t>、动植物油</w:t>
            </w:r>
            <w:r>
              <w:rPr>
                <w:rFonts w:hint="default" w:cs="Times New Roman"/>
                <w:bCs/>
                <w:color w:val="auto"/>
                <w:kern w:val="2"/>
                <w:sz w:val="24"/>
                <w:szCs w:val="24"/>
                <w:lang w:val="en-US" w:eastAsia="zh-CN" w:bidi="ar-SA"/>
              </w:rPr>
              <w:t>等。生活污水经</w:t>
            </w:r>
            <w:r>
              <w:rPr>
                <w:rFonts w:hint="eastAsia" w:cs="Times New Roman"/>
                <w:bCs/>
                <w:color w:val="auto"/>
                <w:kern w:val="2"/>
                <w:sz w:val="24"/>
                <w:szCs w:val="24"/>
                <w:lang w:val="en-US" w:eastAsia="zh-CN" w:bidi="ar-SA"/>
              </w:rPr>
              <w:t>厂区隔油池、</w:t>
            </w:r>
            <w:r>
              <w:rPr>
                <w:rFonts w:hint="default" w:cs="Times New Roman"/>
                <w:bCs/>
                <w:color w:val="auto"/>
                <w:kern w:val="2"/>
                <w:sz w:val="24"/>
                <w:szCs w:val="24"/>
                <w:lang w:val="en-US" w:eastAsia="zh-CN" w:bidi="ar-SA"/>
              </w:rPr>
              <w:t>化粪池预处理后，</w:t>
            </w:r>
            <w:r>
              <w:rPr>
                <w:rFonts w:hint="eastAsia" w:cs="Times New Roman"/>
                <w:bCs/>
                <w:color w:val="auto"/>
                <w:kern w:val="2"/>
                <w:sz w:val="24"/>
                <w:szCs w:val="24"/>
                <w:lang w:val="en-US" w:eastAsia="zh-CN" w:bidi="ar-SA"/>
              </w:rPr>
              <w:t>纳入宿州市汴北污水处理厂进行</w:t>
            </w:r>
            <w:r>
              <w:rPr>
                <w:rFonts w:hint="default" w:cs="Times New Roman"/>
                <w:bCs/>
                <w:color w:val="auto"/>
                <w:kern w:val="2"/>
                <w:sz w:val="24"/>
                <w:szCs w:val="24"/>
                <w:lang w:val="en-US" w:eastAsia="zh-CN" w:bidi="ar-SA"/>
              </w:rPr>
              <w:t>处理</w:t>
            </w:r>
            <w:r>
              <w:rPr>
                <w:rFonts w:hint="eastAsia" w:cs="Times New Roman"/>
                <w:bCs/>
                <w:color w:val="auto"/>
                <w:kern w:val="2"/>
                <w:sz w:val="24"/>
                <w:szCs w:val="24"/>
                <w:lang w:val="en-US" w:eastAsia="zh-CN" w:bidi="ar-SA"/>
              </w:rPr>
              <w:t>，</w:t>
            </w:r>
            <w:r>
              <w:rPr>
                <w:rFonts w:hint="default" w:cs="Times New Roman"/>
                <w:bCs/>
                <w:color w:val="auto"/>
                <w:kern w:val="2"/>
                <w:sz w:val="24"/>
                <w:szCs w:val="24"/>
                <w:lang w:val="en-US" w:eastAsia="zh-CN" w:bidi="ar-SA"/>
              </w:rPr>
              <w:t>其产生量、最终排放量及浓度具体如</w:t>
            </w:r>
            <w:r>
              <w:rPr>
                <w:rFonts w:hint="eastAsia" w:cs="Times New Roman"/>
                <w:bCs/>
                <w:color w:val="auto"/>
                <w:kern w:val="2"/>
                <w:sz w:val="24"/>
                <w:szCs w:val="24"/>
                <w:lang w:val="en-US" w:eastAsia="zh-CN" w:bidi="ar-SA"/>
              </w:rPr>
              <w:t>下表</w:t>
            </w:r>
            <w:r>
              <w:rPr>
                <w:rFonts w:hint="default" w:cs="Times New Roman"/>
                <w:bCs/>
                <w:color w:val="auto"/>
                <w:kern w:val="2"/>
                <w:sz w:val="24"/>
                <w:szCs w:val="24"/>
                <w:lang w:val="en-US" w:eastAsia="zh-CN" w:bidi="ar-SA"/>
              </w:rPr>
              <w:t>所示</w:t>
            </w:r>
            <w:r>
              <w:rPr>
                <w:rFonts w:hint="eastAsia" w:cs="Times New Roman"/>
                <w:bCs/>
                <w:color w:val="auto"/>
                <w:kern w:val="2"/>
                <w:sz w:val="24"/>
                <w:szCs w:val="24"/>
                <w:lang w:val="en-US" w:eastAsia="zh-CN" w:bidi="ar-SA"/>
              </w:rPr>
              <w:t>。</w:t>
            </w:r>
          </w:p>
          <w:p w14:paraId="63114FE9">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本项目</w:t>
            </w:r>
            <w:r>
              <w:rPr>
                <w:rFonts w:hint="eastAsia" w:ascii="Times New Roman" w:hAnsi="Times New Roman" w:eastAsia="宋体" w:cs="Times New Roman"/>
                <w:b/>
                <w:bCs/>
                <w:color w:val="auto"/>
                <w:sz w:val="24"/>
                <w:lang w:val="en-US" w:eastAsia="zh-CN"/>
              </w:rPr>
              <w:t>生活污</w:t>
            </w:r>
            <w:r>
              <w:rPr>
                <w:rFonts w:hint="default" w:ascii="Times New Roman" w:hAnsi="Times New Roman" w:eastAsia="宋体" w:cs="Times New Roman"/>
                <w:b/>
                <w:bCs/>
                <w:color w:val="auto"/>
                <w:sz w:val="24"/>
                <w:lang w:val="en-US" w:eastAsia="zh-CN"/>
              </w:rPr>
              <w:t>水产排情况一览表</w:t>
            </w:r>
          </w:p>
          <w:tbl>
            <w:tblPr>
              <w:tblStyle w:val="35"/>
              <w:tblW w:w="8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7"/>
              <w:gridCol w:w="1191"/>
              <w:gridCol w:w="1140"/>
              <w:gridCol w:w="1095"/>
              <w:gridCol w:w="964"/>
              <w:gridCol w:w="907"/>
              <w:gridCol w:w="1166"/>
              <w:gridCol w:w="1270"/>
            </w:tblGrid>
            <w:tr w14:paraId="6C6F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621" w:type="pct"/>
                  <w:vMerge w:val="restart"/>
                  <w:tcMar>
                    <w:top w:w="15" w:type="dxa"/>
                    <w:left w:w="15" w:type="dxa"/>
                    <w:right w:w="15" w:type="dxa"/>
                  </w:tcMar>
                  <w:vAlign w:val="center"/>
                </w:tcPr>
                <w:p w14:paraId="0DE2DC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污染源名称</w:t>
                  </w:r>
                </w:p>
              </w:tc>
              <w:tc>
                <w:tcPr>
                  <w:tcW w:w="674" w:type="pct"/>
                  <w:vMerge w:val="restart"/>
                  <w:tcMar>
                    <w:top w:w="15" w:type="dxa"/>
                    <w:left w:w="15" w:type="dxa"/>
                    <w:right w:w="15" w:type="dxa"/>
                  </w:tcMar>
                  <w:vAlign w:val="center"/>
                </w:tcPr>
                <w:p w14:paraId="431F68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污染物名称</w:t>
                  </w:r>
                </w:p>
              </w:tc>
              <w:tc>
                <w:tcPr>
                  <w:tcW w:w="1265" w:type="pct"/>
                  <w:gridSpan w:val="2"/>
                  <w:tcMar>
                    <w:top w:w="15" w:type="dxa"/>
                    <w:left w:w="15" w:type="dxa"/>
                    <w:right w:w="15" w:type="dxa"/>
                  </w:tcMar>
                  <w:vAlign w:val="center"/>
                </w:tcPr>
                <w:p w14:paraId="566DDCA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rPr>
                    <w:t>产生情况</w:t>
                  </w:r>
                </w:p>
              </w:tc>
              <w:tc>
                <w:tcPr>
                  <w:tcW w:w="545" w:type="pct"/>
                  <w:vMerge w:val="restart"/>
                  <w:tcMar>
                    <w:top w:w="15" w:type="dxa"/>
                    <w:left w:w="15" w:type="dxa"/>
                    <w:right w:w="15" w:type="dxa"/>
                  </w:tcMar>
                  <w:vAlign w:val="center"/>
                </w:tcPr>
                <w:p w14:paraId="1214F5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治理工艺</w:t>
                  </w:r>
                </w:p>
              </w:tc>
              <w:tc>
                <w:tcPr>
                  <w:tcW w:w="513" w:type="pct"/>
                  <w:vMerge w:val="restart"/>
                  <w:tcMar>
                    <w:top w:w="15" w:type="dxa"/>
                    <w:left w:w="15" w:type="dxa"/>
                    <w:right w:w="15" w:type="dxa"/>
                  </w:tcMar>
                  <w:vAlign w:val="center"/>
                </w:tcPr>
                <w:p w14:paraId="4A5A8B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处理效率</w:t>
                  </w:r>
                </w:p>
              </w:tc>
              <w:tc>
                <w:tcPr>
                  <w:tcW w:w="1379" w:type="pct"/>
                  <w:gridSpan w:val="2"/>
                  <w:tcMar>
                    <w:top w:w="15" w:type="dxa"/>
                    <w:left w:w="15" w:type="dxa"/>
                    <w:right w:w="15" w:type="dxa"/>
                  </w:tcMar>
                  <w:vAlign w:val="center"/>
                </w:tcPr>
                <w:p w14:paraId="1541B77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rPr>
                    <w:t>排放情况</w:t>
                  </w:r>
                </w:p>
              </w:tc>
            </w:tr>
            <w:tr w14:paraId="1607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621" w:type="pct"/>
                  <w:vMerge w:val="continue"/>
                  <w:tcMar>
                    <w:top w:w="15" w:type="dxa"/>
                    <w:left w:w="15" w:type="dxa"/>
                    <w:right w:w="15" w:type="dxa"/>
                  </w:tcMar>
                  <w:vAlign w:val="center"/>
                </w:tcPr>
                <w:p w14:paraId="0AF9F9D0">
                  <w:pPr>
                    <w:keepNext w:val="0"/>
                    <w:keepLines w:val="0"/>
                    <w:widowControl/>
                    <w:suppressLineNumbers w:val="0"/>
                    <w:spacing w:before="0" w:beforeAutospacing="0" w:after="0" w:afterAutospacing="0"/>
                    <w:ind w:left="0" w:right="0"/>
                    <w:jc w:val="center"/>
                    <w:textAlignment w:val="center"/>
                    <w:rPr>
                      <w:rFonts w:hint="default"/>
                      <w:color w:val="auto"/>
                    </w:rPr>
                  </w:pPr>
                </w:p>
              </w:tc>
              <w:tc>
                <w:tcPr>
                  <w:tcW w:w="674" w:type="pct"/>
                  <w:vMerge w:val="continue"/>
                  <w:tcMar>
                    <w:top w:w="15" w:type="dxa"/>
                    <w:left w:w="15" w:type="dxa"/>
                    <w:right w:w="15" w:type="dxa"/>
                  </w:tcMar>
                  <w:vAlign w:val="center"/>
                </w:tcPr>
                <w:p w14:paraId="218C4EB4">
                  <w:pPr>
                    <w:keepNext w:val="0"/>
                    <w:keepLines w:val="0"/>
                    <w:widowControl/>
                    <w:suppressLineNumbers w:val="0"/>
                    <w:spacing w:before="0" w:beforeAutospacing="0" w:after="0" w:afterAutospacing="0"/>
                    <w:ind w:left="0" w:right="0"/>
                    <w:jc w:val="center"/>
                    <w:textAlignment w:val="center"/>
                    <w:rPr>
                      <w:rFonts w:hint="default"/>
                      <w:color w:val="auto"/>
                    </w:rPr>
                  </w:pPr>
                </w:p>
              </w:tc>
              <w:tc>
                <w:tcPr>
                  <w:tcW w:w="645" w:type="pct"/>
                  <w:shd w:val="clear" w:color="auto" w:fill="auto"/>
                  <w:tcMar>
                    <w:top w:w="15" w:type="dxa"/>
                    <w:left w:w="15" w:type="dxa"/>
                    <w:right w:w="15" w:type="dxa"/>
                  </w:tcMar>
                  <w:vAlign w:val="center"/>
                </w:tcPr>
                <w:p w14:paraId="405E547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产生浓度(mg/L)</w:t>
                  </w:r>
                </w:p>
              </w:tc>
              <w:tc>
                <w:tcPr>
                  <w:tcW w:w="620" w:type="pct"/>
                  <w:shd w:val="clear" w:color="auto" w:fill="auto"/>
                  <w:tcMar>
                    <w:top w:w="15" w:type="dxa"/>
                    <w:left w:w="15" w:type="dxa"/>
                    <w:right w:w="15" w:type="dxa"/>
                  </w:tcMar>
                  <w:vAlign w:val="center"/>
                </w:tcPr>
                <w:p w14:paraId="7CF598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产生量</w:t>
                  </w:r>
                </w:p>
                <w:p w14:paraId="3329EFE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(t/a)</w:t>
                  </w:r>
                </w:p>
              </w:tc>
              <w:tc>
                <w:tcPr>
                  <w:tcW w:w="545" w:type="pct"/>
                  <w:vMerge w:val="continue"/>
                  <w:tcMar>
                    <w:top w:w="15" w:type="dxa"/>
                    <w:left w:w="15" w:type="dxa"/>
                    <w:right w:w="15" w:type="dxa"/>
                  </w:tcMar>
                  <w:vAlign w:val="center"/>
                </w:tcPr>
                <w:p w14:paraId="3CF1B3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p>
              </w:tc>
              <w:tc>
                <w:tcPr>
                  <w:tcW w:w="513" w:type="pct"/>
                  <w:vMerge w:val="continue"/>
                  <w:tcMar>
                    <w:top w:w="15" w:type="dxa"/>
                    <w:left w:w="15" w:type="dxa"/>
                    <w:right w:w="15" w:type="dxa"/>
                  </w:tcMar>
                  <w:vAlign w:val="center"/>
                </w:tcPr>
                <w:p w14:paraId="07F178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p>
              </w:tc>
              <w:tc>
                <w:tcPr>
                  <w:tcW w:w="660" w:type="pct"/>
                  <w:tcMar>
                    <w:top w:w="15" w:type="dxa"/>
                    <w:left w:w="15" w:type="dxa"/>
                    <w:right w:w="15" w:type="dxa"/>
                  </w:tcMar>
                  <w:vAlign w:val="center"/>
                </w:tcPr>
                <w:p w14:paraId="0C1B7AD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rPr>
                    <w:t>排放浓度(mg/L)</w:t>
                  </w:r>
                </w:p>
              </w:tc>
              <w:tc>
                <w:tcPr>
                  <w:tcW w:w="719" w:type="pct"/>
                  <w:tcMar>
                    <w:top w:w="15" w:type="dxa"/>
                    <w:left w:w="15" w:type="dxa"/>
                    <w:right w:w="15" w:type="dxa"/>
                  </w:tcMar>
                  <w:vAlign w:val="center"/>
                </w:tcPr>
                <w:p w14:paraId="238131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排放量</w:t>
                  </w:r>
                </w:p>
                <w:p w14:paraId="63B90C8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rPr>
                    <w:t>(t/a)</w:t>
                  </w:r>
                </w:p>
              </w:tc>
            </w:tr>
            <w:tr w14:paraId="3E8A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621" w:type="pct"/>
                  <w:vMerge w:val="restart"/>
                  <w:tcMar>
                    <w:top w:w="15" w:type="dxa"/>
                    <w:left w:w="15" w:type="dxa"/>
                    <w:right w:w="15" w:type="dxa"/>
                  </w:tcMar>
                  <w:vAlign w:val="center"/>
                </w:tcPr>
                <w:p w14:paraId="6FE790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生活污水</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720</w:t>
                  </w:r>
                  <w:r>
                    <w:rPr>
                      <w:rFonts w:hint="eastAsia" w:ascii="Times New Roman" w:hAnsi="Times New Roman" w:eastAsia="宋体" w:cs="Times New Roman"/>
                      <w:color w:val="auto"/>
                      <w:szCs w:val="21"/>
                      <w:lang w:val="en-US" w:eastAsia="zh-CN"/>
                    </w:rPr>
                    <w:t>t/a）</w:t>
                  </w:r>
                </w:p>
              </w:tc>
              <w:tc>
                <w:tcPr>
                  <w:tcW w:w="674" w:type="pct"/>
                  <w:tcMar>
                    <w:top w:w="15" w:type="dxa"/>
                    <w:left w:w="15" w:type="dxa"/>
                    <w:right w:w="15" w:type="dxa"/>
                  </w:tcMar>
                  <w:vAlign w:val="center"/>
                </w:tcPr>
                <w:p w14:paraId="157878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COD</w:t>
                  </w:r>
                </w:p>
              </w:tc>
              <w:tc>
                <w:tcPr>
                  <w:tcW w:w="645" w:type="pct"/>
                  <w:tcMar>
                    <w:top w:w="15" w:type="dxa"/>
                    <w:left w:w="15" w:type="dxa"/>
                    <w:right w:w="15" w:type="dxa"/>
                  </w:tcMar>
                  <w:vAlign w:val="center"/>
                </w:tcPr>
                <w:p w14:paraId="70F877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350</w:t>
                  </w:r>
                </w:p>
              </w:tc>
              <w:tc>
                <w:tcPr>
                  <w:tcW w:w="620" w:type="pct"/>
                  <w:tcMar>
                    <w:top w:w="15" w:type="dxa"/>
                    <w:left w:w="15" w:type="dxa"/>
                    <w:right w:w="15" w:type="dxa"/>
                  </w:tcMar>
                  <w:vAlign w:val="center"/>
                </w:tcPr>
                <w:p w14:paraId="2169804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 xml:space="preserve">0.252 </w:t>
                  </w:r>
                </w:p>
              </w:tc>
              <w:tc>
                <w:tcPr>
                  <w:tcW w:w="545" w:type="pct"/>
                  <w:vMerge w:val="restart"/>
                  <w:tcMar>
                    <w:top w:w="15" w:type="dxa"/>
                    <w:left w:w="15" w:type="dxa"/>
                    <w:right w:w="15" w:type="dxa"/>
                  </w:tcMar>
                  <w:vAlign w:val="center"/>
                </w:tcPr>
                <w:p w14:paraId="08BAC2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隔油池+化粪池</w:t>
                  </w:r>
                </w:p>
              </w:tc>
              <w:tc>
                <w:tcPr>
                  <w:tcW w:w="513" w:type="pct"/>
                  <w:tcMar>
                    <w:top w:w="15" w:type="dxa"/>
                    <w:left w:w="15" w:type="dxa"/>
                    <w:right w:w="15" w:type="dxa"/>
                  </w:tcMar>
                  <w:vAlign w:val="center"/>
                </w:tcPr>
                <w:p w14:paraId="067FE28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15%</w:t>
                  </w:r>
                </w:p>
              </w:tc>
              <w:tc>
                <w:tcPr>
                  <w:tcW w:w="660" w:type="pct"/>
                  <w:tcMar>
                    <w:top w:w="15" w:type="dxa"/>
                    <w:left w:w="15" w:type="dxa"/>
                    <w:right w:w="15" w:type="dxa"/>
                  </w:tcMar>
                  <w:vAlign w:val="center"/>
                </w:tcPr>
                <w:p w14:paraId="5C66BD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297.5</w:t>
                  </w:r>
                </w:p>
              </w:tc>
              <w:tc>
                <w:tcPr>
                  <w:tcW w:w="719" w:type="pct"/>
                  <w:tcMar>
                    <w:top w:w="15" w:type="dxa"/>
                    <w:left w:w="15" w:type="dxa"/>
                    <w:right w:w="15" w:type="dxa"/>
                  </w:tcMar>
                  <w:vAlign w:val="center"/>
                </w:tcPr>
                <w:p w14:paraId="61BFE3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 xml:space="preserve">0.211 </w:t>
                  </w:r>
                </w:p>
              </w:tc>
            </w:tr>
            <w:tr w14:paraId="5A41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21" w:type="pct"/>
                  <w:vMerge w:val="continue"/>
                  <w:tcMar>
                    <w:top w:w="15" w:type="dxa"/>
                    <w:left w:w="15" w:type="dxa"/>
                    <w:right w:w="15" w:type="dxa"/>
                  </w:tcMar>
                  <w:vAlign w:val="center"/>
                </w:tcPr>
                <w:p w14:paraId="008583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674" w:type="pct"/>
                  <w:tcMar>
                    <w:top w:w="15" w:type="dxa"/>
                    <w:left w:w="15" w:type="dxa"/>
                    <w:right w:w="15" w:type="dxa"/>
                  </w:tcMar>
                  <w:vAlign w:val="center"/>
                </w:tcPr>
                <w:p w14:paraId="52069E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 w:val="21"/>
                      <w:szCs w:val="21"/>
                      <w:lang w:val="en-US" w:eastAsia="zh-CN" w:bidi="ar"/>
                    </w:rPr>
                    <w:t>SS</w:t>
                  </w:r>
                </w:p>
              </w:tc>
              <w:tc>
                <w:tcPr>
                  <w:tcW w:w="645" w:type="pct"/>
                  <w:shd w:val="clear" w:color="auto" w:fill="auto"/>
                  <w:tcMar>
                    <w:top w:w="15" w:type="dxa"/>
                    <w:left w:w="15" w:type="dxa"/>
                    <w:right w:w="15" w:type="dxa"/>
                  </w:tcMar>
                  <w:vAlign w:val="center"/>
                </w:tcPr>
                <w:p w14:paraId="59318B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200</w:t>
                  </w:r>
                </w:p>
              </w:tc>
              <w:tc>
                <w:tcPr>
                  <w:tcW w:w="620" w:type="pct"/>
                  <w:shd w:val="clear" w:color="auto" w:fill="auto"/>
                  <w:tcMar>
                    <w:top w:w="15" w:type="dxa"/>
                    <w:left w:w="15" w:type="dxa"/>
                    <w:right w:w="15" w:type="dxa"/>
                  </w:tcMar>
                  <w:vAlign w:val="center"/>
                </w:tcPr>
                <w:p w14:paraId="4C0C86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 xml:space="preserve">0.144 </w:t>
                  </w:r>
                </w:p>
              </w:tc>
              <w:tc>
                <w:tcPr>
                  <w:tcW w:w="545" w:type="pct"/>
                  <w:vMerge w:val="continue"/>
                  <w:shd w:val="clear" w:color="auto" w:fill="auto"/>
                  <w:tcMar>
                    <w:top w:w="15" w:type="dxa"/>
                    <w:left w:w="15" w:type="dxa"/>
                    <w:right w:w="15" w:type="dxa"/>
                  </w:tcMar>
                  <w:vAlign w:val="center"/>
                </w:tcPr>
                <w:p w14:paraId="0CA1F596">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val="en-US" w:eastAsia="zh-CN" w:bidi="ar-SA"/>
                    </w:rPr>
                  </w:pPr>
                </w:p>
              </w:tc>
              <w:tc>
                <w:tcPr>
                  <w:tcW w:w="513" w:type="pct"/>
                  <w:shd w:val="clear" w:color="auto" w:fill="auto"/>
                  <w:tcMar>
                    <w:top w:w="15" w:type="dxa"/>
                    <w:left w:w="15" w:type="dxa"/>
                    <w:right w:w="15" w:type="dxa"/>
                  </w:tcMar>
                  <w:vAlign w:val="center"/>
                </w:tcPr>
                <w:p w14:paraId="01605F5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w:t>
                  </w:r>
                </w:p>
              </w:tc>
              <w:tc>
                <w:tcPr>
                  <w:tcW w:w="660" w:type="pct"/>
                  <w:shd w:val="clear" w:color="auto" w:fill="auto"/>
                  <w:tcMar>
                    <w:top w:w="15" w:type="dxa"/>
                    <w:left w:w="15" w:type="dxa"/>
                    <w:right w:w="15" w:type="dxa"/>
                  </w:tcMar>
                  <w:vAlign w:val="center"/>
                </w:tcPr>
                <w:p w14:paraId="2A53ED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180</w:t>
                  </w:r>
                </w:p>
              </w:tc>
              <w:tc>
                <w:tcPr>
                  <w:tcW w:w="719" w:type="pct"/>
                  <w:shd w:val="clear" w:color="auto" w:fill="auto"/>
                  <w:tcMar>
                    <w:top w:w="15" w:type="dxa"/>
                    <w:left w:w="15" w:type="dxa"/>
                    <w:right w:w="15" w:type="dxa"/>
                  </w:tcMar>
                  <w:vAlign w:val="center"/>
                </w:tcPr>
                <w:p w14:paraId="3935E9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 xml:space="preserve">0.128 </w:t>
                  </w:r>
                </w:p>
              </w:tc>
            </w:tr>
            <w:tr w14:paraId="6133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21" w:type="pct"/>
                  <w:vMerge w:val="continue"/>
                  <w:tcMar>
                    <w:top w:w="15" w:type="dxa"/>
                    <w:left w:w="15" w:type="dxa"/>
                    <w:right w:w="15" w:type="dxa"/>
                  </w:tcMar>
                  <w:vAlign w:val="center"/>
                </w:tcPr>
                <w:p w14:paraId="3D32D4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674" w:type="pct"/>
                  <w:tcMar>
                    <w:top w:w="15" w:type="dxa"/>
                    <w:left w:w="15" w:type="dxa"/>
                    <w:right w:w="15" w:type="dxa"/>
                  </w:tcMar>
                  <w:vAlign w:val="center"/>
                </w:tcPr>
                <w:p w14:paraId="2AA20C6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 w:val="21"/>
                      <w:szCs w:val="21"/>
                      <w:lang w:val="en-US" w:eastAsia="zh-CN" w:bidi="ar"/>
                    </w:rPr>
                    <w:t>NH</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lang w:val="en-US" w:eastAsia="zh-CN" w:bidi="ar"/>
                    </w:rPr>
                    <w:t>-N</w:t>
                  </w:r>
                </w:p>
              </w:tc>
              <w:tc>
                <w:tcPr>
                  <w:tcW w:w="645" w:type="pct"/>
                  <w:shd w:val="clear" w:color="auto" w:fill="auto"/>
                  <w:tcMar>
                    <w:top w:w="15" w:type="dxa"/>
                    <w:left w:w="15" w:type="dxa"/>
                    <w:right w:w="15" w:type="dxa"/>
                  </w:tcMar>
                  <w:vAlign w:val="center"/>
                </w:tcPr>
                <w:p w14:paraId="5FCA2F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w:t>
                  </w:r>
                </w:p>
              </w:tc>
              <w:tc>
                <w:tcPr>
                  <w:tcW w:w="620" w:type="pct"/>
                  <w:shd w:val="clear" w:color="auto" w:fill="auto"/>
                  <w:tcMar>
                    <w:top w:w="15" w:type="dxa"/>
                    <w:left w:w="15" w:type="dxa"/>
                    <w:right w:w="15" w:type="dxa"/>
                  </w:tcMar>
                  <w:vAlign w:val="center"/>
                </w:tcPr>
                <w:p w14:paraId="04C442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0.022 </w:t>
                  </w:r>
                </w:p>
              </w:tc>
              <w:tc>
                <w:tcPr>
                  <w:tcW w:w="545" w:type="pct"/>
                  <w:vMerge w:val="continue"/>
                  <w:shd w:val="clear" w:color="auto" w:fill="auto"/>
                  <w:tcMar>
                    <w:top w:w="15" w:type="dxa"/>
                    <w:left w:w="15" w:type="dxa"/>
                    <w:right w:w="15" w:type="dxa"/>
                  </w:tcMar>
                  <w:vAlign w:val="center"/>
                </w:tcPr>
                <w:p w14:paraId="4E6EF2D7">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val="en-US" w:eastAsia="zh-CN" w:bidi="ar-SA"/>
                    </w:rPr>
                  </w:pPr>
                </w:p>
              </w:tc>
              <w:tc>
                <w:tcPr>
                  <w:tcW w:w="513" w:type="pct"/>
                  <w:shd w:val="clear" w:color="auto" w:fill="auto"/>
                  <w:tcMar>
                    <w:top w:w="15" w:type="dxa"/>
                    <w:left w:w="15" w:type="dxa"/>
                    <w:right w:w="15" w:type="dxa"/>
                  </w:tcMar>
                  <w:vAlign w:val="center"/>
                </w:tcPr>
                <w:p w14:paraId="629D2F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0</w:t>
                  </w:r>
                  <w:r>
                    <w:rPr>
                      <w:rFonts w:hint="default" w:ascii="Times New Roman" w:hAnsi="Times New Roman" w:eastAsia="宋体" w:cs="Times New Roman"/>
                      <w:color w:val="auto"/>
                      <w:kern w:val="2"/>
                      <w:sz w:val="21"/>
                      <w:szCs w:val="21"/>
                      <w:lang w:val="en-US" w:eastAsia="zh-CN" w:bidi="ar"/>
                    </w:rPr>
                    <w:t>%</w:t>
                  </w:r>
                </w:p>
              </w:tc>
              <w:tc>
                <w:tcPr>
                  <w:tcW w:w="1166" w:type="dxa"/>
                  <w:shd w:val="clear" w:color="auto" w:fill="auto"/>
                  <w:tcMar>
                    <w:top w:w="15" w:type="dxa"/>
                    <w:left w:w="15" w:type="dxa"/>
                    <w:right w:w="15" w:type="dxa"/>
                  </w:tcMar>
                  <w:vAlign w:val="center"/>
                </w:tcPr>
                <w:p w14:paraId="459ABE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w:t>
                  </w:r>
                </w:p>
              </w:tc>
              <w:tc>
                <w:tcPr>
                  <w:tcW w:w="1270" w:type="dxa"/>
                  <w:shd w:val="clear" w:color="auto" w:fill="auto"/>
                  <w:tcMar>
                    <w:top w:w="15" w:type="dxa"/>
                    <w:left w:w="15" w:type="dxa"/>
                    <w:right w:w="15" w:type="dxa"/>
                  </w:tcMar>
                  <w:vAlign w:val="center"/>
                </w:tcPr>
                <w:p w14:paraId="41D6E87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0.022 </w:t>
                  </w:r>
                </w:p>
              </w:tc>
            </w:tr>
            <w:tr w14:paraId="1503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21" w:type="pct"/>
                  <w:vMerge w:val="continue"/>
                  <w:tcMar>
                    <w:top w:w="15" w:type="dxa"/>
                    <w:left w:w="15" w:type="dxa"/>
                    <w:right w:w="15" w:type="dxa"/>
                  </w:tcMar>
                  <w:vAlign w:val="center"/>
                </w:tcPr>
                <w:p w14:paraId="6A7522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674" w:type="pct"/>
                  <w:tcMar>
                    <w:top w:w="15" w:type="dxa"/>
                    <w:left w:w="15" w:type="dxa"/>
                    <w:right w:w="15" w:type="dxa"/>
                  </w:tcMar>
                  <w:vAlign w:val="center"/>
                </w:tcPr>
                <w:p w14:paraId="6297DEA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lang w:val="en-US" w:eastAsia="zh-CN" w:bidi="ar"/>
                    </w:rPr>
                    <w:t>TP</w:t>
                  </w:r>
                </w:p>
              </w:tc>
              <w:tc>
                <w:tcPr>
                  <w:tcW w:w="645" w:type="pct"/>
                  <w:shd w:val="clear" w:color="auto" w:fill="auto"/>
                  <w:tcMar>
                    <w:top w:w="15" w:type="dxa"/>
                    <w:left w:w="15" w:type="dxa"/>
                    <w:right w:w="15" w:type="dxa"/>
                  </w:tcMar>
                  <w:vAlign w:val="center"/>
                </w:tcPr>
                <w:p w14:paraId="14B4702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5</w:t>
                  </w:r>
                </w:p>
              </w:tc>
              <w:tc>
                <w:tcPr>
                  <w:tcW w:w="620" w:type="pct"/>
                  <w:shd w:val="clear" w:color="auto" w:fill="auto"/>
                  <w:tcMar>
                    <w:top w:w="15" w:type="dxa"/>
                    <w:left w:w="15" w:type="dxa"/>
                    <w:right w:w="15" w:type="dxa"/>
                  </w:tcMar>
                  <w:vAlign w:val="center"/>
                </w:tcPr>
                <w:p w14:paraId="0B2724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 xml:space="preserve">0.004 </w:t>
                  </w:r>
                </w:p>
              </w:tc>
              <w:tc>
                <w:tcPr>
                  <w:tcW w:w="545" w:type="pct"/>
                  <w:vMerge w:val="continue"/>
                  <w:shd w:val="clear" w:color="auto" w:fill="auto"/>
                  <w:tcMar>
                    <w:top w:w="15" w:type="dxa"/>
                    <w:left w:w="15" w:type="dxa"/>
                    <w:right w:w="15" w:type="dxa"/>
                  </w:tcMar>
                  <w:vAlign w:val="center"/>
                </w:tcPr>
                <w:p w14:paraId="79024DC4">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val="en-US" w:eastAsia="zh-CN" w:bidi="ar-SA"/>
                    </w:rPr>
                  </w:pPr>
                </w:p>
              </w:tc>
              <w:tc>
                <w:tcPr>
                  <w:tcW w:w="513" w:type="pct"/>
                  <w:shd w:val="clear" w:color="auto" w:fill="auto"/>
                  <w:tcMar>
                    <w:top w:w="15" w:type="dxa"/>
                    <w:left w:w="15" w:type="dxa"/>
                    <w:right w:w="15" w:type="dxa"/>
                  </w:tcMar>
                  <w:vAlign w:val="center"/>
                </w:tcPr>
                <w:p w14:paraId="3AB12BD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w:t>
                  </w:r>
                </w:p>
              </w:tc>
              <w:tc>
                <w:tcPr>
                  <w:tcW w:w="660" w:type="pct"/>
                  <w:shd w:val="clear" w:color="auto" w:fill="auto"/>
                  <w:tcMar>
                    <w:top w:w="15" w:type="dxa"/>
                    <w:left w:w="15" w:type="dxa"/>
                    <w:right w:w="15" w:type="dxa"/>
                  </w:tcMar>
                  <w:vAlign w:val="center"/>
                </w:tcPr>
                <w:p w14:paraId="38C69A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4.85</w:t>
                  </w:r>
                </w:p>
              </w:tc>
              <w:tc>
                <w:tcPr>
                  <w:tcW w:w="719" w:type="pct"/>
                  <w:shd w:val="clear" w:color="auto" w:fill="auto"/>
                  <w:tcMar>
                    <w:top w:w="15" w:type="dxa"/>
                    <w:left w:w="15" w:type="dxa"/>
                    <w:right w:w="15" w:type="dxa"/>
                  </w:tcMar>
                  <w:vAlign w:val="center"/>
                </w:tcPr>
                <w:p w14:paraId="4DECCB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 xml:space="preserve">0.003 </w:t>
                  </w:r>
                </w:p>
              </w:tc>
            </w:tr>
            <w:tr w14:paraId="56FE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21" w:type="pct"/>
                  <w:vMerge w:val="continue"/>
                  <w:tcMar>
                    <w:top w:w="15" w:type="dxa"/>
                    <w:left w:w="15" w:type="dxa"/>
                    <w:right w:w="15" w:type="dxa"/>
                  </w:tcMar>
                  <w:vAlign w:val="center"/>
                </w:tcPr>
                <w:p w14:paraId="185E84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674" w:type="pct"/>
                  <w:tcMar>
                    <w:top w:w="15" w:type="dxa"/>
                    <w:left w:w="15" w:type="dxa"/>
                    <w:right w:w="15" w:type="dxa"/>
                  </w:tcMar>
                  <w:vAlign w:val="center"/>
                </w:tcPr>
                <w:p w14:paraId="27A166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 w:val="21"/>
                      <w:szCs w:val="21"/>
                      <w:lang w:val="en-US" w:eastAsia="zh-CN" w:bidi="ar"/>
                    </w:rPr>
                    <w:t>动植物油</w:t>
                  </w:r>
                </w:p>
              </w:tc>
              <w:tc>
                <w:tcPr>
                  <w:tcW w:w="645" w:type="pct"/>
                  <w:shd w:val="clear" w:color="auto" w:fill="auto"/>
                  <w:tcMar>
                    <w:top w:w="15" w:type="dxa"/>
                    <w:left w:w="15" w:type="dxa"/>
                    <w:right w:w="15" w:type="dxa"/>
                  </w:tcMar>
                  <w:vAlign w:val="center"/>
                </w:tcPr>
                <w:p w14:paraId="25DD96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color w:val="auto"/>
                      <w:kern w:val="0"/>
                      <w:sz w:val="21"/>
                      <w:szCs w:val="21"/>
                      <w:lang w:val="en-US" w:eastAsia="zh-CN" w:bidi="ar"/>
                    </w:rPr>
                    <w:t>20</w:t>
                  </w:r>
                </w:p>
              </w:tc>
              <w:tc>
                <w:tcPr>
                  <w:tcW w:w="620" w:type="pct"/>
                  <w:shd w:val="clear" w:color="auto" w:fill="auto"/>
                  <w:tcMar>
                    <w:top w:w="15" w:type="dxa"/>
                    <w:left w:w="15" w:type="dxa"/>
                    <w:right w:w="15" w:type="dxa"/>
                  </w:tcMar>
                  <w:vAlign w:val="center"/>
                </w:tcPr>
                <w:p w14:paraId="629084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 xml:space="preserve">0.014 </w:t>
                  </w:r>
                </w:p>
              </w:tc>
              <w:tc>
                <w:tcPr>
                  <w:tcW w:w="545" w:type="pct"/>
                  <w:vMerge w:val="continue"/>
                  <w:shd w:val="clear" w:color="auto" w:fill="auto"/>
                  <w:tcMar>
                    <w:top w:w="15" w:type="dxa"/>
                    <w:left w:w="15" w:type="dxa"/>
                    <w:right w:w="15" w:type="dxa"/>
                  </w:tcMar>
                  <w:vAlign w:val="center"/>
                </w:tcPr>
                <w:p w14:paraId="5FD1CC31">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val="en-US" w:eastAsia="zh-CN" w:bidi="ar-SA"/>
                    </w:rPr>
                  </w:pPr>
                </w:p>
              </w:tc>
              <w:tc>
                <w:tcPr>
                  <w:tcW w:w="513" w:type="pct"/>
                  <w:shd w:val="clear" w:color="auto" w:fill="auto"/>
                  <w:tcMar>
                    <w:top w:w="15" w:type="dxa"/>
                    <w:left w:w="15" w:type="dxa"/>
                    <w:right w:w="15" w:type="dxa"/>
                  </w:tcMar>
                  <w:vAlign w:val="center"/>
                </w:tcPr>
                <w:p w14:paraId="6BF8473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50%</w:t>
                  </w:r>
                </w:p>
              </w:tc>
              <w:tc>
                <w:tcPr>
                  <w:tcW w:w="660" w:type="pct"/>
                  <w:shd w:val="clear" w:color="auto" w:fill="auto"/>
                  <w:tcMar>
                    <w:top w:w="15" w:type="dxa"/>
                    <w:left w:w="15" w:type="dxa"/>
                    <w:right w:w="15" w:type="dxa"/>
                  </w:tcMar>
                  <w:vAlign w:val="center"/>
                </w:tcPr>
                <w:p w14:paraId="5A43F3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c>
                <w:tcPr>
                  <w:tcW w:w="719" w:type="pct"/>
                  <w:shd w:val="clear" w:color="auto" w:fill="auto"/>
                  <w:tcMar>
                    <w:top w:w="15" w:type="dxa"/>
                    <w:left w:w="15" w:type="dxa"/>
                    <w:right w:w="15" w:type="dxa"/>
                  </w:tcMar>
                  <w:vAlign w:val="center"/>
                </w:tcPr>
                <w:p w14:paraId="428B5D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 xml:space="preserve">0.007 </w:t>
                  </w:r>
                </w:p>
              </w:tc>
            </w:tr>
          </w:tbl>
          <w:p w14:paraId="370AF1BC">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eastAsia"/>
                <w:color w:val="auto"/>
                <w:sz w:val="24"/>
                <w:szCs w:val="24"/>
                <w:lang w:val="en-US" w:eastAsia="zh-CN"/>
              </w:rPr>
            </w:pPr>
            <w:r>
              <w:rPr>
                <w:rFonts w:hint="eastAsia" w:cs="Times New Roman"/>
                <w:bCs/>
                <w:color w:val="auto"/>
                <w:kern w:val="2"/>
                <w:sz w:val="24"/>
                <w:szCs w:val="24"/>
                <w:lang w:val="en-US" w:eastAsia="zh-CN" w:bidi="ar-SA"/>
              </w:rPr>
              <w:t>（2）生产废水产排情况</w:t>
            </w:r>
          </w:p>
          <w:p w14:paraId="5FFB1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spacing w:val="0"/>
                <w:sz w:val="24"/>
                <w:szCs w:val="24"/>
                <w:lang w:val="en-US" w:eastAsia="zh-CN"/>
              </w:rPr>
            </w:pPr>
            <w:r>
              <w:rPr>
                <w:rFonts w:hint="eastAsia" w:ascii="Times New Roman" w:hAnsi="Times New Roman" w:eastAsia="宋体" w:cs="Times New Roman"/>
                <w:i w:val="0"/>
                <w:iCs w:val="0"/>
                <w:caps w:val="0"/>
                <w:color w:val="auto"/>
                <w:spacing w:val="0"/>
                <w:sz w:val="24"/>
                <w:szCs w:val="24"/>
                <w:lang w:val="en-US" w:eastAsia="zh-CN"/>
              </w:rPr>
              <w:t>本</w:t>
            </w:r>
            <w:r>
              <w:rPr>
                <w:rFonts w:hint="default" w:ascii="Times New Roman" w:hAnsi="Times New Roman" w:eastAsia="宋体" w:cs="Times New Roman"/>
                <w:i w:val="0"/>
                <w:iCs w:val="0"/>
                <w:caps w:val="0"/>
                <w:color w:val="auto"/>
                <w:spacing w:val="0"/>
                <w:sz w:val="24"/>
                <w:szCs w:val="24"/>
                <w:lang w:val="en-US" w:eastAsia="zh-CN"/>
              </w:rPr>
              <w:t>项目</w:t>
            </w:r>
            <w:r>
              <w:rPr>
                <w:rFonts w:hint="eastAsia" w:ascii="Times New Roman" w:hAnsi="Times New Roman" w:eastAsia="宋体" w:cs="Times New Roman"/>
                <w:i w:val="0"/>
                <w:iCs w:val="0"/>
                <w:caps w:val="0"/>
                <w:color w:val="auto"/>
                <w:spacing w:val="0"/>
                <w:sz w:val="24"/>
                <w:szCs w:val="24"/>
                <w:lang w:val="en-US" w:eastAsia="zh-CN"/>
              </w:rPr>
              <w:t>生产</w:t>
            </w:r>
            <w:r>
              <w:rPr>
                <w:rFonts w:hint="default" w:ascii="Times New Roman" w:hAnsi="Times New Roman" w:eastAsia="宋体" w:cs="Times New Roman"/>
                <w:i w:val="0"/>
                <w:iCs w:val="0"/>
                <w:caps w:val="0"/>
                <w:color w:val="auto"/>
                <w:spacing w:val="0"/>
                <w:sz w:val="24"/>
                <w:szCs w:val="24"/>
                <w:lang w:val="en-US" w:eastAsia="zh-CN"/>
              </w:rPr>
              <w:t>废水</w:t>
            </w:r>
            <w:r>
              <w:rPr>
                <w:rFonts w:hint="eastAsia" w:ascii="Times New Roman" w:hAnsi="Times New Roman" w:eastAsia="宋体" w:cs="Times New Roman"/>
                <w:i w:val="0"/>
                <w:iCs w:val="0"/>
                <w:caps w:val="0"/>
                <w:color w:val="auto"/>
                <w:spacing w:val="0"/>
                <w:sz w:val="24"/>
                <w:szCs w:val="24"/>
                <w:lang w:val="en-US" w:eastAsia="zh-CN"/>
              </w:rPr>
              <w:t>主要包括纯水制备系统废水、CIP清洗设备废水</w:t>
            </w:r>
            <w:r>
              <w:rPr>
                <w:rFonts w:hint="eastAsia" w:cs="Times New Roman"/>
                <w:i w:val="0"/>
                <w:iCs w:val="0"/>
                <w:caps w:val="0"/>
                <w:color w:val="auto"/>
                <w:spacing w:val="0"/>
                <w:sz w:val="24"/>
                <w:szCs w:val="24"/>
                <w:lang w:val="en-US" w:eastAsia="zh-CN"/>
              </w:rPr>
              <w:t>、保洁废水、实验室清洗废水</w:t>
            </w:r>
            <w:r>
              <w:rPr>
                <w:rFonts w:hint="eastAsia" w:ascii="Times New Roman" w:hAnsi="Times New Roman" w:eastAsia="宋体" w:cs="Times New Roman"/>
                <w:i w:val="0"/>
                <w:iCs w:val="0"/>
                <w:caps w:val="0"/>
                <w:color w:val="auto"/>
                <w:spacing w:val="0"/>
                <w:sz w:val="24"/>
                <w:szCs w:val="24"/>
                <w:lang w:val="en-US" w:eastAsia="zh-CN"/>
              </w:rPr>
              <w:t>。CIP清洗设备废水</w:t>
            </w:r>
            <w:r>
              <w:rPr>
                <w:rFonts w:hint="eastAsia" w:cs="Times New Roman"/>
                <w:i w:val="0"/>
                <w:iCs w:val="0"/>
                <w:caps w:val="0"/>
                <w:color w:val="auto"/>
                <w:spacing w:val="0"/>
                <w:sz w:val="24"/>
                <w:szCs w:val="24"/>
                <w:lang w:val="en-US" w:eastAsia="zh-CN"/>
              </w:rPr>
              <w:t>、保洁废水、实验室清洗废水经污水处理设施处理（调节池+水解酸化池+接触氧化池+沉淀池）达标后与纯水制备废水合并排放。根据《饮料制造废水治理工程技术规范》（HJ2048-2015）表1可知，</w:t>
            </w:r>
            <w:r>
              <w:rPr>
                <w:rFonts w:hint="eastAsia" w:ascii="Times New Roman" w:hAnsi="Times New Roman" w:eastAsia="宋体" w:cs="Times New Roman"/>
                <w:i w:val="0"/>
                <w:iCs w:val="0"/>
                <w:caps w:val="0"/>
                <w:color w:val="auto"/>
                <w:spacing w:val="0"/>
                <w:sz w:val="24"/>
                <w:szCs w:val="24"/>
                <w:lang w:val="en-US" w:eastAsia="zh-CN"/>
              </w:rPr>
              <w:t>乳制品饮料设</w:t>
            </w:r>
            <w:r>
              <w:rPr>
                <w:rFonts w:hint="eastAsia" w:cs="Times New Roman"/>
                <w:i w:val="0"/>
                <w:iCs w:val="0"/>
                <w:caps w:val="0"/>
                <w:color w:val="auto"/>
                <w:spacing w:val="0"/>
                <w:sz w:val="24"/>
                <w:szCs w:val="24"/>
                <w:lang w:val="en-US" w:eastAsia="zh-CN"/>
              </w:rPr>
              <w:t>备清洗废水水质为COD：900~2000mg/L、NH</w:t>
            </w:r>
            <w:r>
              <w:rPr>
                <w:rFonts w:hint="eastAsia" w:cs="Times New Roman"/>
                <w:i w:val="0"/>
                <w:iCs w:val="0"/>
                <w:caps w:val="0"/>
                <w:color w:val="auto"/>
                <w:spacing w:val="0"/>
                <w:sz w:val="24"/>
                <w:szCs w:val="24"/>
                <w:vertAlign w:val="subscript"/>
                <w:lang w:val="en-US" w:eastAsia="zh-CN"/>
              </w:rPr>
              <w:t>3-</w:t>
            </w:r>
            <w:r>
              <w:rPr>
                <w:rFonts w:hint="eastAsia" w:cs="Times New Roman"/>
                <w:i w:val="0"/>
                <w:iCs w:val="0"/>
                <w:caps w:val="0"/>
                <w:color w:val="auto"/>
                <w:spacing w:val="0"/>
                <w:sz w:val="24"/>
                <w:szCs w:val="24"/>
                <w:lang w:val="en-US" w:eastAsia="zh-CN"/>
              </w:rPr>
              <w:t>N：10~80mg/L、BOD</w:t>
            </w:r>
            <w:r>
              <w:rPr>
                <w:rFonts w:hint="eastAsia" w:cs="Times New Roman"/>
                <w:i w:val="0"/>
                <w:iCs w:val="0"/>
                <w:caps w:val="0"/>
                <w:color w:val="auto"/>
                <w:spacing w:val="0"/>
                <w:sz w:val="24"/>
                <w:szCs w:val="24"/>
                <w:vertAlign w:val="subscript"/>
                <w:lang w:val="en-US" w:eastAsia="zh-CN"/>
              </w:rPr>
              <w:t>5</w:t>
            </w:r>
            <w:r>
              <w:rPr>
                <w:rFonts w:hint="eastAsia" w:cs="Times New Roman"/>
                <w:i w:val="0"/>
                <w:iCs w:val="0"/>
                <w:caps w:val="0"/>
                <w:color w:val="auto"/>
                <w:spacing w:val="0"/>
                <w:sz w:val="24"/>
                <w:szCs w:val="24"/>
                <w:vertAlign w:val="baseline"/>
                <w:lang w:val="en-US" w:eastAsia="zh-CN"/>
              </w:rPr>
              <w:t>：</w:t>
            </w:r>
            <w:r>
              <w:rPr>
                <w:rFonts w:hint="eastAsia" w:cs="Times New Roman"/>
                <w:i w:val="0"/>
                <w:iCs w:val="0"/>
                <w:caps w:val="0"/>
                <w:color w:val="auto"/>
                <w:spacing w:val="0"/>
                <w:sz w:val="24"/>
                <w:szCs w:val="24"/>
                <w:lang w:val="en-US" w:eastAsia="zh-CN"/>
              </w:rPr>
              <w:t>200~1300mg/L，</w:t>
            </w:r>
            <w:r>
              <w:rPr>
                <w:rFonts w:hint="eastAsia" w:cs="Times New Roman"/>
                <w:i w:val="0"/>
                <w:iCs w:val="0"/>
                <w:caps w:val="0"/>
                <w:spacing w:val="0"/>
                <w:sz w:val="24"/>
                <w:szCs w:val="24"/>
                <w:lang w:val="en-US" w:eastAsia="zh-CN"/>
              </w:rPr>
              <w:t>本项目废水水质取表1中的平均值，SS浓度类比同类项目取值600mg/L，经污水处理设施预处理后，进入市政污水管网，排入汴北污水处理厂集中处理，处理达标后排放。</w:t>
            </w:r>
          </w:p>
          <w:p w14:paraId="2231288D">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本项目生产</w:t>
            </w:r>
            <w:r>
              <w:rPr>
                <w:rFonts w:hint="default" w:ascii="Times New Roman" w:hAnsi="Times New Roman" w:eastAsia="宋体" w:cs="Times New Roman"/>
                <w:b/>
                <w:bCs/>
                <w:color w:val="auto"/>
                <w:sz w:val="24"/>
                <w:lang w:val="en-US" w:eastAsia="zh-CN"/>
              </w:rPr>
              <w:t>废</w:t>
            </w:r>
            <w:r>
              <w:rPr>
                <w:rFonts w:hint="eastAsia" w:ascii="Times New Roman" w:hAnsi="Times New Roman" w:eastAsia="宋体" w:cs="Times New Roman"/>
                <w:b/>
                <w:bCs/>
                <w:color w:val="auto"/>
                <w:sz w:val="24"/>
                <w:lang w:val="en-US" w:eastAsia="zh-CN"/>
              </w:rPr>
              <w:t>产排情况一览表</w:t>
            </w:r>
          </w:p>
          <w:tbl>
            <w:tblPr>
              <w:tblStyle w:val="36"/>
              <w:tblW w:w="8882"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054"/>
              <w:gridCol w:w="1102"/>
              <w:gridCol w:w="884"/>
              <w:gridCol w:w="1426"/>
              <w:gridCol w:w="670"/>
              <w:gridCol w:w="1191"/>
              <w:gridCol w:w="1083"/>
            </w:tblGrid>
            <w:tr w14:paraId="708F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restart"/>
                  <w:vAlign w:val="center"/>
                </w:tcPr>
                <w:p w14:paraId="7697368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废水</w:t>
                  </w:r>
                </w:p>
                <w:p w14:paraId="7DE187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类别</w:t>
                  </w:r>
                </w:p>
              </w:tc>
              <w:tc>
                <w:tcPr>
                  <w:tcW w:w="593" w:type="pct"/>
                  <w:vMerge w:val="restart"/>
                  <w:vAlign w:val="center"/>
                </w:tcPr>
                <w:p w14:paraId="1229176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污染物</w:t>
                  </w:r>
                </w:p>
                <w:p w14:paraId="26D67F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种类</w:t>
                  </w:r>
                </w:p>
              </w:tc>
              <w:tc>
                <w:tcPr>
                  <w:tcW w:w="1117" w:type="pct"/>
                  <w:gridSpan w:val="2"/>
                  <w:vAlign w:val="center"/>
                </w:tcPr>
                <w:p w14:paraId="43EE22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产生情况</w:t>
                  </w:r>
                </w:p>
              </w:tc>
              <w:tc>
                <w:tcPr>
                  <w:tcW w:w="802" w:type="pct"/>
                  <w:vMerge w:val="restart"/>
                  <w:vAlign w:val="center"/>
                </w:tcPr>
                <w:p w14:paraId="4530D8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工艺</w:t>
                  </w:r>
                </w:p>
              </w:tc>
              <w:tc>
                <w:tcPr>
                  <w:tcW w:w="377" w:type="pct"/>
                  <w:vMerge w:val="restart"/>
                  <w:vAlign w:val="center"/>
                </w:tcPr>
                <w:p w14:paraId="5979D10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治理</w:t>
                  </w:r>
                </w:p>
                <w:p w14:paraId="7F0AF8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效率</w:t>
                  </w:r>
                </w:p>
              </w:tc>
              <w:tc>
                <w:tcPr>
                  <w:tcW w:w="1280" w:type="pct"/>
                  <w:gridSpan w:val="2"/>
                  <w:vAlign w:val="center"/>
                </w:tcPr>
                <w:p w14:paraId="0D0B17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排放情况</w:t>
                  </w:r>
                </w:p>
              </w:tc>
            </w:tr>
            <w:tr w14:paraId="4298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continue"/>
                  <w:vAlign w:val="center"/>
                </w:tcPr>
                <w:p w14:paraId="2AA8D42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vMerge w:val="continue"/>
                  <w:vAlign w:val="center"/>
                </w:tcPr>
                <w:p w14:paraId="74F3888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0" w:type="pct"/>
                  <w:shd w:val="clear" w:color="auto" w:fill="auto"/>
                  <w:vAlign w:val="center"/>
                </w:tcPr>
                <w:p w14:paraId="3CBF821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产生浓度(mg/L)</w:t>
                  </w:r>
                </w:p>
              </w:tc>
              <w:tc>
                <w:tcPr>
                  <w:tcW w:w="497" w:type="pct"/>
                  <w:shd w:val="clear" w:color="auto" w:fill="auto"/>
                  <w:vAlign w:val="center"/>
                </w:tcPr>
                <w:p w14:paraId="160A11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p w14:paraId="738119E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(t/a)</w:t>
                  </w:r>
                </w:p>
              </w:tc>
              <w:tc>
                <w:tcPr>
                  <w:tcW w:w="802" w:type="pct"/>
                  <w:vMerge w:val="continue"/>
                  <w:vAlign w:val="center"/>
                </w:tcPr>
                <w:p w14:paraId="11C3D3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p>
              </w:tc>
              <w:tc>
                <w:tcPr>
                  <w:tcW w:w="377" w:type="pct"/>
                  <w:vMerge w:val="continue"/>
                  <w:vAlign w:val="center"/>
                </w:tcPr>
                <w:p w14:paraId="376D96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p>
              </w:tc>
              <w:tc>
                <w:tcPr>
                  <w:tcW w:w="670" w:type="pct"/>
                  <w:shd w:val="clear" w:color="auto" w:fill="auto"/>
                  <w:vAlign w:val="center"/>
                </w:tcPr>
                <w:p w14:paraId="4DF6140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排放浓度(mg/L)</w:t>
                  </w:r>
                </w:p>
              </w:tc>
              <w:tc>
                <w:tcPr>
                  <w:tcW w:w="609" w:type="pct"/>
                  <w:shd w:val="clear" w:color="auto" w:fill="auto"/>
                  <w:vAlign w:val="center"/>
                </w:tcPr>
                <w:p w14:paraId="459297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w:t>
                  </w:r>
                </w:p>
                <w:p w14:paraId="6654D3E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(t/a)</w:t>
                  </w:r>
                </w:p>
              </w:tc>
            </w:tr>
            <w:tr w14:paraId="461E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restart"/>
                  <w:vAlign w:val="center"/>
                </w:tcPr>
                <w:p w14:paraId="6D8FE4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纯水制备</w:t>
                  </w:r>
                  <w:r>
                    <w:rPr>
                      <w:rFonts w:hint="eastAsia" w:cs="Times New Roman"/>
                      <w:color w:val="auto"/>
                      <w:szCs w:val="21"/>
                      <w:lang w:val="en-US" w:eastAsia="zh-CN"/>
                    </w:rPr>
                    <w:t>系统</w:t>
                  </w:r>
                  <w:r>
                    <w:rPr>
                      <w:rFonts w:hint="eastAsia" w:ascii="Times New Roman" w:hAnsi="Times New Roman" w:eastAsia="宋体" w:cs="Times New Roman"/>
                      <w:color w:val="auto"/>
                      <w:szCs w:val="21"/>
                      <w:lang w:val="en-US" w:eastAsia="zh-CN"/>
                    </w:rPr>
                    <w:t>废水(1</w:t>
                  </w:r>
                  <w:r>
                    <w:rPr>
                      <w:rFonts w:hint="eastAsia" w:cs="Times New Roman"/>
                      <w:color w:val="auto"/>
                      <w:szCs w:val="21"/>
                      <w:lang w:val="en-US" w:eastAsia="zh-CN"/>
                    </w:rPr>
                    <w:t>75.71</w:t>
                  </w:r>
                  <w:r>
                    <w:rPr>
                      <w:rFonts w:hint="eastAsia" w:ascii="Times New Roman" w:hAnsi="Times New Roman" w:eastAsia="宋体" w:cs="Times New Roman"/>
                      <w:color w:val="auto"/>
                      <w:szCs w:val="21"/>
                      <w:lang w:val="en-US" w:eastAsia="zh-CN"/>
                    </w:rPr>
                    <w:t>t/a)</w:t>
                  </w:r>
                </w:p>
              </w:tc>
              <w:tc>
                <w:tcPr>
                  <w:tcW w:w="593" w:type="pct"/>
                  <w:shd w:val="clear" w:color="auto" w:fill="auto"/>
                  <w:vAlign w:val="center"/>
                </w:tcPr>
                <w:p w14:paraId="082C6BD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Cs w:val="21"/>
                      <w:lang w:val="en-US" w:eastAsia="zh-CN"/>
                    </w:rPr>
                    <w:t>pH</w:t>
                  </w:r>
                </w:p>
              </w:tc>
              <w:tc>
                <w:tcPr>
                  <w:tcW w:w="1117" w:type="pct"/>
                  <w:gridSpan w:val="2"/>
                  <w:vAlign w:val="center"/>
                </w:tcPr>
                <w:p w14:paraId="147A954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c>
                <w:tcPr>
                  <w:tcW w:w="802" w:type="pct"/>
                  <w:vMerge w:val="restart"/>
                  <w:vAlign w:val="center"/>
                </w:tcPr>
                <w:p w14:paraId="5B30FD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77" w:type="pct"/>
                  <w:vAlign w:val="center"/>
                </w:tcPr>
                <w:p w14:paraId="6C7ECD9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280" w:type="pct"/>
                  <w:gridSpan w:val="2"/>
                  <w:vAlign w:val="center"/>
                </w:tcPr>
                <w:p w14:paraId="7DF86CB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r>
            <w:tr w14:paraId="4C24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continue"/>
                  <w:vAlign w:val="center"/>
                </w:tcPr>
                <w:p w14:paraId="0D78C79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shd w:val="clear" w:color="auto" w:fill="auto"/>
                  <w:vAlign w:val="center"/>
                </w:tcPr>
                <w:p w14:paraId="55E2E2C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COD</w:t>
                  </w:r>
                </w:p>
              </w:tc>
              <w:tc>
                <w:tcPr>
                  <w:tcW w:w="620" w:type="pct"/>
                  <w:vAlign w:val="center"/>
                </w:tcPr>
                <w:p w14:paraId="3FD44C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w:t>
                  </w:r>
                </w:p>
              </w:tc>
              <w:tc>
                <w:tcPr>
                  <w:tcW w:w="497" w:type="pct"/>
                  <w:vAlign w:val="center"/>
                </w:tcPr>
                <w:p w14:paraId="2BA043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0.011</w:t>
                  </w:r>
                </w:p>
              </w:tc>
              <w:tc>
                <w:tcPr>
                  <w:tcW w:w="802" w:type="pct"/>
                  <w:vMerge w:val="continue"/>
                  <w:vAlign w:val="center"/>
                </w:tcPr>
                <w:p w14:paraId="0DAAD2B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377" w:type="pct"/>
                  <w:vAlign w:val="center"/>
                </w:tcPr>
                <w:p w14:paraId="3C0A58D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70" w:type="pct"/>
                  <w:vAlign w:val="center"/>
                </w:tcPr>
                <w:p w14:paraId="16F6BB1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w:t>
                  </w:r>
                </w:p>
              </w:tc>
              <w:tc>
                <w:tcPr>
                  <w:tcW w:w="609" w:type="pct"/>
                  <w:shd w:val="clear" w:color="auto" w:fill="auto"/>
                  <w:vAlign w:val="center"/>
                </w:tcPr>
                <w:p w14:paraId="24D586E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0.011</w:t>
                  </w:r>
                </w:p>
              </w:tc>
            </w:tr>
            <w:tr w14:paraId="29C5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continue"/>
                  <w:vAlign w:val="center"/>
                </w:tcPr>
                <w:p w14:paraId="3C2118E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shd w:val="clear" w:color="auto" w:fill="auto"/>
                  <w:vAlign w:val="center"/>
                </w:tcPr>
                <w:p w14:paraId="430D0CB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SS</w:t>
                  </w:r>
                </w:p>
              </w:tc>
              <w:tc>
                <w:tcPr>
                  <w:tcW w:w="620" w:type="pct"/>
                  <w:vAlign w:val="center"/>
                </w:tcPr>
                <w:p w14:paraId="41AC8AA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497" w:type="pct"/>
                  <w:vAlign w:val="center"/>
                </w:tcPr>
                <w:p w14:paraId="2E747A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w:t>
                  </w:r>
                  <w:r>
                    <w:rPr>
                      <w:rFonts w:hint="eastAsia" w:cs="Times New Roman"/>
                      <w:color w:val="auto"/>
                      <w:szCs w:val="21"/>
                      <w:lang w:val="en-US" w:eastAsia="zh-CN"/>
                    </w:rPr>
                    <w:t>5</w:t>
                  </w:r>
                </w:p>
              </w:tc>
              <w:tc>
                <w:tcPr>
                  <w:tcW w:w="802" w:type="pct"/>
                  <w:vMerge w:val="continue"/>
                  <w:vAlign w:val="center"/>
                </w:tcPr>
                <w:p w14:paraId="447FE5F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377" w:type="pct"/>
                  <w:vAlign w:val="center"/>
                </w:tcPr>
                <w:p w14:paraId="3419ABB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70" w:type="pct"/>
                  <w:vAlign w:val="center"/>
                </w:tcPr>
                <w:p w14:paraId="4B93786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609" w:type="pct"/>
                  <w:shd w:val="clear" w:color="auto" w:fill="auto"/>
                  <w:vAlign w:val="center"/>
                </w:tcPr>
                <w:p w14:paraId="0E1580D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0.00</w:t>
                  </w:r>
                  <w:r>
                    <w:rPr>
                      <w:rFonts w:hint="eastAsia" w:cs="Times New Roman"/>
                      <w:color w:val="auto"/>
                      <w:szCs w:val="21"/>
                      <w:lang w:val="en-US" w:eastAsia="zh-CN"/>
                    </w:rPr>
                    <w:t>5</w:t>
                  </w:r>
                </w:p>
              </w:tc>
            </w:tr>
            <w:tr w14:paraId="5275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restart"/>
                  <w:vAlign w:val="center"/>
                </w:tcPr>
                <w:p w14:paraId="38C693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CIP清洗设备废水、保洁废水、实验室</w:t>
                  </w:r>
                  <w:r>
                    <w:rPr>
                      <w:rFonts w:hint="eastAsia" w:cs="Times New Roman"/>
                      <w:color w:val="auto"/>
                      <w:szCs w:val="21"/>
                      <w:lang w:val="en-US" w:eastAsia="zh-CN"/>
                    </w:rPr>
                    <w:t>清洗</w:t>
                  </w:r>
                  <w:r>
                    <w:rPr>
                      <w:rFonts w:hint="eastAsia" w:ascii="Times New Roman" w:hAnsi="Times New Roman" w:eastAsia="宋体" w:cs="Times New Roman"/>
                      <w:color w:val="auto"/>
                      <w:szCs w:val="21"/>
                      <w:lang w:val="en-US" w:eastAsia="zh-CN"/>
                    </w:rPr>
                    <w:t>废水(543t/a)</w:t>
                  </w:r>
                </w:p>
              </w:tc>
              <w:tc>
                <w:tcPr>
                  <w:tcW w:w="593" w:type="pct"/>
                  <w:shd w:val="clear" w:color="auto" w:fill="auto"/>
                  <w:vAlign w:val="center"/>
                </w:tcPr>
                <w:p w14:paraId="48628D4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Cs w:val="21"/>
                      <w:lang w:val="en-US" w:eastAsia="zh-CN"/>
                    </w:rPr>
                    <w:t>pH</w:t>
                  </w:r>
                </w:p>
              </w:tc>
              <w:tc>
                <w:tcPr>
                  <w:tcW w:w="1117" w:type="pct"/>
                  <w:gridSpan w:val="2"/>
                  <w:vAlign w:val="center"/>
                </w:tcPr>
                <w:p w14:paraId="662EE26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c>
                <w:tcPr>
                  <w:tcW w:w="802" w:type="pct"/>
                  <w:vMerge w:val="restart"/>
                  <w:vAlign w:val="center"/>
                </w:tcPr>
                <w:p w14:paraId="0AB6C23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color w:val="auto"/>
                      <w:lang w:val="en-US" w:eastAsia="zh-CN"/>
                    </w:rPr>
                    <w:t>污水处理设施（</w:t>
                  </w:r>
                  <w:r>
                    <w:rPr>
                      <w:rFonts w:hint="eastAsia"/>
                      <w:color w:val="auto"/>
                    </w:rPr>
                    <w:t>调节池+</w:t>
                  </w:r>
                  <w:r>
                    <w:rPr>
                      <w:rFonts w:hint="eastAsia"/>
                      <w:color w:val="auto"/>
                      <w:lang w:val="en-US" w:eastAsia="zh-CN"/>
                    </w:rPr>
                    <w:t>水解酸化池+</w:t>
                  </w:r>
                  <w:r>
                    <w:rPr>
                      <w:rFonts w:hint="eastAsia"/>
                      <w:color w:val="auto"/>
                    </w:rPr>
                    <w:t>接触氧化池+沉淀池</w:t>
                  </w:r>
                  <w:r>
                    <w:rPr>
                      <w:rFonts w:hint="eastAsia"/>
                      <w:color w:val="auto"/>
                      <w:lang w:eastAsia="zh-CN"/>
                    </w:rPr>
                    <w:t>）</w:t>
                  </w:r>
                </w:p>
              </w:tc>
              <w:tc>
                <w:tcPr>
                  <w:tcW w:w="377" w:type="pct"/>
                  <w:shd w:val="clear" w:color="auto" w:fill="auto"/>
                  <w:vAlign w:val="center"/>
                </w:tcPr>
                <w:p w14:paraId="281521F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1280" w:type="pct"/>
                  <w:gridSpan w:val="2"/>
                  <w:shd w:val="clear" w:color="auto" w:fill="auto"/>
                  <w:vAlign w:val="center"/>
                </w:tcPr>
                <w:p w14:paraId="0FF8CB2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r>
            <w:tr w14:paraId="7046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continue"/>
                  <w:vAlign w:val="center"/>
                </w:tcPr>
                <w:p w14:paraId="616CCFA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shd w:val="clear" w:color="auto" w:fill="auto"/>
                  <w:vAlign w:val="center"/>
                </w:tcPr>
                <w:p w14:paraId="54CD313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COD</w:t>
                  </w:r>
                </w:p>
              </w:tc>
              <w:tc>
                <w:tcPr>
                  <w:tcW w:w="620" w:type="pct"/>
                  <w:vAlign w:val="center"/>
                </w:tcPr>
                <w:p w14:paraId="661999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1450</w:t>
                  </w:r>
                </w:p>
              </w:tc>
              <w:tc>
                <w:tcPr>
                  <w:tcW w:w="497" w:type="pct"/>
                  <w:vAlign w:val="center"/>
                </w:tcPr>
                <w:p w14:paraId="734308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0.787</w:t>
                  </w:r>
                </w:p>
              </w:tc>
              <w:tc>
                <w:tcPr>
                  <w:tcW w:w="802" w:type="pct"/>
                  <w:vMerge w:val="continue"/>
                  <w:vAlign w:val="center"/>
                </w:tcPr>
                <w:p w14:paraId="5ADE76F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377" w:type="pct"/>
                  <w:vAlign w:val="center"/>
                </w:tcPr>
                <w:p w14:paraId="308A1F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w:t>
                  </w:r>
                </w:p>
              </w:tc>
              <w:tc>
                <w:tcPr>
                  <w:tcW w:w="670" w:type="pct"/>
                  <w:vAlign w:val="center"/>
                </w:tcPr>
                <w:p w14:paraId="7EC2CE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145</w:t>
                  </w:r>
                </w:p>
              </w:tc>
              <w:tc>
                <w:tcPr>
                  <w:tcW w:w="609" w:type="pct"/>
                  <w:vAlign w:val="center"/>
                </w:tcPr>
                <w:p w14:paraId="3D60F8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0.079</w:t>
                  </w:r>
                </w:p>
              </w:tc>
            </w:tr>
            <w:tr w14:paraId="76B9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continue"/>
                  <w:vAlign w:val="center"/>
                </w:tcPr>
                <w:p w14:paraId="589FA32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shd w:val="clear" w:color="auto" w:fill="auto"/>
                  <w:vAlign w:val="center"/>
                </w:tcPr>
                <w:p w14:paraId="0AA6E7C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SS</w:t>
                  </w:r>
                </w:p>
              </w:tc>
              <w:tc>
                <w:tcPr>
                  <w:tcW w:w="620" w:type="pct"/>
                  <w:vAlign w:val="center"/>
                </w:tcPr>
                <w:p w14:paraId="6D034B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600</w:t>
                  </w:r>
                </w:p>
              </w:tc>
              <w:tc>
                <w:tcPr>
                  <w:tcW w:w="497" w:type="pct"/>
                  <w:vAlign w:val="center"/>
                </w:tcPr>
                <w:p w14:paraId="20A2FC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0.326</w:t>
                  </w:r>
                </w:p>
              </w:tc>
              <w:tc>
                <w:tcPr>
                  <w:tcW w:w="802" w:type="pct"/>
                  <w:vMerge w:val="continue"/>
                  <w:vAlign w:val="center"/>
                </w:tcPr>
                <w:p w14:paraId="5C1786B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377" w:type="pct"/>
                  <w:vAlign w:val="center"/>
                </w:tcPr>
                <w:p w14:paraId="694AF0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95%</w:t>
                  </w:r>
                </w:p>
              </w:tc>
              <w:tc>
                <w:tcPr>
                  <w:tcW w:w="670" w:type="pct"/>
                  <w:vAlign w:val="center"/>
                </w:tcPr>
                <w:p w14:paraId="264A6A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w:t>
                  </w:r>
                </w:p>
              </w:tc>
              <w:tc>
                <w:tcPr>
                  <w:tcW w:w="609" w:type="pct"/>
                  <w:vAlign w:val="center"/>
                </w:tcPr>
                <w:p w14:paraId="1206E1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0.016</w:t>
                  </w:r>
                </w:p>
              </w:tc>
            </w:tr>
            <w:tr w14:paraId="4C1C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continue"/>
                  <w:vAlign w:val="center"/>
                </w:tcPr>
                <w:p w14:paraId="27F7E9A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vAlign w:val="center"/>
                </w:tcPr>
                <w:p w14:paraId="0DAF44E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rPr>
                    <w:t>NH</w:t>
                  </w:r>
                  <w:r>
                    <w:rPr>
                      <w:rFonts w:hint="default" w:ascii="Times New Roman" w:hAnsi="Times New Roman" w:eastAsia="宋体" w:cs="Times New Roman"/>
                      <w:color w:val="auto"/>
                      <w:kern w:val="0"/>
                      <w:szCs w:val="21"/>
                      <w:vertAlign w:val="subscript"/>
                    </w:rPr>
                    <w:t>3</w:t>
                  </w:r>
                  <w:r>
                    <w:rPr>
                      <w:rFonts w:hint="default" w:ascii="Times New Roman" w:hAnsi="Times New Roman" w:eastAsia="宋体" w:cs="Times New Roman"/>
                      <w:color w:val="auto"/>
                      <w:kern w:val="0"/>
                      <w:szCs w:val="21"/>
                    </w:rPr>
                    <w:t>-N</w:t>
                  </w:r>
                </w:p>
              </w:tc>
              <w:tc>
                <w:tcPr>
                  <w:tcW w:w="620" w:type="pct"/>
                  <w:vAlign w:val="center"/>
                </w:tcPr>
                <w:p w14:paraId="66E639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45</w:t>
                  </w:r>
                </w:p>
              </w:tc>
              <w:tc>
                <w:tcPr>
                  <w:tcW w:w="497" w:type="pct"/>
                  <w:vAlign w:val="center"/>
                </w:tcPr>
                <w:p w14:paraId="5D7F6B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0.024</w:t>
                  </w:r>
                </w:p>
              </w:tc>
              <w:tc>
                <w:tcPr>
                  <w:tcW w:w="802" w:type="pct"/>
                  <w:vMerge w:val="continue"/>
                  <w:vAlign w:val="center"/>
                </w:tcPr>
                <w:p w14:paraId="522E6F7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377" w:type="pct"/>
                  <w:vAlign w:val="center"/>
                </w:tcPr>
                <w:p w14:paraId="60D0A6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w:t>
                  </w:r>
                </w:p>
              </w:tc>
              <w:tc>
                <w:tcPr>
                  <w:tcW w:w="670" w:type="pct"/>
                  <w:vAlign w:val="center"/>
                </w:tcPr>
                <w:p w14:paraId="23236E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w:t>
                  </w:r>
                </w:p>
              </w:tc>
              <w:tc>
                <w:tcPr>
                  <w:tcW w:w="609" w:type="pct"/>
                  <w:vAlign w:val="center"/>
                </w:tcPr>
                <w:p w14:paraId="5F7065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0.010</w:t>
                  </w:r>
                </w:p>
              </w:tc>
            </w:tr>
            <w:tr w14:paraId="6579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continue"/>
                  <w:vAlign w:val="center"/>
                </w:tcPr>
                <w:p w14:paraId="7F80CD4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shd w:val="clear" w:color="auto" w:fill="auto"/>
                  <w:vAlign w:val="center"/>
                </w:tcPr>
                <w:p w14:paraId="1A81014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Cs w:val="21"/>
                    </w:rPr>
                    <w:t>BOD</w:t>
                  </w:r>
                  <w:r>
                    <w:rPr>
                      <w:rFonts w:hint="eastAsia" w:ascii="Times New Roman" w:hAnsi="Times New Roman" w:eastAsia="宋体" w:cs="Times New Roman"/>
                      <w:color w:val="auto"/>
                      <w:kern w:val="0"/>
                      <w:szCs w:val="21"/>
                      <w:vertAlign w:val="subscript"/>
                      <w:lang w:val="en-US" w:eastAsia="zh-CN"/>
                    </w:rPr>
                    <w:t>5</w:t>
                  </w:r>
                </w:p>
              </w:tc>
              <w:tc>
                <w:tcPr>
                  <w:tcW w:w="620" w:type="pct"/>
                  <w:vAlign w:val="center"/>
                </w:tcPr>
                <w:p w14:paraId="60D141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750</w:t>
                  </w:r>
                </w:p>
              </w:tc>
              <w:tc>
                <w:tcPr>
                  <w:tcW w:w="497" w:type="pct"/>
                  <w:vAlign w:val="center"/>
                </w:tcPr>
                <w:p w14:paraId="52C810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0.407</w:t>
                  </w:r>
                </w:p>
              </w:tc>
              <w:tc>
                <w:tcPr>
                  <w:tcW w:w="802" w:type="pct"/>
                  <w:vMerge w:val="continue"/>
                  <w:vAlign w:val="center"/>
                </w:tcPr>
                <w:p w14:paraId="7FA2285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377" w:type="pct"/>
                  <w:vAlign w:val="center"/>
                </w:tcPr>
                <w:p w14:paraId="12D953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w:t>
                  </w:r>
                </w:p>
              </w:tc>
              <w:tc>
                <w:tcPr>
                  <w:tcW w:w="670" w:type="pct"/>
                  <w:vAlign w:val="center"/>
                </w:tcPr>
                <w:p w14:paraId="22A734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75</w:t>
                  </w:r>
                </w:p>
              </w:tc>
              <w:tc>
                <w:tcPr>
                  <w:tcW w:w="609" w:type="pct"/>
                  <w:vAlign w:val="center"/>
                </w:tcPr>
                <w:p w14:paraId="4EF09B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0.041</w:t>
                  </w:r>
                </w:p>
              </w:tc>
            </w:tr>
          </w:tbl>
          <w:p w14:paraId="527257D8">
            <w:pPr>
              <w:keepNext w:val="0"/>
              <w:keepLines w:val="0"/>
              <w:widowControl w:val="0"/>
              <w:numPr>
                <w:ilvl w:val="0"/>
                <w:numId w:val="0"/>
              </w:numPr>
              <w:suppressLineNumbers w:val="0"/>
              <w:adjustRightInd w:val="0"/>
              <w:snapToGrid w:val="0"/>
              <w:spacing w:before="0" w:beforeAutospacing="0" w:after="0" w:afterAutospacing="0" w:line="360" w:lineRule="auto"/>
              <w:ind w:left="0" w:leftChars="0" w:right="0" w:rightChars="0" w:firstLine="480" w:firstLineChars="200"/>
              <w:jc w:val="left"/>
              <w:rPr>
                <w:rFonts w:hint="eastAsia"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3</w:t>
            </w:r>
            <w:r>
              <w:rPr>
                <w:rFonts w:hint="eastAsia"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综合废水产排情况</w:t>
            </w:r>
          </w:p>
          <w:p w14:paraId="16ECB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spacing w:val="0"/>
                <w:sz w:val="24"/>
                <w:szCs w:val="24"/>
                <w:lang w:val="en-US" w:eastAsia="zh-CN"/>
              </w:rPr>
            </w:pPr>
            <w:r>
              <w:rPr>
                <w:rFonts w:hint="eastAsia" w:ascii="Times New Roman" w:hAnsi="Times New Roman" w:eastAsia="宋体" w:cs="Times New Roman"/>
                <w:i w:val="0"/>
                <w:iCs w:val="0"/>
                <w:caps w:val="0"/>
                <w:color w:val="auto"/>
                <w:spacing w:val="0"/>
                <w:sz w:val="24"/>
                <w:szCs w:val="24"/>
                <w:lang w:val="en-US" w:eastAsia="zh-CN"/>
              </w:rPr>
              <w:t>生活污水经隔油池+化粪池处理；设备清洗废水、保洁废水</w:t>
            </w:r>
            <w:r>
              <w:rPr>
                <w:rFonts w:hint="eastAsia" w:cs="Times New Roman"/>
                <w:i w:val="0"/>
                <w:iCs w:val="0"/>
                <w:caps w:val="0"/>
                <w:color w:val="auto"/>
                <w:spacing w:val="0"/>
                <w:sz w:val="24"/>
                <w:szCs w:val="24"/>
                <w:lang w:val="en-US" w:eastAsia="zh-CN"/>
              </w:rPr>
              <w:t>、实验室清洗废水</w:t>
            </w:r>
            <w:r>
              <w:rPr>
                <w:rFonts w:hint="eastAsia" w:ascii="Times New Roman" w:hAnsi="Times New Roman" w:eastAsia="宋体" w:cs="Times New Roman"/>
                <w:i w:val="0"/>
                <w:iCs w:val="0"/>
                <w:caps w:val="0"/>
                <w:color w:val="auto"/>
                <w:spacing w:val="0"/>
                <w:sz w:val="24"/>
                <w:szCs w:val="24"/>
                <w:lang w:val="en-US" w:eastAsia="zh-CN"/>
              </w:rPr>
              <w:t>经污水处理设施（调节池+水解酸化池+接触氧化池+沉淀池）处理后与纯水制</w:t>
            </w:r>
            <w:r>
              <w:rPr>
                <w:rFonts w:hint="eastAsia" w:ascii="Times New Roman" w:hAnsi="Times New Roman" w:eastAsia="宋体" w:cs="Times New Roman"/>
                <w:i w:val="0"/>
                <w:iCs w:val="0"/>
                <w:caps w:val="0"/>
                <w:spacing w:val="0"/>
                <w:sz w:val="24"/>
                <w:szCs w:val="24"/>
                <w:lang w:val="en-US" w:eastAsia="zh-CN"/>
              </w:rPr>
              <w:t>备浓水、</w:t>
            </w:r>
            <w:r>
              <w:rPr>
                <w:rFonts w:hint="eastAsia" w:cs="Times New Roman"/>
                <w:i w:val="0"/>
                <w:iCs w:val="0"/>
                <w:caps w:val="0"/>
                <w:spacing w:val="0"/>
                <w:sz w:val="24"/>
                <w:szCs w:val="24"/>
                <w:lang w:val="en-US" w:eastAsia="zh-CN"/>
              </w:rPr>
              <w:t>处理后的</w:t>
            </w:r>
            <w:r>
              <w:rPr>
                <w:rFonts w:hint="eastAsia" w:ascii="Times New Roman" w:hAnsi="Times New Roman" w:eastAsia="宋体" w:cs="Times New Roman"/>
                <w:i w:val="0"/>
                <w:iCs w:val="0"/>
                <w:caps w:val="0"/>
                <w:spacing w:val="0"/>
                <w:sz w:val="24"/>
                <w:szCs w:val="24"/>
                <w:lang w:val="en-US" w:eastAsia="zh-CN"/>
              </w:rPr>
              <w:t>生活污水一起接管排放至汴北污水处理厂达标排放。</w:t>
            </w:r>
          </w:p>
          <w:p w14:paraId="11538D4D">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本项目综合</w:t>
            </w:r>
            <w:r>
              <w:rPr>
                <w:rFonts w:hint="default" w:ascii="Times New Roman" w:hAnsi="Times New Roman" w:eastAsia="宋体" w:cs="Times New Roman"/>
                <w:b/>
                <w:bCs/>
                <w:color w:val="auto"/>
                <w:sz w:val="24"/>
                <w:lang w:val="en-US" w:eastAsia="zh-CN"/>
              </w:rPr>
              <w:t>废水</w:t>
            </w:r>
            <w:r>
              <w:rPr>
                <w:rFonts w:hint="eastAsia" w:ascii="Times New Roman" w:hAnsi="Times New Roman" w:eastAsia="宋体" w:cs="Times New Roman"/>
                <w:b/>
                <w:bCs/>
                <w:color w:val="auto"/>
                <w:sz w:val="24"/>
                <w:lang w:val="en-US" w:eastAsia="zh-CN"/>
              </w:rPr>
              <w:t>排放情况一览表</w:t>
            </w:r>
          </w:p>
          <w:tbl>
            <w:tblPr>
              <w:tblStyle w:val="36"/>
              <w:tblW w:w="8906"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116"/>
              <w:gridCol w:w="1613"/>
              <w:gridCol w:w="1215"/>
              <w:gridCol w:w="1356"/>
              <w:gridCol w:w="1077"/>
              <w:gridCol w:w="1077"/>
            </w:tblGrid>
            <w:tr w14:paraId="2A69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pct"/>
                  <w:vMerge w:val="restart"/>
                  <w:vAlign w:val="center"/>
                </w:tcPr>
                <w:p w14:paraId="2C7D20C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废水</w:t>
                  </w:r>
                </w:p>
                <w:p w14:paraId="7624F2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类别</w:t>
                  </w:r>
                </w:p>
              </w:tc>
              <w:tc>
                <w:tcPr>
                  <w:tcW w:w="626" w:type="pct"/>
                  <w:vMerge w:val="restart"/>
                  <w:vAlign w:val="center"/>
                </w:tcPr>
                <w:p w14:paraId="3C94C02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污染物</w:t>
                  </w:r>
                </w:p>
                <w:p w14:paraId="5D68AC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种类</w:t>
                  </w:r>
                </w:p>
              </w:tc>
              <w:tc>
                <w:tcPr>
                  <w:tcW w:w="905" w:type="pct"/>
                  <w:vAlign w:val="center"/>
                </w:tcPr>
                <w:p w14:paraId="4D426E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产生情况</w:t>
                  </w:r>
                </w:p>
              </w:tc>
              <w:tc>
                <w:tcPr>
                  <w:tcW w:w="1443" w:type="pct"/>
                  <w:gridSpan w:val="2"/>
                  <w:vAlign w:val="center"/>
                </w:tcPr>
                <w:p w14:paraId="5F57C7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排放情况</w:t>
                  </w:r>
                </w:p>
              </w:tc>
              <w:tc>
                <w:tcPr>
                  <w:tcW w:w="604" w:type="pct"/>
                  <w:vMerge w:val="restart"/>
                  <w:vAlign w:val="center"/>
                </w:tcPr>
                <w:p w14:paraId="09F2E6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执行标准</w:t>
                  </w:r>
                </w:p>
              </w:tc>
              <w:tc>
                <w:tcPr>
                  <w:tcW w:w="604" w:type="pct"/>
                  <w:vMerge w:val="restart"/>
                  <w:vAlign w:val="center"/>
                </w:tcPr>
                <w:p w14:paraId="2F61D055">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lang w:val="en-US" w:eastAsia="zh-CN"/>
                    </w:rPr>
                  </w:pPr>
                  <w:r>
                    <w:rPr>
                      <w:rFonts w:hint="eastAsia" w:cs="Times New Roman"/>
                      <w:color w:val="auto"/>
                      <w:szCs w:val="21"/>
                      <w:lang w:val="en-US" w:eastAsia="zh-CN"/>
                    </w:rPr>
                    <w:t>达标情况</w:t>
                  </w:r>
                </w:p>
              </w:tc>
            </w:tr>
            <w:tr w14:paraId="6D8D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Merge w:val="continue"/>
                  <w:vAlign w:val="center"/>
                </w:tcPr>
                <w:p w14:paraId="0793275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vMerge w:val="continue"/>
                  <w:vAlign w:val="center"/>
                </w:tcPr>
                <w:p w14:paraId="604A316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905" w:type="pct"/>
                  <w:shd w:val="clear" w:color="auto" w:fill="auto"/>
                  <w:vAlign w:val="center"/>
                </w:tcPr>
                <w:p w14:paraId="04682B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p w14:paraId="294710E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(t/a)</w:t>
                  </w:r>
                </w:p>
              </w:tc>
              <w:tc>
                <w:tcPr>
                  <w:tcW w:w="682" w:type="pct"/>
                  <w:shd w:val="clear" w:color="auto" w:fill="auto"/>
                  <w:vAlign w:val="center"/>
                </w:tcPr>
                <w:p w14:paraId="4F1A1B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w:t>
                  </w:r>
                </w:p>
                <w:p w14:paraId="612CFF1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(t/a)</w:t>
                  </w:r>
                </w:p>
              </w:tc>
              <w:tc>
                <w:tcPr>
                  <w:tcW w:w="761" w:type="pct"/>
                  <w:shd w:val="clear" w:color="auto" w:fill="auto"/>
                  <w:vAlign w:val="center"/>
                </w:tcPr>
                <w:p w14:paraId="02043B7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排放</w:t>
                  </w:r>
                  <w:r>
                    <w:rPr>
                      <w:rFonts w:hint="eastAsia" w:cs="Times New Roman"/>
                      <w:color w:val="auto"/>
                      <w:szCs w:val="21"/>
                      <w:lang w:val="en-US" w:eastAsia="zh-CN"/>
                    </w:rPr>
                    <w:t>浓度</w:t>
                  </w:r>
                </w:p>
                <w:p w14:paraId="0C1D3DF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(mg/L)</w:t>
                  </w:r>
                </w:p>
              </w:tc>
              <w:tc>
                <w:tcPr>
                  <w:tcW w:w="604" w:type="pct"/>
                  <w:vMerge w:val="continue"/>
                  <w:shd w:val="clear" w:color="auto" w:fill="auto"/>
                  <w:vAlign w:val="center"/>
                </w:tcPr>
                <w:p w14:paraId="46EABB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p>
              </w:tc>
              <w:tc>
                <w:tcPr>
                  <w:tcW w:w="604" w:type="pct"/>
                  <w:vMerge w:val="continue"/>
                  <w:shd w:val="clear" w:color="auto" w:fill="auto"/>
                  <w:vAlign w:val="center"/>
                </w:tcPr>
                <w:p w14:paraId="78965B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p>
              </w:tc>
            </w:tr>
            <w:tr w14:paraId="5D38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Merge w:val="restart"/>
                  <w:vAlign w:val="center"/>
                </w:tcPr>
                <w:p w14:paraId="180CCD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综合废水（</w:t>
                  </w:r>
                  <w:r>
                    <w:rPr>
                      <w:rFonts w:hint="eastAsia" w:cs="Times New Roman"/>
                      <w:color w:val="auto"/>
                      <w:szCs w:val="21"/>
                      <w:lang w:val="en-US" w:eastAsia="zh-CN"/>
                    </w:rPr>
                    <w:t>1438.7</w:t>
                  </w:r>
                  <w:r>
                    <w:rPr>
                      <w:rFonts w:hint="eastAsia" w:ascii="Times New Roman" w:hAnsi="Times New Roman" w:eastAsia="宋体" w:cs="Times New Roman"/>
                      <w:color w:val="auto"/>
                      <w:szCs w:val="21"/>
                      <w:lang w:val="en-US" w:eastAsia="zh-CN"/>
                    </w:rPr>
                    <w:t>1t/a）</w:t>
                  </w:r>
                </w:p>
              </w:tc>
              <w:tc>
                <w:tcPr>
                  <w:tcW w:w="626" w:type="pct"/>
                  <w:shd w:val="clear" w:color="auto" w:fill="auto"/>
                  <w:vAlign w:val="center"/>
                </w:tcPr>
                <w:p w14:paraId="38E77F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Cs w:val="21"/>
                      <w:lang w:val="en-US" w:eastAsia="zh-CN"/>
                    </w:rPr>
                    <w:t>pH</w:t>
                  </w:r>
                </w:p>
              </w:tc>
              <w:tc>
                <w:tcPr>
                  <w:tcW w:w="905" w:type="pct"/>
                  <w:vAlign w:val="center"/>
                </w:tcPr>
                <w:p w14:paraId="7E84E8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c>
                <w:tcPr>
                  <w:tcW w:w="1443" w:type="pct"/>
                  <w:gridSpan w:val="2"/>
                  <w:vAlign w:val="center"/>
                </w:tcPr>
                <w:p w14:paraId="3D1E57A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c>
                <w:tcPr>
                  <w:tcW w:w="604" w:type="pct"/>
                  <w:vAlign w:val="center"/>
                </w:tcPr>
                <w:p w14:paraId="35BD0F2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c>
                <w:tcPr>
                  <w:tcW w:w="604" w:type="pct"/>
                  <w:vAlign w:val="center"/>
                </w:tcPr>
                <w:p w14:paraId="3DFC23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达标</w:t>
                  </w:r>
                </w:p>
              </w:tc>
            </w:tr>
            <w:tr w14:paraId="6691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15" w:type="pct"/>
                  <w:vMerge w:val="continue"/>
                  <w:vAlign w:val="center"/>
                </w:tcPr>
                <w:p w14:paraId="569EEB3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shd w:val="clear" w:color="auto" w:fill="auto"/>
                  <w:vAlign w:val="center"/>
                </w:tcPr>
                <w:p w14:paraId="2860FC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COD</w:t>
                  </w:r>
                </w:p>
              </w:tc>
              <w:tc>
                <w:tcPr>
                  <w:tcW w:w="905" w:type="pct"/>
                  <w:shd w:val="clear" w:color="auto" w:fill="auto"/>
                  <w:vAlign w:val="center"/>
                </w:tcPr>
                <w:p w14:paraId="0905F3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1.050</w:t>
                  </w:r>
                </w:p>
              </w:tc>
              <w:tc>
                <w:tcPr>
                  <w:tcW w:w="682" w:type="pct"/>
                  <w:shd w:val="clear" w:color="auto" w:fill="auto"/>
                  <w:vAlign w:val="center"/>
                </w:tcPr>
                <w:p w14:paraId="5EA743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0.301</w:t>
                  </w:r>
                </w:p>
              </w:tc>
              <w:tc>
                <w:tcPr>
                  <w:tcW w:w="761" w:type="pct"/>
                  <w:shd w:val="clear" w:color="auto" w:fill="auto"/>
                  <w:vAlign w:val="center"/>
                </w:tcPr>
                <w:p w14:paraId="35845C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209.3</w:t>
                  </w:r>
                </w:p>
              </w:tc>
              <w:tc>
                <w:tcPr>
                  <w:tcW w:w="604" w:type="pct"/>
                  <w:shd w:val="clear" w:color="auto" w:fill="auto"/>
                  <w:vAlign w:val="center"/>
                </w:tcPr>
                <w:p w14:paraId="7D497E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360</w:t>
                  </w:r>
                </w:p>
              </w:tc>
              <w:tc>
                <w:tcPr>
                  <w:tcW w:w="604" w:type="pct"/>
                  <w:shd w:val="clear" w:color="auto" w:fill="auto"/>
                  <w:vAlign w:val="center"/>
                </w:tcPr>
                <w:p w14:paraId="5D45EBC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达标</w:t>
                  </w:r>
                </w:p>
              </w:tc>
            </w:tr>
            <w:tr w14:paraId="3F7C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5" w:type="pct"/>
                  <w:vMerge w:val="continue"/>
                  <w:vAlign w:val="center"/>
                </w:tcPr>
                <w:p w14:paraId="4C4DE35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shd w:val="clear" w:color="auto" w:fill="auto"/>
                  <w:vAlign w:val="center"/>
                </w:tcPr>
                <w:p w14:paraId="6EE324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SS</w:t>
                  </w:r>
                </w:p>
              </w:tc>
              <w:tc>
                <w:tcPr>
                  <w:tcW w:w="905" w:type="pct"/>
                  <w:shd w:val="clear" w:color="auto" w:fill="auto"/>
                  <w:vAlign w:val="center"/>
                </w:tcPr>
                <w:p w14:paraId="63DFBB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0.475</w:t>
                  </w:r>
                </w:p>
              </w:tc>
              <w:tc>
                <w:tcPr>
                  <w:tcW w:w="682" w:type="pct"/>
                  <w:shd w:val="clear" w:color="auto" w:fill="auto"/>
                  <w:vAlign w:val="center"/>
                </w:tcPr>
                <w:p w14:paraId="524EB3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0.149</w:t>
                  </w:r>
                </w:p>
              </w:tc>
              <w:tc>
                <w:tcPr>
                  <w:tcW w:w="761" w:type="pct"/>
                  <w:shd w:val="clear" w:color="auto" w:fill="auto"/>
                  <w:vAlign w:val="center"/>
                </w:tcPr>
                <w:p w14:paraId="04C77AD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103.6</w:t>
                  </w:r>
                </w:p>
              </w:tc>
              <w:tc>
                <w:tcPr>
                  <w:tcW w:w="604" w:type="pct"/>
                  <w:shd w:val="clear" w:color="auto" w:fill="auto"/>
                  <w:vAlign w:val="center"/>
                </w:tcPr>
                <w:p w14:paraId="616A6C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220</w:t>
                  </w:r>
                </w:p>
              </w:tc>
              <w:tc>
                <w:tcPr>
                  <w:tcW w:w="604" w:type="pct"/>
                  <w:shd w:val="clear" w:color="auto" w:fill="auto"/>
                  <w:vAlign w:val="center"/>
                </w:tcPr>
                <w:p w14:paraId="1A53368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达标</w:t>
                  </w:r>
                </w:p>
              </w:tc>
            </w:tr>
            <w:tr w14:paraId="1351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15" w:type="pct"/>
                  <w:vMerge w:val="continue"/>
                  <w:vAlign w:val="center"/>
                </w:tcPr>
                <w:p w14:paraId="34CB07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shd w:val="clear" w:color="auto" w:fill="auto"/>
                  <w:vAlign w:val="center"/>
                </w:tcPr>
                <w:p w14:paraId="4218C4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NH</w:t>
                  </w:r>
                  <w:r>
                    <w:rPr>
                      <w:rFonts w:hint="default" w:ascii="Times New Roman" w:hAnsi="Times New Roman" w:eastAsia="宋体" w:cs="Times New Roman"/>
                      <w:color w:val="auto"/>
                      <w:kern w:val="0"/>
                      <w:szCs w:val="21"/>
                      <w:vertAlign w:val="subscript"/>
                    </w:rPr>
                    <w:t>3</w:t>
                  </w:r>
                  <w:r>
                    <w:rPr>
                      <w:rFonts w:hint="default" w:ascii="Times New Roman" w:hAnsi="Times New Roman" w:eastAsia="宋体" w:cs="Times New Roman"/>
                      <w:color w:val="auto"/>
                      <w:kern w:val="0"/>
                      <w:szCs w:val="21"/>
                    </w:rPr>
                    <w:t>-N</w:t>
                  </w:r>
                </w:p>
              </w:tc>
              <w:tc>
                <w:tcPr>
                  <w:tcW w:w="905" w:type="pct"/>
                  <w:shd w:val="clear" w:color="auto" w:fill="auto"/>
                  <w:vAlign w:val="center"/>
                </w:tcPr>
                <w:p w14:paraId="62E318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0.046</w:t>
                  </w:r>
                </w:p>
              </w:tc>
              <w:tc>
                <w:tcPr>
                  <w:tcW w:w="682" w:type="pct"/>
                  <w:vAlign w:val="center"/>
                </w:tcPr>
                <w:p w14:paraId="34DEBF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0.032</w:t>
                  </w:r>
                </w:p>
              </w:tc>
              <w:tc>
                <w:tcPr>
                  <w:tcW w:w="761" w:type="pct"/>
                  <w:shd w:val="clear" w:color="auto" w:fill="auto"/>
                  <w:vAlign w:val="center"/>
                </w:tcPr>
                <w:p w14:paraId="3BAD1D8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22.2</w:t>
                  </w:r>
                </w:p>
              </w:tc>
              <w:tc>
                <w:tcPr>
                  <w:tcW w:w="604" w:type="pct"/>
                  <w:shd w:val="clear" w:color="auto" w:fill="auto"/>
                  <w:vAlign w:val="center"/>
                </w:tcPr>
                <w:p w14:paraId="615F40E4">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35</w:t>
                  </w:r>
                </w:p>
              </w:tc>
              <w:tc>
                <w:tcPr>
                  <w:tcW w:w="604" w:type="pct"/>
                  <w:shd w:val="clear" w:color="auto" w:fill="auto"/>
                  <w:vAlign w:val="center"/>
                </w:tcPr>
                <w:p w14:paraId="6D3A9365">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达标</w:t>
                  </w:r>
                </w:p>
              </w:tc>
            </w:tr>
            <w:tr w14:paraId="4CFA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15" w:type="pct"/>
                  <w:vMerge w:val="continue"/>
                  <w:vAlign w:val="center"/>
                </w:tcPr>
                <w:p w14:paraId="647CF8C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shd w:val="clear" w:color="auto" w:fill="auto"/>
                  <w:vAlign w:val="center"/>
                </w:tcPr>
                <w:p w14:paraId="3D2FAF0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Cs w:val="21"/>
                    </w:rPr>
                    <w:t>BOD</w:t>
                  </w:r>
                  <w:r>
                    <w:rPr>
                      <w:rFonts w:hint="eastAsia" w:ascii="Times New Roman" w:hAnsi="Times New Roman" w:eastAsia="宋体" w:cs="Times New Roman"/>
                      <w:color w:val="auto"/>
                      <w:kern w:val="0"/>
                      <w:szCs w:val="21"/>
                      <w:vertAlign w:val="subscript"/>
                      <w:lang w:val="en-US" w:eastAsia="zh-CN"/>
                    </w:rPr>
                    <w:t>5</w:t>
                  </w:r>
                </w:p>
              </w:tc>
              <w:tc>
                <w:tcPr>
                  <w:tcW w:w="905" w:type="pct"/>
                  <w:shd w:val="clear" w:color="auto" w:fill="auto"/>
                  <w:vAlign w:val="center"/>
                </w:tcPr>
                <w:p w14:paraId="46E3A6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0.407</w:t>
                  </w:r>
                </w:p>
              </w:tc>
              <w:tc>
                <w:tcPr>
                  <w:tcW w:w="682" w:type="pct"/>
                  <w:vAlign w:val="center"/>
                </w:tcPr>
                <w:p w14:paraId="7E15E5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0.041</w:t>
                  </w:r>
                </w:p>
              </w:tc>
              <w:tc>
                <w:tcPr>
                  <w:tcW w:w="761" w:type="pct"/>
                  <w:vAlign w:val="center"/>
                </w:tcPr>
                <w:p w14:paraId="1CC7CF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28.5</w:t>
                  </w:r>
                </w:p>
              </w:tc>
              <w:tc>
                <w:tcPr>
                  <w:tcW w:w="604" w:type="pct"/>
                  <w:vAlign w:val="center"/>
                </w:tcPr>
                <w:p w14:paraId="4334D029">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lang w:val="en-US" w:eastAsia="zh-CN"/>
                    </w:rPr>
                  </w:pPr>
                  <w:r>
                    <w:rPr>
                      <w:rFonts w:hint="eastAsia" w:cs="Times New Roman"/>
                      <w:color w:val="auto"/>
                      <w:szCs w:val="21"/>
                      <w:lang w:val="en-US" w:eastAsia="zh-CN"/>
                    </w:rPr>
                    <w:t>180</w:t>
                  </w:r>
                </w:p>
              </w:tc>
              <w:tc>
                <w:tcPr>
                  <w:tcW w:w="604" w:type="pct"/>
                  <w:vAlign w:val="center"/>
                </w:tcPr>
                <w:p w14:paraId="1E82242A">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达标</w:t>
                  </w:r>
                </w:p>
              </w:tc>
            </w:tr>
            <w:tr w14:paraId="1073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15" w:type="pct"/>
                  <w:vMerge w:val="continue"/>
                  <w:vAlign w:val="center"/>
                </w:tcPr>
                <w:p w14:paraId="7ACA709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shd w:val="clear" w:color="auto" w:fill="auto"/>
                  <w:vAlign w:val="center"/>
                </w:tcPr>
                <w:p w14:paraId="16D2DBE4">
                  <w:pPr>
                    <w:keepNext w:val="0"/>
                    <w:keepLines w:val="0"/>
                    <w:widowControl/>
                    <w:suppressLineNumbers w:val="0"/>
                    <w:spacing w:before="0" w:beforeAutospacing="0" w:after="0" w:afterAutospacing="0"/>
                    <w:ind w:left="0" w:leftChars="0" w:right="0" w:rightChars="0"/>
                    <w:jc w:val="center"/>
                    <w:textAlignment w:val="center"/>
                    <w:rPr>
                      <w:rFonts w:hint="default"/>
                      <w:color w:val="auto"/>
                      <w:lang w:val="en-US" w:eastAsia="zh-CN"/>
                    </w:rPr>
                  </w:pPr>
                  <w:r>
                    <w:rPr>
                      <w:rFonts w:hint="eastAsia" w:ascii="Times New Roman" w:hAnsi="Times New Roman" w:eastAsia="宋体" w:cs="Times New Roman"/>
                      <w:color w:val="auto"/>
                      <w:kern w:val="0"/>
                      <w:szCs w:val="21"/>
                      <w:lang w:val="en-US" w:eastAsia="zh-CN"/>
                    </w:rPr>
                    <w:t>TP</w:t>
                  </w:r>
                </w:p>
              </w:tc>
              <w:tc>
                <w:tcPr>
                  <w:tcW w:w="905" w:type="pct"/>
                  <w:shd w:val="clear" w:color="auto" w:fill="auto"/>
                  <w:vAlign w:val="center"/>
                </w:tcPr>
                <w:p w14:paraId="2A25D5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0.004</w:t>
                  </w:r>
                </w:p>
              </w:tc>
              <w:tc>
                <w:tcPr>
                  <w:tcW w:w="682" w:type="pct"/>
                  <w:vAlign w:val="center"/>
                </w:tcPr>
                <w:p w14:paraId="1273F3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0.003</w:t>
                  </w:r>
                </w:p>
              </w:tc>
              <w:tc>
                <w:tcPr>
                  <w:tcW w:w="761" w:type="pct"/>
                  <w:vAlign w:val="center"/>
                </w:tcPr>
                <w:p w14:paraId="3CDE26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2.1</w:t>
                  </w:r>
                </w:p>
              </w:tc>
              <w:tc>
                <w:tcPr>
                  <w:tcW w:w="604" w:type="pct"/>
                  <w:vAlign w:val="center"/>
                </w:tcPr>
                <w:p w14:paraId="1463C3B0">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lang w:val="en-US" w:eastAsia="zh-CN"/>
                    </w:rPr>
                  </w:pPr>
                  <w:r>
                    <w:rPr>
                      <w:rFonts w:hint="eastAsia" w:cs="Times New Roman"/>
                      <w:color w:val="auto"/>
                      <w:szCs w:val="21"/>
                      <w:lang w:val="en-US" w:eastAsia="zh-CN"/>
                    </w:rPr>
                    <w:t>8</w:t>
                  </w:r>
                </w:p>
              </w:tc>
              <w:tc>
                <w:tcPr>
                  <w:tcW w:w="604" w:type="pct"/>
                  <w:vAlign w:val="center"/>
                </w:tcPr>
                <w:p w14:paraId="091ED820">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达标</w:t>
                  </w:r>
                </w:p>
              </w:tc>
            </w:tr>
            <w:tr w14:paraId="0623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15" w:type="pct"/>
                  <w:vMerge w:val="continue"/>
                  <w:vAlign w:val="center"/>
                </w:tcPr>
                <w:p w14:paraId="4BDA8FE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shd w:val="clear" w:color="auto" w:fill="auto"/>
                  <w:vAlign w:val="center"/>
                </w:tcPr>
                <w:p w14:paraId="7A68661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动植物油</w:t>
                  </w:r>
                </w:p>
              </w:tc>
              <w:tc>
                <w:tcPr>
                  <w:tcW w:w="905" w:type="pct"/>
                  <w:shd w:val="clear" w:color="auto" w:fill="auto"/>
                  <w:vAlign w:val="center"/>
                </w:tcPr>
                <w:p w14:paraId="46D76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0.014</w:t>
                  </w:r>
                </w:p>
              </w:tc>
              <w:tc>
                <w:tcPr>
                  <w:tcW w:w="682" w:type="pct"/>
                  <w:vAlign w:val="center"/>
                </w:tcPr>
                <w:p w14:paraId="20FB81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0.007</w:t>
                  </w:r>
                </w:p>
              </w:tc>
              <w:tc>
                <w:tcPr>
                  <w:tcW w:w="761" w:type="pct"/>
                  <w:vAlign w:val="center"/>
                </w:tcPr>
                <w:p w14:paraId="2C0D968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4.9</w:t>
                  </w:r>
                </w:p>
              </w:tc>
              <w:tc>
                <w:tcPr>
                  <w:tcW w:w="604" w:type="pct"/>
                  <w:vAlign w:val="center"/>
                </w:tcPr>
                <w:p w14:paraId="41529608">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lang w:val="en-US" w:eastAsia="zh-CN"/>
                    </w:rPr>
                  </w:pPr>
                  <w:r>
                    <w:rPr>
                      <w:rFonts w:hint="eastAsia" w:cs="Times New Roman"/>
                      <w:color w:val="auto"/>
                      <w:szCs w:val="21"/>
                      <w:lang w:val="en-US" w:eastAsia="zh-CN"/>
                    </w:rPr>
                    <w:t>20</w:t>
                  </w:r>
                </w:p>
              </w:tc>
              <w:tc>
                <w:tcPr>
                  <w:tcW w:w="604" w:type="pct"/>
                  <w:vAlign w:val="center"/>
                </w:tcPr>
                <w:p w14:paraId="306C6B5E">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达标</w:t>
                  </w:r>
                </w:p>
              </w:tc>
            </w:tr>
          </w:tbl>
          <w:p w14:paraId="7EF9C75F">
            <w:pPr>
              <w:pStyle w:val="105"/>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sz w:val="24"/>
                <w:szCs w:val="24"/>
              </w:rPr>
            </w:pPr>
            <w:r>
              <w:rPr>
                <w:rFonts w:hint="eastAsia"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污水处理站</w:t>
            </w:r>
            <w:r>
              <w:rPr>
                <w:rFonts w:hint="default" w:ascii="Times New Roman" w:hAnsi="Times New Roman" w:eastAsia="宋体" w:cs="Times New Roman"/>
                <w:b/>
                <w:color w:val="auto"/>
                <w:sz w:val="24"/>
                <w:szCs w:val="24"/>
                <w:lang w:eastAsia="zh-CN"/>
              </w:rPr>
              <w:t>建设</w:t>
            </w:r>
            <w:r>
              <w:rPr>
                <w:rFonts w:hint="default" w:ascii="Times New Roman" w:hAnsi="Times New Roman" w:eastAsia="宋体" w:cs="Times New Roman"/>
                <w:b/>
                <w:color w:val="auto"/>
                <w:sz w:val="24"/>
                <w:szCs w:val="24"/>
              </w:rPr>
              <w:t>可行性</w:t>
            </w:r>
          </w:p>
          <w:p w14:paraId="527842CF">
            <w:pPr>
              <w:pStyle w:val="105"/>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（1）污水处理站工艺流程</w:t>
            </w:r>
          </w:p>
          <w:p w14:paraId="72153334">
            <w:pPr>
              <w:pStyle w:val="105"/>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本项目新建污水处理站，处理工艺为“调节池+水解酸化池+接触氧化池+沉淀池”</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具体工艺说明如下：</w:t>
            </w:r>
          </w:p>
          <w:p w14:paraId="1950DCCC">
            <w:pPr>
              <w:pStyle w:val="105"/>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工艺流程图如下：</w:t>
            </w:r>
          </w:p>
          <w:p w14:paraId="359D9534">
            <w:pPr>
              <w:pStyle w:val="105"/>
              <w:keepNext w:val="0"/>
              <w:keepLines w:val="0"/>
              <w:suppressLineNumbers w:val="0"/>
              <w:spacing w:before="0" w:beforeAutospacing="0" w:after="0" w:afterAutospacing="0"/>
              <w:ind w:left="0" w:right="0" w:firstLine="48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32" o:spt="75" type="#_x0000_t75" style="height:279.55pt;width:234.85pt;" o:ole="t" filled="f" stroked="f" coordsize="21600,21600">
                  <v:path/>
                  <v:fill on="f" focussize="0,0"/>
                  <v:stroke on="f"/>
                  <v:imagedata r:id="rId28" embosscolor="#FFFFFF" o:title=""/>
                  <o:lock v:ext="edit" aspectratio="t"/>
                  <w10:wrap type="none"/>
                  <w10:anchorlock/>
                </v:shape>
                <o:OLEObject Type="Embed" ProgID="RFFlow4" ShapeID="_x0000_i1032" DrawAspect="Content" ObjectID="_1468075732" r:id="rId27">
                  <o:LockedField>false</o:LockedField>
                </o:OLEObject>
              </w:object>
            </w:r>
          </w:p>
          <w:p w14:paraId="66685558">
            <w:pPr>
              <w:keepNext w:val="0"/>
              <w:keepLines w:val="0"/>
              <w:pageBreakBefore w:val="0"/>
              <w:widowControl w:val="0"/>
              <w:numPr>
                <w:ilvl w:val="0"/>
                <w:numId w:val="17"/>
              </w:numPr>
              <w:suppressLineNumbers w:val="0"/>
              <w:tabs>
                <w:tab w:val="clear" w:pos="0"/>
              </w:tabs>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color w:val="auto"/>
                <w:sz w:val="24"/>
                <w:highlight w:val="none"/>
              </w:rPr>
              <w:t>项目污水处理站处理工艺流程图</w:t>
            </w:r>
          </w:p>
          <w:p w14:paraId="04C9AEF5">
            <w:pPr>
              <w:pStyle w:val="105"/>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工艺流程简述：</w:t>
            </w:r>
          </w:p>
          <w:p w14:paraId="5BBE67E4">
            <w:pPr>
              <w:pStyle w:val="105"/>
              <w:keepNext w:val="0"/>
              <w:keepLines w:val="0"/>
              <w:suppressLineNumbers w:val="0"/>
              <w:spacing w:before="0" w:beforeAutospacing="0" w:after="0" w:afterAutospacing="0"/>
              <w:ind w:left="0" w:right="0" w:firstLine="480"/>
              <w:rPr>
                <w:rFonts w:hint="eastAsia" w:ascii="Segoe UI" w:hAnsi="Segoe UI" w:eastAsia="宋体" w:cs="Segoe UI"/>
                <w:i w:val="0"/>
                <w:iCs w:val="0"/>
                <w:caps w:val="0"/>
                <w:color w:val="0F1115"/>
                <w:spacing w:val="0"/>
                <w:sz w:val="24"/>
                <w:szCs w:val="24"/>
                <w:shd w:val="clear" w:color="auto" w:fill="FFFFFF"/>
                <w:lang w:eastAsia="zh-CN"/>
              </w:rPr>
            </w:pPr>
            <w:r>
              <w:rPr>
                <w:rFonts w:hint="eastAsia" w:eastAsia="宋体" w:cs="Times New Roman"/>
                <w:color w:val="auto"/>
                <w:sz w:val="24"/>
                <w:highlight w:val="none"/>
                <w:lang w:val="en-US" w:eastAsia="zh-CN"/>
              </w:rPr>
              <w:t>调节池：</w:t>
            </w:r>
            <w:r>
              <w:rPr>
                <w:rFonts w:hint="default" w:ascii="Segoe UI" w:hAnsi="Segoe UI" w:eastAsia="Segoe UI" w:cs="Segoe UI"/>
                <w:i w:val="0"/>
                <w:iCs w:val="0"/>
                <w:caps w:val="0"/>
                <w:color w:val="0F1115"/>
                <w:spacing w:val="0"/>
                <w:sz w:val="24"/>
                <w:szCs w:val="24"/>
                <w:shd w:val="clear" w:color="auto" w:fill="FFFFFF"/>
              </w:rPr>
              <w:t>均质均量。收集不同时段、不同浓度的来水（如间歇排放的CIP废水），使其水量和水质趋于稳定，为后续生物处理单元提供稳定的进水条件</w:t>
            </w:r>
            <w:r>
              <w:rPr>
                <w:rFonts w:hint="eastAsia" w:ascii="Segoe UI" w:hAnsi="Segoe UI" w:eastAsia="宋体" w:cs="Segoe UI"/>
                <w:i w:val="0"/>
                <w:iCs w:val="0"/>
                <w:caps w:val="0"/>
                <w:color w:val="0F1115"/>
                <w:spacing w:val="0"/>
                <w:sz w:val="24"/>
                <w:szCs w:val="24"/>
                <w:shd w:val="clear" w:color="auto" w:fill="FFFFFF"/>
                <w:lang w:eastAsia="zh-CN"/>
              </w:rPr>
              <w:t>。</w:t>
            </w:r>
          </w:p>
          <w:p w14:paraId="4746AF71">
            <w:pPr>
              <w:pStyle w:val="105"/>
              <w:keepNext w:val="0"/>
              <w:keepLines w:val="0"/>
              <w:suppressLineNumbers w:val="0"/>
              <w:spacing w:before="0" w:beforeAutospacing="0" w:after="0" w:afterAutospacing="0"/>
              <w:ind w:left="0" w:right="0" w:firstLine="480"/>
              <w:rPr>
                <w:rFonts w:hint="default" w:ascii="Segoe UI" w:hAnsi="Segoe UI" w:eastAsia="Segoe UI" w:cs="Segoe UI"/>
                <w:i w:val="0"/>
                <w:iCs w:val="0"/>
                <w:caps w:val="0"/>
                <w:color w:val="0F1115"/>
                <w:spacing w:val="0"/>
                <w:sz w:val="24"/>
                <w:szCs w:val="24"/>
                <w:shd w:val="clear" w:color="auto" w:fill="FFFFFF"/>
              </w:rPr>
            </w:pPr>
            <w:r>
              <w:rPr>
                <w:rFonts w:hint="eastAsia" w:ascii="Segoe UI" w:hAnsi="Segoe UI" w:eastAsia="宋体" w:cs="Segoe UI"/>
                <w:i w:val="0"/>
                <w:iCs w:val="0"/>
                <w:caps w:val="0"/>
                <w:color w:val="0F1115"/>
                <w:spacing w:val="0"/>
                <w:sz w:val="24"/>
                <w:szCs w:val="24"/>
                <w:shd w:val="clear" w:color="auto" w:fill="FFFFFF"/>
                <w:lang w:val="en-US" w:eastAsia="zh-CN"/>
              </w:rPr>
              <w:t>水解酸化池：</w:t>
            </w:r>
            <w:r>
              <w:rPr>
                <w:rFonts w:hint="default" w:ascii="Segoe UI" w:hAnsi="Segoe UI" w:eastAsia="Segoe UI" w:cs="Segoe UI"/>
                <w:i w:val="0"/>
                <w:iCs w:val="0"/>
                <w:caps w:val="0"/>
                <w:color w:val="0F1115"/>
                <w:spacing w:val="0"/>
                <w:sz w:val="24"/>
                <w:szCs w:val="24"/>
                <w:shd w:val="clear" w:color="auto" w:fill="FFFFFF"/>
              </w:rPr>
              <w:t>预处理与改善可生化性。在厌氧或缺氧条件下，利用水解酸化菌将废水中大分子、难降解的有机物（如油脂、蛋白质、表面活性剂等）分解为小分子、易降解的有机物（如有机酸、醇类）。这为后续好氧生物处理创造了有利条件，能有效提高整体处理效率。</w:t>
            </w:r>
          </w:p>
          <w:p w14:paraId="4AA68289">
            <w:pPr>
              <w:pStyle w:val="105"/>
              <w:keepNext w:val="0"/>
              <w:keepLines w:val="0"/>
              <w:suppressLineNumbers w:val="0"/>
              <w:spacing w:before="0" w:beforeAutospacing="0" w:after="0" w:afterAutospacing="0"/>
              <w:ind w:left="0" w:right="0" w:firstLine="480"/>
              <w:rPr>
                <w:rFonts w:hint="default" w:ascii="Segoe UI" w:hAnsi="Segoe UI" w:eastAsia="Segoe UI" w:cs="Segoe UI"/>
                <w:i w:val="0"/>
                <w:iCs w:val="0"/>
                <w:caps w:val="0"/>
                <w:color w:val="0F1115"/>
                <w:spacing w:val="0"/>
                <w:sz w:val="24"/>
                <w:szCs w:val="24"/>
                <w:shd w:val="clear" w:color="auto" w:fill="FFFFFF"/>
              </w:rPr>
            </w:pPr>
            <w:r>
              <w:rPr>
                <w:rFonts w:hint="eastAsia" w:ascii="Segoe UI" w:hAnsi="Segoe UI" w:eastAsia="宋体" w:cs="Segoe UI"/>
                <w:i w:val="0"/>
                <w:iCs w:val="0"/>
                <w:caps w:val="0"/>
                <w:color w:val="0F1115"/>
                <w:spacing w:val="0"/>
                <w:sz w:val="24"/>
                <w:szCs w:val="24"/>
                <w:shd w:val="clear" w:color="auto" w:fill="FFFFFF"/>
                <w:lang w:val="en-US" w:eastAsia="zh-CN"/>
              </w:rPr>
              <w:t>接触氧化池：</w:t>
            </w:r>
            <w:r>
              <w:rPr>
                <w:rFonts w:hint="default" w:ascii="Segoe UI" w:hAnsi="Segoe UI" w:eastAsia="Segoe UI" w:cs="Segoe UI"/>
                <w:i w:val="0"/>
                <w:iCs w:val="0"/>
                <w:caps w:val="0"/>
                <w:color w:val="0F1115"/>
                <w:spacing w:val="0"/>
                <w:sz w:val="24"/>
                <w:szCs w:val="24"/>
                <w:shd w:val="clear" w:color="auto" w:fill="FFFFFF"/>
              </w:rPr>
              <w:t>在曝气供氧条件下，附着在填料（载体）上的好氧微生物（生物膜）大量繁殖，将废水中的小分子有机物（来自水解酸化产物及原水中的可生化部分）吸附并氧化分解为二氧化碳和水，同时去除氨氮（硝化作用）。</w:t>
            </w:r>
          </w:p>
          <w:p w14:paraId="721D7E8F">
            <w:pPr>
              <w:pStyle w:val="105"/>
              <w:keepNext w:val="0"/>
              <w:keepLines w:val="0"/>
              <w:suppressLineNumbers w:val="0"/>
              <w:spacing w:before="0" w:beforeAutospacing="0" w:after="0" w:afterAutospacing="0"/>
              <w:ind w:left="0" w:right="0" w:firstLine="480"/>
              <w:rPr>
                <w:rFonts w:hint="default" w:ascii="Segoe UI" w:hAnsi="Segoe UI" w:eastAsia="Segoe UI" w:cs="Segoe UI"/>
                <w:i w:val="0"/>
                <w:iCs w:val="0"/>
                <w:caps w:val="0"/>
                <w:color w:val="0F1115"/>
                <w:spacing w:val="0"/>
                <w:sz w:val="24"/>
                <w:szCs w:val="24"/>
                <w:shd w:val="clear" w:color="auto" w:fill="FFFFFF"/>
              </w:rPr>
            </w:pPr>
            <w:r>
              <w:rPr>
                <w:rFonts w:hint="eastAsia" w:ascii="Segoe UI" w:hAnsi="Segoe UI" w:eastAsia="宋体" w:cs="Segoe UI"/>
                <w:i w:val="0"/>
                <w:iCs w:val="0"/>
                <w:caps w:val="0"/>
                <w:color w:val="0F1115"/>
                <w:spacing w:val="0"/>
                <w:sz w:val="24"/>
                <w:szCs w:val="24"/>
                <w:shd w:val="clear" w:color="auto" w:fill="FFFFFF"/>
                <w:lang w:val="en-US" w:eastAsia="zh-CN"/>
              </w:rPr>
              <w:t>沉淀池：</w:t>
            </w:r>
            <w:r>
              <w:rPr>
                <w:rFonts w:hint="default" w:ascii="Segoe UI" w:hAnsi="Segoe UI" w:eastAsia="Segoe UI" w:cs="Segoe UI"/>
                <w:i w:val="0"/>
                <w:iCs w:val="0"/>
                <w:caps w:val="0"/>
                <w:color w:val="0F1115"/>
                <w:spacing w:val="0"/>
                <w:sz w:val="24"/>
                <w:szCs w:val="24"/>
                <w:shd w:val="clear" w:color="auto" w:fill="FFFFFF"/>
              </w:rPr>
              <w:t>固液分离。将接触氧化池出水中携带的脱落生物膜（老化污泥）通过重力沉降进行分离，确保出水清澈。上清液进入下一单元，沉淀污泥部分可回流至水解酸化池或接触氧化池前端，剩余污泥则排放处置。</w:t>
            </w:r>
          </w:p>
          <w:p w14:paraId="07E0A555">
            <w:pPr>
              <w:pStyle w:val="34"/>
              <w:keepNext w:val="0"/>
              <w:keepLines w:val="0"/>
              <w:suppressLineNumbers w:val="0"/>
              <w:tabs>
                <w:tab w:val="left" w:pos="420"/>
                <w:tab w:val="left" w:pos="870"/>
                <w:tab w:val="left" w:pos="3150"/>
              </w:tabs>
              <w:spacing w:before="0" w:beforeAutospacing="0" w:after="0" w:afterAutospacing="0" w:line="360" w:lineRule="auto"/>
              <w:ind w:left="0" w:leftChars="0" w:right="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（2）水量处理可行性</w:t>
            </w:r>
          </w:p>
          <w:p w14:paraId="6C2577FB">
            <w:pPr>
              <w:pStyle w:val="34"/>
              <w:keepNext w:val="0"/>
              <w:keepLines w:val="0"/>
              <w:suppressLineNumbers w:val="0"/>
              <w:tabs>
                <w:tab w:val="left" w:pos="420"/>
                <w:tab w:val="left" w:pos="870"/>
                <w:tab w:val="left" w:pos="3150"/>
              </w:tabs>
              <w:spacing w:before="0" w:beforeAutospacing="0" w:after="0" w:afterAutospacing="0" w:line="360" w:lineRule="auto"/>
              <w:ind w:left="0" w:leftChars="0" w:right="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本项目污水处理站处理规模为</w:t>
            </w:r>
            <w:r>
              <w:rPr>
                <w:rFonts w:hint="eastAsia"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t/d，项目</w:t>
            </w:r>
            <w:r>
              <w:rPr>
                <w:rFonts w:hint="default" w:ascii="Times New Roman" w:hAnsi="Times New Roman" w:eastAsia="宋体" w:cs="Times New Roman"/>
                <w:color w:val="auto"/>
                <w:sz w:val="24"/>
                <w:highlight w:val="none"/>
                <w:lang w:val="en-US" w:eastAsia="zh-CN"/>
              </w:rPr>
              <w:t>建成</w:t>
            </w:r>
            <w:r>
              <w:rPr>
                <w:rFonts w:hint="default" w:ascii="Times New Roman" w:hAnsi="Times New Roman" w:eastAsia="宋体" w:cs="Times New Roman"/>
                <w:color w:val="auto"/>
                <w:sz w:val="24"/>
                <w:highlight w:val="none"/>
              </w:rPr>
              <w:t>后全厂进入厂区污水处理站的废水量为</w:t>
            </w:r>
            <w:r>
              <w:rPr>
                <w:rFonts w:hint="eastAsia" w:eastAsia="宋体" w:cs="Times New Roman"/>
                <w:color w:val="auto"/>
                <w:sz w:val="24"/>
                <w:highlight w:val="none"/>
                <w:lang w:val="en-US" w:eastAsia="zh-CN"/>
              </w:rPr>
              <w:t>1.78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/d，可知污水处理站能够满足项目生产废水处理需求。因此从水量角度看，污水处理站规模合理。</w:t>
            </w:r>
          </w:p>
          <w:p w14:paraId="54CB98E3">
            <w:pPr>
              <w:keepNext w:val="0"/>
              <w:keepLines w:val="0"/>
              <w:widowControl w:val="0"/>
              <w:suppressLineNumbers w:val="0"/>
              <w:tabs>
                <w:tab w:val="left" w:pos="420"/>
                <w:tab w:val="left" w:pos="870"/>
                <w:tab w:val="left" w:pos="3150"/>
              </w:tabs>
              <w:spacing w:before="0" w:beforeAutospacing="0" w:after="0" w:afterAutospacing="0" w:line="360" w:lineRule="auto"/>
              <w:ind w:left="0" w:leftChars="0" w:right="0"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）废水处理措施的可行性分析</w:t>
            </w:r>
          </w:p>
          <w:p w14:paraId="2ACCA63C">
            <w:pPr>
              <w:pStyle w:val="34"/>
              <w:keepNext w:val="0"/>
              <w:keepLines w:val="0"/>
              <w:suppressLineNumbers w:val="0"/>
              <w:tabs>
                <w:tab w:val="left" w:pos="420"/>
                <w:tab w:val="left" w:pos="870"/>
                <w:tab w:val="left" w:pos="3150"/>
              </w:tabs>
              <w:spacing w:before="0" w:beforeAutospacing="0" w:after="0" w:afterAutospacing="0" w:line="360" w:lineRule="auto"/>
              <w:ind w:left="0" w:leftChars="0" w:right="0" w:firstLine="0" w:firstLineChars="0"/>
              <w:jc w:val="center"/>
              <w:rPr>
                <w:rFonts w:hint="default"/>
              </w:rPr>
            </w:pPr>
            <w:r>
              <w:rPr>
                <w:rFonts w:hint="default"/>
              </w:rPr>
              <w:drawing>
                <wp:inline distT="0" distB="0" distL="114300" distR="114300">
                  <wp:extent cx="4833620" cy="4225290"/>
                  <wp:effectExtent l="0" t="0" r="5080" b="381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29"/>
                          <a:stretch>
                            <a:fillRect/>
                          </a:stretch>
                        </pic:blipFill>
                        <pic:spPr>
                          <a:xfrm>
                            <a:off x="0" y="0"/>
                            <a:ext cx="4833620" cy="4225290"/>
                          </a:xfrm>
                          <a:prstGeom prst="rect">
                            <a:avLst/>
                          </a:prstGeom>
                          <a:noFill/>
                          <a:ln>
                            <a:noFill/>
                          </a:ln>
                        </pic:spPr>
                      </pic:pic>
                    </a:graphicData>
                  </a:graphic>
                </wp:inline>
              </w:drawing>
            </w:r>
          </w:p>
          <w:p w14:paraId="62B191CB">
            <w:pPr>
              <w:keepNext w:val="0"/>
              <w:keepLines w:val="0"/>
              <w:pageBreakBefore w:val="0"/>
              <w:widowControl w:val="0"/>
              <w:numPr>
                <w:ilvl w:val="0"/>
                <w:numId w:val="17"/>
              </w:numPr>
              <w:suppressLineNumbers w:val="0"/>
              <w:tabs>
                <w:tab w:val="clear" w:pos="0"/>
              </w:tabs>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Cs/>
                <w:color w:val="auto"/>
                <w:sz w:val="24"/>
                <w:highlight w:val="none"/>
              </w:rPr>
            </w:pPr>
            <w:r>
              <w:rPr>
                <w:rFonts w:hint="eastAsia" w:eastAsia="宋体" w:cs="Times New Roman"/>
                <w:b/>
                <w:color w:val="auto"/>
                <w:sz w:val="24"/>
                <w:highlight w:val="none"/>
                <w:lang w:val="en-US" w:eastAsia="zh-CN"/>
              </w:rPr>
              <w:t>饮料制造废水污染治理工艺</w:t>
            </w:r>
            <w:r>
              <w:rPr>
                <w:rFonts w:hint="default" w:ascii="Times New Roman" w:hAnsi="Times New Roman" w:eastAsia="宋体" w:cs="Times New Roman"/>
                <w:b/>
                <w:color w:val="auto"/>
                <w:sz w:val="24"/>
                <w:highlight w:val="none"/>
              </w:rPr>
              <w:t>流程图</w:t>
            </w:r>
          </w:p>
          <w:p w14:paraId="7F5F843F">
            <w:pPr>
              <w:pStyle w:val="34"/>
              <w:keepNext w:val="0"/>
              <w:keepLines w:val="0"/>
              <w:suppressLineNumbers w:val="0"/>
              <w:tabs>
                <w:tab w:val="left" w:pos="420"/>
                <w:tab w:val="left" w:pos="870"/>
                <w:tab w:val="left" w:pos="3150"/>
              </w:tabs>
              <w:spacing w:before="0" w:beforeAutospacing="0" w:after="0" w:afterAutospacing="0" w:line="360" w:lineRule="auto"/>
              <w:ind w:left="0" w:leftChars="0" w:right="0" w:firstLine="480"/>
              <w:rPr>
                <w:rFonts w:hint="default"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本项目拟采取的废水处理工艺为“</w:t>
            </w:r>
            <w:r>
              <w:rPr>
                <w:rFonts w:hint="default" w:ascii="Times New Roman" w:hAnsi="Times New Roman" w:eastAsia="宋体" w:cs="Times New Roman"/>
                <w:color w:val="auto"/>
                <w:sz w:val="24"/>
                <w:highlight w:val="none"/>
                <w:lang w:val="en-US" w:eastAsia="zh-CN"/>
              </w:rPr>
              <w:t>调节池+水解酸化池+接触氧化池+沉淀池</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对照</w:t>
            </w:r>
            <w:r>
              <w:rPr>
                <w:rFonts w:hint="eastAsia" w:ascii="Times New Roman" w:hAnsi="Times New Roman" w:eastAsia="宋体" w:cs="Times New Roman"/>
                <w:color w:val="auto"/>
                <w:sz w:val="24"/>
                <w:highlight w:val="none"/>
                <w:lang w:val="en-US" w:eastAsia="zh-CN"/>
              </w:rPr>
              <w:t>《饮料制造废水治理工程技术规范》（HJ2048-2015），</w:t>
            </w:r>
            <w:r>
              <w:rPr>
                <w:rFonts w:hint="eastAsia" w:eastAsia="宋体" w:cs="Times New Roman"/>
                <w:color w:val="auto"/>
                <w:sz w:val="24"/>
                <w:highlight w:val="none"/>
                <w:lang w:val="en-US" w:eastAsia="zh-CN"/>
              </w:rPr>
              <w:t>推荐处理工艺为“格栅+调节池+初沉池+厌氧处理+好氧处理”，工艺基本一致，该工艺成熟可靠，能够确保本项目生产废水经处理后，稳定达到《污水综合排放标准》（GB8978-1996）三级标准及《食品加工制造业水污染物排放标准》（GB 46817-2025），并满足汴北污水处理厂的接管要求。因此，本项目所采取的废水处理措施在技术上是可行的。</w:t>
            </w:r>
          </w:p>
          <w:p w14:paraId="66FC2D3B">
            <w:pPr>
              <w:keepNext w:val="0"/>
              <w:keepLines w:val="0"/>
              <w:numPr>
                <w:ilvl w:val="0"/>
                <w:numId w:val="14"/>
              </w:numPr>
              <w:suppressLineNumbers w:val="0"/>
              <w:adjustRightInd w:val="0"/>
              <w:snapToGrid w:val="0"/>
              <w:spacing w:before="0" w:beforeAutospacing="0" w:after="0" w:afterAutospacing="0" w:line="360" w:lineRule="auto"/>
              <w:ind w:left="0" w:leftChars="0" w:right="0"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依托</w:t>
            </w:r>
            <w:r>
              <w:rPr>
                <w:rFonts w:hint="eastAsia" w:ascii="Times New Roman" w:hAnsi="Times New Roman" w:eastAsia="宋体" w:cs="Times New Roman"/>
                <w:b/>
                <w:bCs/>
                <w:color w:val="auto"/>
                <w:sz w:val="24"/>
              </w:rPr>
              <w:t>宿州市</w:t>
            </w:r>
            <w:r>
              <w:rPr>
                <w:rFonts w:hint="eastAsia" w:cs="Times New Roman"/>
                <w:b/>
                <w:bCs/>
                <w:color w:val="auto"/>
                <w:sz w:val="24"/>
                <w:lang w:val="en-US" w:eastAsia="zh-CN"/>
              </w:rPr>
              <w:t>汴北</w:t>
            </w:r>
            <w:r>
              <w:rPr>
                <w:rFonts w:hint="eastAsia" w:ascii="Times New Roman" w:hAnsi="Times New Roman" w:eastAsia="宋体" w:cs="Times New Roman"/>
                <w:b/>
                <w:bCs/>
                <w:color w:val="auto"/>
                <w:sz w:val="24"/>
              </w:rPr>
              <w:t>污水处理厂</w:t>
            </w:r>
            <w:r>
              <w:rPr>
                <w:rFonts w:hint="default" w:ascii="Times New Roman" w:hAnsi="Times New Roman" w:eastAsia="宋体" w:cs="Times New Roman"/>
                <w:b/>
                <w:bCs/>
                <w:color w:val="auto"/>
                <w:sz w:val="24"/>
              </w:rPr>
              <w:t>的可行性分析</w:t>
            </w:r>
          </w:p>
          <w:p w14:paraId="13C4A1E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（1）污水处理厂概况</w:t>
            </w:r>
          </w:p>
          <w:p w14:paraId="61234A5D">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宿州市汴北污水处理厂于2017年建设，一期工程2018年6月底完工，安徽宿州市汴北污水处理厂采用较为先进的污水处理工艺改良A</w:t>
            </w:r>
            <w:r>
              <w:rPr>
                <w:rFonts w:hint="default" w:ascii="Times New Roman" w:hAnsi="Times New Roman" w:eastAsia="宋体" w:cs="Times New Roman"/>
                <w:color w:val="000000"/>
                <w:sz w:val="24"/>
                <w:vertAlign w:val="superscript"/>
              </w:rPr>
              <w:t>2</w:t>
            </w:r>
            <w:r>
              <w:rPr>
                <w:rFonts w:hint="default" w:ascii="Times New Roman" w:hAnsi="Times New Roman" w:eastAsia="宋体" w:cs="Times New Roman"/>
                <w:color w:val="000000"/>
                <w:sz w:val="24"/>
              </w:rPr>
              <w:t>/O，其设计规模为5万m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rPr>
              <w:t>/d，项目投资近30919.34万元，宿州市汴北污水处理厂建设地点：北邻汴北新区唐河路，东侧为规划中的晓岚路，南接泗州路206国道东段，西接刘香庄居民区。</w:t>
            </w:r>
          </w:p>
          <w:p w14:paraId="40F7793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Courier New" w:cs="Times New Roman"/>
                <w:color w:val="000000"/>
                <w:sz w:val="24"/>
              </w:rPr>
            </w:pP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val="en-US" w:eastAsia="zh-CN"/>
              </w:rPr>
              <w:t>2）</w:t>
            </w:r>
            <w:r>
              <w:rPr>
                <w:rFonts w:hint="default" w:ascii="Times New Roman" w:hAnsi="Times New Roman" w:eastAsia="Courier New" w:cs="Times New Roman"/>
                <w:color w:val="000000"/>
                <w:sz w:val="24"/>
              </w:rPr>
              <w:t>水质可行性分析</w:t>
            </w:r>
          </w:p>
          <w:p w14:paraId="54C3FCA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Courier New" w:cs="Times New Roman"/>
                <w:color w:val="000000"/>
                <w:sz w:val="24"/>
              </w:rPr>
            </w:pPr>
            <w:r>
              <w:rPr>
                <w:rFonts w:hint="default" w:ascii="Times New Roman" w:hAnsi="Times New Roman" w:eastAsia="Courier New" w:cs="Times New Roman"/>
                <w:color w:val="000000"/>
                <w:sz w:val="24"/>
              </w:rPr>
              <w:t>由工程分析可知，该项目废水</w:t>
            </w:r>
            <w:r>
              <w:rPr>
                <w:rFonts w:hint="default" w:ascii="Times New Roman" w:hAnsi="Times New Roman" w:eastAsia="宋体" w:cs="Times New Roman"/>
                <w:color w:val="000000"/>
                <w:sz w:val="24"/>
              </w:rPr>
              <w:t>主要污染物为COD、NH</w:t>
            </w:r>
            <w:r>
              <w:rPr>
                <w:rFonts w:hint="default" w:ascii="Times New Roman" w:hAnsi="Times New Roman" w:eastAsia="宋体" w:cs="Times New Roman"/>
                <w:color w:val="000000"/>
                <w:sz w:val="24"/>
                <w:vertAlign w:val="subscript"/>
              </w:rPr>
              <w:t>3</w:t>
            </w:r>
            <w:r>
              <w:rPr>
                <w:rFonts w:hint="default" w:ascii="Times New Roman" w:hAnsi="Times New Roman" w:eastAsia="宋体" w:cs="Times New Roman"/>
                <w:color w:val="000000"/>
                <w:sz w:val="24"/>
              </w:rPr>
              <w:t>-N、SS、BOD</w:t>
            </w:r>
            <w:r>
              <w:rPr>
                <w:rFonts w:hint="default" w:ascii="Times New Roman" w:hAnsi="Times New Roman" w:eastAsia="宋体" w:cs="Times New Roman"/>
                <w:color w:val="000000"/>
                <w:sz w:val="24"/>
                <w:vertAlign w:val="subscript"/>
              </w:rPr>
              <w:t>5</w:t>
            </w:r>
            <w:r>
              <w:rPr>
                <w:rFonts w:hint="eastAsia" w:cs="Times New Roman"/>
                <w:color w:val="000000"/>
                <w:sz w:val="24"/>
                <w:vertAlign w:val="baseline"/>
                <w:lang w:eastAsia="zh-CN"/>
              </w:rPr>
              <w:t>、</w:t>
            </w:r>
            <w:r>
              <w:rPr>
                <w:rFonts w:hint="eastAsia" w:cs="Times New Roman"/>
                <w:color w:val="000000"/>
                <w:sz w:val="24"/>
                <w:vertAlign w:val="baseline"/>
                <w:lang w:val="en-US" w:eastAsia="zh-CN"/>
              </w:rPr>
              <w:t>TP、动植物油</w:t>
            </w:r>
            <w:r>
              <w:rPr>
                <w:rFonts w:hint="default" w:ascii="Times New Roman" w:hAnsi="Times New Roman" w:eastAsia="Courier New" w:cs="Times New Roman"/>
                <w:color w:val="000000"/>
                <w:sz w:val="24"/>
              </w:rPr>
              <w:t>，水污染</w:t>
            </w:r>
            <w:r>
              <w:rPr>
                <w:rFonts w:hint="eastAsia" w:eastAsia="宋体" w:cs="Times New Roman"/>
                <w:color w:val="000000"/>
                <w:sz w:val="24"/>
                <w:lang w:val="en-US" w:eastAsia="zh-CN"/>
              </w:rPr>
              <w:t>因子</w:t>
            </w:r>
            <w:r>
              <w:rPr>
                <w:rFonts w:hint="default" w:ascii="Times New Roman" w:hAnsi="Times New Roman" w:eastAsia="Courier New" w:cs="Times New Roman"/>
                <w:color w:val="000000"/>
                <w:sz w:val="24"/>
              </w:rPr>
              <w:t>为常规因子，在总排口水质可以达到</w:t>
            </w:r>
            <w:r>
              <w:rPr>
                <w:rFonts w:hint="default" w:ascii="Times New Roman" w:hAnsi="Times New Roman" w:eastAsia="宋体" w:cs="Times New Roman"/>
                <w:color w:val="000000"/>
                <w:sz w:val="24"/>
              </w:rPr>
              <w:t>汴北污水处理厂</w:t>
            </w:r>
            <w:r>
              <w:rPr>
                <w:rFonts w:hint="default" w:ascii="Times New Roman" w:hAnsi="Times New Roman" w:eastAsia="Courier New" w:cs="Times New Roman"/>
                <w:color w:val="000000"/>
                <w:sz w:val="24"/>
              </w:rPr>
              <w:t>接管</w:t>
            </w:r>
            <w:r>
              <w:rPr>
                <w:rFonts w:hint="default" w:ascii="Times New Roman" w:hAnsi="Times New Roman" w:eastAsia="宋体" w:cs="Times New Roman"/>
                <w:color w:val="000000"/>
                <w:sz w:val="24"/>
              </w:rPr>
              <w:t>限值</w:t>
            </w:r>
            <w:r>
              <w:rPr>
                <w:rFonts w:hint="default" w:ascii="Times New Roman" w:hAnsi="Times New Roman" w:eastAsia="Courier New" w:cs="Times New Roman"/>
                <w:color w:val="000000"/>
                <w:sz w:val="24"/>
              </w:rPr>
              <w:t>要求，不会对区域地表水环境产生不利影响，项目废水水质不会对污水处理厂处理工艺造成冲击。</w:t>
            </w:r>
          </w:p>
          <w:p w14:paraId="5AEF0C9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3</w:t>
            </w:r>
            <w:r>
              <w:rPr>
                <w:rFonts w:hint="default" w:ascii="Times New Roman" w:hAnsi="Times New Roman" w:eastAsia="宋体" w:cs="Times New Roman"/>
                <w:color w:val="000000"/>
                <w:sz w:val="24"/>
                <w:lang w:eastAsia="zh-CN"/>
              </w:rPr>
              <w:t>）</w:t>
            </w:r>
            <w:r>
              <w:rPr>
                <w:rFonts w:hint="default" w:ascii="Times New Roman" w:hAnsi="Times New Roman" w:eastAsia="Courier New" w:cs="Times New Roman"/>
                <w:color w:val="000000"/>
                <w:sz w:val="24"/>
              </w:rPr>
              <w:t>水量可行性分析</w:t>
            </w:r>
          </w:p>
          <w:p w14:paraId="2E075E3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Courier New" w:cs="Times New Roman"/>
                <w:color w:val="000000"/>
                <w:sz w:val="24"/>
              </w:rPr>
            </w:pPr>
            <w:r>
              <w:rPr>
                <w:rFonts w:hint="default" w:ascii="Times New Roman" w:hAnsi="Times New Roman" w:eastAsia="宋体" w:cs="Times New Roman"/>
                <w:color w:val="000000"/>
                <w:sz w:val="24"/>
              </w:rPr>
              <w:t>汴北污水处理厂先期污水处理设计规模为5万m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rPr>
              <w:t>/d</w:t>
            </w:r>
            <w:r>
              <w:rPr>
                <w:rFonts w:hint="eastAsia" w:eastAsia="宋体" w:cs="Times New Roman"/>
                <w:color w:val="000000"/>
                <w:sz w:val="24"/>
                <w:lang w:eastAsia="zh-CN"/>
              </w:rPr>
              <w:t>，</w:t>
            </w:r>
            <w:r>
              <w:rPr>
                <w:rFonts w:hint="eastAsia" w:eastAsia="宋体" w:cs="Times New Roman"/>
                <w:color w:val="000000"/>
                <w:sz w:val="24"/>
                <w:lang w:val="en-US" w:eastAsia="zh-CN"/>
              </w:rPr>
              <w:t>目前收水量为2.6万m</w:t>
            </w:r>
            <w:r>
              <w:rPr>
                <w:rFonts w:hint="eastAsia" w:eastAsia="宋体" w:cs="Times New Roman"/>
                <w:color w:val="000000"/>
                <w:sz w:val="24"/>
                <w:vertAlign w:val="superscript"/>
                <w:lang w:val="en-US" w:eastAsia="zh-CN"/>
              </w:rPr>
              <w:t>3</w:t>
            </w:r>
            <w:r>
              <w:rPr>
                <w:rFonts w:hint="eastAsia" w:eastAsia="宋体" w:cs="Times New Roman"/>
                <w:color w:val="000000"/>
                <w:sz w:val="24"/>
                <w:lang w:val="en-US" w:eastAsia="zh-CN"/>
              </w:rPr>
              <w:t>/d，余量为2.4万m</w:t>
            </w:r>
            <w:r>
              <w:rPr>
                <w:rFonts w:hint="eastAsia" w:eastAsia="宋体" w:cs="Times New Roman"/>
                <w:color w:val="000000"/>
                <w:sz w:val="24"/>
                <w:vertAlign w:val="superscript"/>
                <w:lang w:val="en-US" w:eastAsia="zh-CN"/>
              </w:rPr>
              <w:t>3</w:t>
            </w:r>
            <w:r>
              <w:rPr>
                <w:rFonts w:hint="eastAsia" w:eastAsia="宋体" w:cs="Times New Roman"/>
                <w:color w:val="000000"/>
                <w:sz w:val="24"/>
                <w:lang w:val="en-US" w:eastAsia="zh-CN"/>
              </w:rPr>
              <w:t>/d，</w:t>
            </w:r>
            <w:r>
              <w:rPr>
                <w:rFonts w:hint="eastAsia" w:eastAsia="宋体" w:cs="Times New Roman"/>
                <w:color w:val="auto"/>
                <w:sz w:val="24"/>
                <w:lang w:val="en-US" w:eastAsia="zh-CN"/>
              </w:rPr>
              <w:t>本</w:t>
            </w:r>
            <w:r>
              <w:rPr>
                <w:rFonts w:hint="default" w:ascii="Times New Roman" w:hAnsi="Times New Roman" w:eastAsia="Courier New" w:cs="Times New Roman"/>
                <w:color w:val="auto"/>
                <w:sz w:val="24"/>
              </w:rPr>
              <w:t>项目废水量</w:t>
            </w:r>
            <w:r>
              <w:rPr>
                <w:rFonts w:hint="default" w:ascii="Times New Roman" w:hAnsi="Times New Roman" w:eastAsia="宋体" w:cs="Times New Roman"/>
                <w:color w:val="auto"/>
                <w:sz w:val="24"/>
              </w:rPr>
              <w:t>为</w:t>
            </w:r>
            <w:r>
              <w:rPr>
                <w:rFonts w:hint="eastAsia" w:cs="Times New Roman"/>
                <w:color w:val="auto"/>
                <w:sz w:val="24"/>
                <w:lang w:val="en-US" w:eastAsia="zh-CN"/>
              </w:rPr>
              <w:t>4.8</w:t>
            </w:r>
            <w:r>
              <w:rPr>
                <w:rFonts w:hint="eastAsia" w:eastAsia="宋体" w:cs="Times New Roman"/>
                <w:color w:val="auto"/>
                <w:sz w:val="24"/>
                <w:lang w:val="en-US" w:eastAsia="zh-CN"/>
              </w:rPr>
              <w:t>m</w:t>
            </w:r>
            <w:r>
              <w:rPr>
                <w:rFonts w:hint="eastAsia" w:eastAsia="宋体" w:cs="Times New Roman"/>
                <w:color w:val="auto"/>
                <w:sz w:val="24"/>
                <w:vertAlign w:val="superscript"/>
                <w:lang w:val="en-US" w:eastAsia="zh-CN"/>
              </w:rPr>
              <w:t>3</w:t>
            </w:r>
            <w:r>
              <w:rPr>
                <w:rFonts w:hint="default" w:ascii="Times New Roman" w:hAnsi="Times New Roman" w:eastAsia="Courier New" w:cs="Times New Roman"/>
                <w:color w:val="auto"/>
                <w:sz w:val="24"/>
              </w:rPr>
              <w:t>/d，占</w:t>
            </w:r>
            <w:r>
              <w:rPr>
                <w:rFonts w:hint="default" w:ascii="Times New Roman" w:hAnsi="Times New Roman" w:eastAsia="宋体" w:cs="Times New Roman"/>
                <w:color w:val="auto"/>
                <w:sz w:val="24"/>
              </w:rPr>
              <w:t>汴北污水处理厂污水处理量</w:t>
            </w:r>
            <w:r>
              <w:rPr>
                <w:rFonts w:hint="default" w:ascii="Times New Roman" w:hAnsi="Times New Roman" w:eastAsia="Courier New" w:cs="Times New Roman"/>
                <w:color w:val="auto"/>
                <w:sz w:val="24"/>
              </w:rPr>
              <w:t>的</w:t>
            </w:r>
            <w:r>
              <w:rPr>
                <w:rFonts w:hint="default" w:ascii="Times New Roman" w:hAnsi="Times New Roman" w:eastAsia="宋体" w:cs="Times New Roman"/>
                <w:color w:val="auto"/>
                <w:sz w:val="24"/>
              </w:rPr>
              <w:t>0.</w:t>
            </w:r>
            <w:r>
              <w:rPr>
                <w:rFonts w:hint="default" w:ascii="Times New Roman" w:hAnsi="Times New Roman" w:eastAsia="宋体" w:cs="Times New Roman"/>
                <w:color w:val="auto"/>
                <w:sz w:val="24"/>
                <w:lang w:val="en-US" w:eastAsia="zh-CN"/>
              </w:rPr>
              <w:t>0</w:t>
            </w:r>
            <w:r>
              <w:rPr>
                <w:rFonts w:hint="eastAsia" w:cs="Times New Roman"/>
                <w:color w:val="auto"/>
                <w:sz w:val="24"/>
                <w:lang w:val="en-US" w:eastAsia="zh-CN"/>
              </w:rPr>
              <w:t>2</w:t>
            </w:r>
            <w:r>
              <w:rPr>
                <w:rFonts w:hint="default" w:ascii="Times New Roman" w:hAnsi="Times New Roman" w:eastAsia="Courier New" w:cs="Times New Roman"/>
                <w:color w:val="auto"/>
                <w:sz w:val="24"/>
              </w:rPr>
              <w:t>%</w:t>
            </w:r>
            <w:r>
              <w:rPr>
                <w:rFonts w:hint="default" w:ascii="Times New Roman" w:hAnsi="Times New Roman" w:eastAsia="宋体" w:cs="Times New Roman"/>
                <w:color w:val="auto"/>
                <w:sz w:val="24"/>
              </w:rPr>
              <w:t>。</w:t>
            </w:r>
            <w:r>
              <w:rPr>
                <w:rFonts w:hint="default" w:ascii="Times New Roman" w:hAnsi="Times New Roman" w:eastAsia="Courier New" w:cs="Times New Roman"/>
                <w:color w:val="auto"/>
                <w:sz w:val="24"/>
              </w:rPr>
              <w:t>项</w:t>
            </w:r>
            <w:r>
              <w:rPr>
                <w:rFonts w:hint="default" w:ascii="Times New Roman" w:hAnsi="Times New Roman" w:eastAsia="Courier New" w:cs="Times New Roman"/>
                <w:color w:val="000000"/>
                <w:sz w:val="24"/>
              </w:rPr>
              <w:t>目建成后，</w:t>
            </w:r>
            <w:r>
              <w:rPr>
                <w:rFonts w:hint="default" w:ascii="Times New Roman" w:hAnsi="Times New Roman" w:eastAsia="宋体" w:cs="Times New Roman"/>
                <w:color w:val="000000"/>
                <w:sz w:val="24"/>
              </w:rPr>
              <w:t>汴北污水处理厂</w:t>
            </w:r>
            <w:r>
              <w:rPr>
                <w:rFonts w:hint="default" w:ascii="Times New Roman" w:hAnsi="Times New Roman" w:eastAsia="Courier New" w:cs="Times New Roman"/>
                <w:color w:val="000000"/>
                <w:sz w:val="24"/>
              </w:rPr>
              <w:t>完全有能力接收本项目废水，在水量上不会对污水处理厂造成冲击，可确保本项目接管处理的废水得到有效处理。</w:t>
            </w:r>
          </w:p>
          <w:p w14:paraId="0C248C4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Courier New" w:cs="Times New Roman"/>
                <w:color w:val="000000"/>
                <w:sz w:val="24"/>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4</w:t>
            </w:r>
            <w:r>
              <w:rPr>
                <w:rFonts w:hint="default" w:ascii="Times New Roman" w:hAnsi="Times New Roman" w:eastAsia="宋体" w:cs="Times New Roman"/>
                <w:color w:val="000000"/>
                <w:sz w:val="24"/>
                <w:lang w:eastAsia="zh-CN"/>
              </w:rPr>
              <w:t>）</w:t>
            </w:r>
            <w:r>
              <w:rPr>
                <w:rFonts w:hint="default" w:ascii="Times New Roman" w:hAnsi="Times New Roman" w:eastAsia="Courier New" w:cs="Times New Roman"/>
                <w:color w:val="000000"/>
                <w:sz w:val="24"/>
              </w:rPr>
              <w:t>管道范围可行性</w:t>
            </w:r>
          </w:p>
          <w:p w14:paraId="70779C7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汴北污水处理厂工程规划建设总规模10万m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rPr>
              <w:t>/d，分二期建设，一期工程规模5万m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rPr>
              <w:t>/d。配套排水设施包括新建污水管线99.61公里，已建污水管线29公里，污水提升泵站3座；其中，汴北新区新建污水管线80.71公里，污水提升泵站2座；符离镇地区新建管网15.00公里，污水提升泵站1座，以及汴北污水厂出水排放至环城河的压力管线3.90公里，委托运营已建污水管网29公里。根据对项目厂区雨污水管网的建设调查和分析，目前雨污分流式污水主干管网的建设已基本实现了全覆盖。根据管网敷设范围，项目处于其收水范围内，目前已接通。</w:t>
            </w:r>
          </w:p>
          <w:p w14:paraId="59964AB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处理工艺可行性</w:t>
            </w:r>
          </w:p>
          <w:p w14:paraId="16A317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汴北污水处理厂采用改良A</w:t>
            </w:r>
            <w:r>
              <w:rPr>
                <w:rFonts w:hint="default" w:ascii="Times New Roman" w:hAnsi="Times New Roman" w:eastAsia="宋体" w:cs="Times New Roman"/>
                <w:color w:val="000000"/>
                <w:sz w:val="24"/>
                <w:vertAlign w:val="superscript"/>
              </w:rPr>
              <w:t>2</w:t>
            </w:r>
            <w:r>
              <w:rPr>
                <w:rFonts w:hint="default" w:ascii="Times New Roman" w:hAnsi="Times New Roman" w:eastAsia="宋体" w:cs="Times New Roman"/>
                <w:color w:val="000000"/>
                <w:sz w:val="24"/>
              </w:rPr>
              <w:t>/O生化池+高效混凝沉淀池+</w:t>
            </w:r>
            <w:r>
              <w:rPr>
                <w:rFonts w:hint="eastAsia" w:cs="Times New Roman"/>
                <w:color w:val="000000"/>
                <w:sz w:val="24"/>
                <w:lang w:val="en-US" w:eastAsia="zh-CN"/>
              </w:rPr>
              <w:t>滤布</w:t>
            </w:r>
            <w:r>
              <w:rPr>
                <w:rFonts w:hint="default" w:ascii="Times New Roman" w:hAnsi="Times New Roman" w:eastAsia="宋体" w:cs="Times New Roman"/>
                <w:color w:val="000000"/>
                <w:sz w:val="24"/>
              </w:rPr>
              <w:t>滤池+</w:t>
            </w:r>
            <w:r>
              <w:rPr>
                <w:rFonts w:hint="eastAsia" w:cs="Times New Roman"/>
                <w:color w:val="000000"/>
                <w:sz w:val="24"/>
                <w:lang w:val="en-US" w:eastAsia="zh-CN"/>
              </w:rPr>
              <w:t>次氯酸钠</w:t>
            </w:r>
            <w:r>
              <w:rPr>
                <w:rFonts w:hint="default" w:ascii="Times New Roman" w:hAnsi="Times New Roman" w:eastAsia="宋体" w:cs="Times New Roman"/>
                <w:color w:val="000000"/>
                <w:sz w:val="24"/>
              </w:rPr>
              <w:t>消毒工艺处理污水。出水水质</w:t>
            </w:r>
            <w:r>
              <w:rPr>
                <w:rFonts w:hint="default" w:ascii="Times New Roman" w:hAnsi="Times New Roman" w:eastAsia="宋体" w:cs="Times New Roman"/>
                <w:color w:val="000000"/>
                <w:sz w:val="24"/>
                <w:lang w:val="en-US" w:eastAsia="zh-CN"/>
              </w:rPr>
              <w:t>总氮满足</w:t>
            </w:r>
            <w:r>
              <w:rPr>
                <w:rFonts w:hint="default" w:ascii="Times New Roman" w:hAnsi="Times New Roman" w:eastAsia="宋体" w:cs="Times New Roman"/>
                <w:color w:val="000000"/>
                <w:sz w:val="24"/>
                <w:lang w:eastAsia="zh-CN"/>
              </w:rPr>
              <w:t>《城镇污水处理厂污染物排放标准》(GB18918-2002)中一级 A标准；</w:t>
            </w:r>
            <w:r>
              <w:rPr>
                <w:rFonts w:hint="default" w:ascii="Times New Roman" w:hAnsi="Times New Roman" w:eastAsia="宋体" w:cs="Times New Roman"/>
                <w:color w:val="000000"/>
                <w:sz w:val="24"/>
                <w:lang w:val="en-US" w:eastAsia="zh-CN"/>
              </w:rPr>
              <w:t>其他因子满足</w:t>
            </w:r>
            <w:r>
              <w:rPr>
                <w:rFonts w:hint="default" w:ascii="Times New Roman" w:hAnsi="Times New Roman" w:eastAsia="宋体" w:cs="Times New Roman"/>
                <w:color w:val="000000"/>
                <w:sz w:val="24"/>
                <w:lang w:eastAsia="zh-CN"/>
              </w:rPr>
              <w:t>《地表水环境质量标准》V类标准限值</w:t>
            </w:r>
            <w:r>
              <w:rPr>
                <w:rFonts w:hint="default" w:ascii="Times New Roman" w:hAnsi="Times New Roman" w:eastAsia="宋体" w:cs="Times New Roman"/>
                <w:color w:val="000000"/>
                <w:sz w:val="24"/>
                <w:lang w:val="en-US" w:eastAsia="zh-CN"/>
              </w:rPr>
              <w:t>及</w:t>
            </w:r>
            <w:r>
              <w:rPr>
                <w:rFonts w:hint="default" w:ascii="Times New Roman" w:hAnsi="Times New Roman" w:eastAsia="宋体" w:cs="Times New Roman"/>
                <w:color w:val="000000"/>
                <w:sz w:val="24"/>
                <w:lang w:eastAsia="zh-CN"/>
              </w:rPr>
              <w:t>《城镇污水处理厂污染物排放标准》(GB18918-2002)中一级A标准</w:t>
            </w:r>
            <w:r>
              <w:rPr>
                <w:rFonts w:hint="default" w:ascii="Times New Roman" w:hAnsi="Times New Roman" w:eastAsia="宋体" w:cs="Times New Roman"/>
                <w:color w:val="000000"/>
                <w:sz w:val="24"/>
                <w:lang w:val="en-US" w:eastAsia="zh-CN"/>
              </w:rPr>
              <w:t>限值</w:t>
            </w:r>
            <w:r>
              <w:rPr>
                <w:rFonts w:hint="default" w:ascii="Times New Roman" w:hAnsi="Times New Roman" w:eastAsia="宋体" w:cs="Times New Roman"/>
                <w:color w:val="000000"/>
                <w:sz w:val="24"/>
              </w:rPr>
              <w:t>。本项目废水量小、水质简单，项目区的废水预处理效果完全在汴北污水处理厂的进水水质范围内，完全可采用污水处理厂的处理工艺进行处理，不会对其工艺造成冲击。因此，本项目废水经厂区预处理后进入汴北污水处理厂进一步处理，对周边环境影响较小。</w:t>
            </w:r>
          </w:p>
          <w:p w14:paraId="37E939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sz w:val="24"/>
                <w:szCs w:val="24"/>
              </w:rPr>
              <w:t>综上，本项目外排废水水质、水量均满足汴北污水处理厂接管要求，不会对污水处理厂造成冲击负荷，不会降低项目区现有水环境功能。因此本项目污水进入汴北污水处理厂处理是可行的。</w:t>
            </w:r>
          </w:p>
          <w:p w14:paraId="6C6017BC">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4</w:t>
            </w:r>
            <w:r>
              <w:rPr>
                <w:rFonts w:hint="default" w:ascii="Times New Roman" w:hAnsi="Times New Roman" w:eastAsia="宋体" w:cs="Times New Roman"/>
                <w:b/>
                <w:bCs/>
                <w:color w:val="auto"/>
                <w:sz w:val="24"/>
              </w:rPr>
              <w:t>、</w:t>
            </w:r>
            <w:r>
              <w:rPr>
                <w:rFonts w:hint="eastAsia" w:cs="Times New Roman"/>
                <w:b/>
                <w:bCs/>
                <w:color w:val="auto"/>
                <w:sz w:val="24"/>
                <w:lang w:val="en-US" w:eastAsia="zh-CN"/>
              </w:rPr>
              <w:t>废水排放监测计划</w:t>
            </w:r>
          </w:p>
          <w:p w14:paraId="5E6D8C7B">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cs="Times New Roman"/>
                <w:bCs/>
                <w:color w:val="auto"/>
                <w:sz w:val="24"/>
                <w:lang w:val="en-US" w:eastAsia="zh-CN"/>
              </w:rPr>
            </w:pPr>
            <w:r>
              <w:rPr>
                <w:rFonts w:hint="eastAsia" w:ascii="Times New Roman" w:hAnsi="Times New Roman" w:eastAsia="宋体" w:cs="Times New Roman"/>
                <w:bCs/>
                <w:color w:val="auto"/>
                <w:sz w:val="24"/>
                <w:lang w:val="en-US" w:eastAsia="zh-CN"/>
              </w:rPr>
              <w:t>参照《排污单位自行监测技术指南食品制造》（HJ1084-2020）、《排污 许可证申请与核发技术规范酒、饮料制造工业》（HJ1028-2019）的要求，本项目</w:t>
            </w:r>
            <w:r>
              <w:rPr>
                <w:rFonts w:hint="eastAsia" w:cs="Times New Roman"/>
                <w:bCs/>
                <w:color w:val="auto"/>
                <w:sz w:val="24"/>
                <w:lang w:val="en-US" w:eastAsia="zh-CN"/>
              </w:rPr>
              <w:t>废</w:t>
            </w:r>
            <w:r>
              <w:rPr>
                <w:rFonts w:hint="eastAsia" w:ascii="Times New Roman" w:hAnsi="Times New Roman" w:eastAsia="宋体" w:cs="Times New Roman"/>
                <w:bCs/>
                <w:color w:val="auto"/>
                <w:sz w:val="24"/>
                <w:lang w:val="en-US" w:eastAsia="zh-CN"/>
              </w:rPr>
              <w:t>水自行监测方案见下</w:t>
            </w:r>
            <w:r>
              <w:rPr>
                <w:rFonts w:hint="eastAsia" w:cs="Times New Roman"/>
                <w:bCs/>
                <w:color w:val="auto"/>
                <w:sz w:val="24"/>
                <w:lang w:val="en-US" w:eastAsia="zh-CN"/>
              </w:rPr>
              <w:t>：</w:t>
            </w:r>
          </w:p>
          <w:p w14:paraId="2818519C">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废水排放监测计划一览表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032"/>
              <w:gridCol w:w="1660"/>
              <w:gridCol w:w="1593"/>
              <w:gridCol w:w="1032"/>
              <w:gridCol w:w="3502"/>
            </w:tblGrid>
            <w:tr w14:paraId="2C2F0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85" w:type="pct"/>
                  <w:tcBorders>
                    <w:top w:val="single" w:color="auto" w:sz="4" w:space="0"/>
                    <w:left w:val="single" w:color="auto" w:sz="0" w:space="0"/>
                  </w:tcBorders>
                  <w:vAlign w:val="center"/>
                </w:tcPr>
                <w:p w14:paraId="55E7ECC9">
                  <w:pPr>
                    <w:keepNext w:val="0"/>
                    <w:keepLines w:val="0"/>
                    <w:widowControl/>
                    <w:suppressLineNumbers w:val="0"/>
                    <w:adjustRightInd w:val="0"/>
                    <w:snapToGrid w:val="0"/>
                    <w:spacing w:before="0" w:beforeAutospacing="0" w:after="0" w:afterAutospacing="0"/>
                    <w:ind w:left="0" w:right="0"/>
                    <w:jc w:val="center"/>
                    <w:textAlignment w:val="baseline"/>
                    <w:rPr>
                      <w:rFonts w:hint="default"/>
                      <w:bCs/>
                      <w:color w:val="000000"/>
                      <w:spacing w:val="4"/>
                      <w:kern w:val="0"/>
                      <w:szCs w:val="21"/>
                    </w:rPr>
                  </w:pPr>
                  <w:r>
                    <w:rPr>
                      <w:rFonts w:hint="eastAsia"/>
                      <w:bCs/>
                      <w:color w:val="000000"/>
                      <w:spacing w:val="4"/>
                      <w:kern w:val="0"/>
                      <w:szCs w:val="21"/>
                    </w:rPr>
                    <w:t>监测项目</w:t>
                  </w:r>
                </w:p>
              </w:tc>
              <w:tc>
                <w:tcPr>
                  <w:tcW w:w="941" w:type="pct"/>
                  <w:tcBorders>
                    <w:top w:val="single" w:color="auto" w:sz="4" w:space="0"/>
                  </w:tcBorders>
                  <w:vAlign w:val="center"/>
                </w:tcPr>
                <w:p w14:paraId="7F8EC22D">
                  <w:pPr>
                    <w:keepNext w:val="0"/>
                    <w:keepLines w:val="0"/>
                    <w:suppressLineNumbers w:val="0"/>
                    <w:adjustRightInd w:val="0"/>
                    <w:snapToGrid w:val="0"/>
                    <w:spacing w:before="0" w:beforeAutospacing="0" w:after="0" w:afterAutospacing="0"/>
                    <w:ind w:left="0" w:right="0"/>
                    <w:jc w:val="center"/>
                    <w:textAlignment w:val="baseline"/>
                    <w:rPr>
                      <w:rFonts w:hint="default"/>
                      <w:bCs/>
                      <w:color w:val="000000"/>
                      <w:spacing w:val="4"/>
                      <w:kern w:val="0"/>
                      <w:szCs w:val="21"/>
                    </w:rPr>
                  </w:pPr>
                  <w:r>
                    <w:rPr>
                      <w:rFonts w:hint="default"/>
                      <w:bCs/>
                      <w:color w:val="000000"/>
                      <w:spacing w:val="4"/>
                      <w:kern w:val="0"/>
                      <w:szCs w:val="21"/>
                    </w:rPr>
                    <w:t>监测点位</w:t>
                  </w:r>
                </w:p>
              </w:tc>
              <w:tc>
                <w:tcPr>
                  <w:tcW w:w="903" w:type="pct"/>
                  <w:tcBorders>
                    <w:top w:val="single" w:color="auto" w:sz="4" w:space="0"/>
                  </w:tcBorders>
                  <w:vAlign w:val="center"/>
                </w:tcPr>
                <w:p w14:paraId="5E5497A1">
                  <w:pPr>
                    <w:keepNext w:val="0"/>
                    <w:keepLines w:val="0"/>
                    <w:widowControl/>
                    <w:suppressLineNumbers w:val="0"/>
                    <w:adjustRightInd w:val="0"/>
                    <w:snapToGrid w:val="0"/>
                    <w:spacing w:before="0" w:beforeAutospacing="0" w:after="0" w:afterAutospacing="0"/>
                    <w:ind w:left="0" w:right="0"/>
                    <w:jc w:val="center"/>
                    <w:textAlignment w:val="baseline"/>
                    <w:rPr>
                      <w:rFonts w:hint="default"/>
                      <w:bCs/>
                      <w:color w:val="000000"/>
                      <w:spacing w:val="4"/>
                      <w:kern w:val="0"/>
                      <w:szCs w:val="21"/>
                    </w:rPr>
                  </w:pPr>
                  <w:r>
                    <w:rPr>
                      <w:rFonts w:hint="default"/>
                      <w:bCs/>
                      <w:color w:val="000000"/>
                      <w:spacing w:val="4"/>
                      <w:kern w:val="0"/>
                      <w:szCs w:val="21"/>
                    </w:rPr>
                    <w:t>监测指标</w:t>
                  </w:r>
                </w:p>
              </w:tc>
              <w:tc>
                <w:tcPr>
                  <w:tcW w:w="585" w:type="pct"/>
                  <w:tcBorders>
                    <w:top w:val="single" w:color="auto" w:sz="4" w:space="0"/>
                  </w:tcBorders>
                  <w:vAlign w:val="center"/>
                </w:tcPr>
                <w:p w14:paraId="200185A9">
                  <w:pPr>
                    <w:keepNext w:val="0"/>
                    <w:keepLines w:val="0"/>
                    <w:widowControl/>
                    <w:suppressLineNumbers w:val="0"/>
                    <w:adjustRightInd w:val="0"/>
                    <w:snapToGrid w:val="0"/>
                    <w:spacing w:before="0" w:beforeAutospacing="0" w:after="0" w:afterAutospacing="0"/>
                    <w:ind w:left="0" w:right="0"/>
                    <w:jc w:val="center"/>
                    <w:textAlignment w:val="baseline"/>
                    <w:rPr>
                      <w:rFonts w:hint="default"/>
                      <w:bCs/>
                      <w:color w:val="000000"/>
                      <w:spacing w:val="4"/>
                      <w:kern w:val="0"/>
                      <w:szCs w:val="21"/>
                    </w:rPr>
                  </w:pPr>
                  <w:r>
                    <w:rPr>
                      <w:rFonts w:hint="default"/>
                      <w:bCs/>
                      <w:color w:val="000000"/>
                      <w:spacing w:val="4"/>
                      <w:kern w:val="0"/>
                      <w:szCs w:val="21"/>
                    </w:rPr>
                    <w:t>监测频次</w:t>
                  </w:r>
                </w:p>
              </w:tc>
              <w:tc>
                <w:tcPr>
                  <w:tcW w:w="1984" w:type="pct"/>
                  <w:tcBorders>
                    <w:top w:val="single" w:color="auto" w:sz="4" w:space="0"/>
                    <w:right w:val="single" w:color="auto" w:sz="4" w:space="0"/>
                  </w:tcBorders>
                  <w:vAlign w:val="center"/>
                </w:tcPr>
                <w:p w14:paraId="7DBA0E94">
                  <w:pPr>
                    <w:keepNext w:val="0"/>
                    <w:keepLines w:val="0"/>
                    <w:widowControl/>
                    <w:suppressLineNumbers w:val="0"/>
                    <w:adjustRightInd w:val="0"/>
                    <w:snapToGrid w:val="0"/>
                    <w:spacing w:before="0" w:beforeAutospacing="0" w:after="0" w:afterAutospacing="0"/>
                    <w:ind w:left="0" w:right="0"/>
                    <w:jc w:val="center"/>
                    <w:textAlignment w:val="baseline"/>
                    <w:rPr>
                      <w:rFonts w:hint="default"/>
                      <w:bCs/>
                      <w:color w:val="000000"/>
                      <w:spacing w:val="4"/>
                      <w:kern w:val="0"/>
                      <w:szCs w:val="21"/>
                    </w:rPr>
                  </w:pPr>
                  <w:r>
                    <w:rPr>
                      <w:rFonts w:hint="default"/>
                      <w:bCs/>
                      <w:color w:val="000000"/>
                      <w:spacing w:val="4"/>
                      <w:kern w:val="0"/>
                      <w:szCs w:val="21"/>
                    </w:rPr>
                    <w:t>执行排放标准</w:t>
                  </w:r>
                </w:p>
              </w:tc>
            </w:tr>
            <w:tr w14:paraId="75749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85" w:type="pct"/>
                  <w:tcBorders>
                    <w:left w:val="single" w:color="auto" w:sz="4" w:space="0"/>
                    <w:bottom w:val="single" w:color="auto" w:sz="4" w:space="0"/>
                  </w:tcBorders>
                  <w:vAlign w:val="center"/>
                </w:tcPr>
                <w:p w14:paraId="76178A1B">
                  <w:pPr>
                    <w:keepNext w:val="0"/>
                    <w:keepLines w:val="0"/>
                    <w:suppressLineNumbers w:val="0"/>
                    <w:adjustRightInd w:val="0"/>
                    <w:snapToGrid w:val="0"/>
                    <w:spacing w:before="0" w:beforeAutospacing="0" w:after="0" w:afterAutospacing="0"/>
                    <w:ind w:left="0" w:right="0"/>
                    <w:jc w:val="center"/>
                    <w:textAlignment w:val="baseline"/>
                    <w:rPr>
                      <w:rFonts w:hint="default"/>
                      <w:color w:val="000000"/>
                      <w:spacing w:val="4"/>
                      <w:kern w:val="0"/>
                      <w:szCs w:val="21"/>
                    </w:rPr>
                  </w:pPr>
                  <w:r>
                    <w:rPr>
                      <w:rFonts w:hint="eastAsia"/>
                      <w:color w:val="000000"/>
                      <w:spacing w:val="4"/>
                      <w:kern w:val="0"/>
                      <w:szCs w:val="21"/>
                    </w:rPr>
                    <w:t>废水</w:t>
                  </w:r>
                </w:p>
              </w:tc>
              <w:tc>
                <w:tcPr>
                  <w:tcW w:w="1476" w:type="dxa"/>
                  <w:tcBorders>
                    <w:bottom w:val="single" w:color="auto" w:sz="4" w:space="0"/>
                  </w:tcBorders>
                  <w:vAlign w:val="center"/>
                </w:tcPr>
                <w:p w14:paraId="4BA8D2E1">
                  <w:pPr>
                    <w:keepNext w:val="0"/>
                    <w:keepLines w:val="0"/>
                    <w:suppressLineNumbers w:val="0"/>
                    <w:adjustRightInd w:val="0"/>
                    <w:snapToGrid w:val="0"/>
                    <w:spacing w:before="156" w:beforeLines="50" w:beforeAutospacing="0" w:after="0" w:afterAutospacing="0"/>
                    <w:ind w:left="0" w:right="0"/>
                    <w:jc w:val="center"/>
                    <w:textAlignment w:val="baseline"/>
                    <w:rPr>
                      <w:rFonts w:hint="default" w:eastAsia="宋体"/>
                      <w:color w:val="000000"/>
                      <w:spacing w:val="4"/>
                      <w:kern w:val="0"/>
                      <w:szCs w:val="21"/>
                      <w:lang w:val="en-US" w:eastAsia="zh-CN"/>
                    </w:rPr>
                  </w:pPr>
                  <w:r>
                    <w:rPr>
                      <w:rFonts w:hint="eastAsia"/>
                      <w:snapToGrid w:val="0"/>
                      <w:color w:val="000000"/>
                      <w:spacing w:val="4"/>
                      <w:kern w:val="0"/>
                      <w:position w:val="10"/>
                      <w:szCs w:val="21"/>
                    </w:rPr>
                    <w:t>厂区废水总排口</w:t>
                  </w:r>
                  <w:r>
                    <w:rPr>
                      <w:rFonts w:hint="eastAsia"/>
                      <w:snapToGrid w:val="0"/>
                      <w:color w:val="000000"/>
                      <w:spacing w:val="4"/>
                      <w:kern w:val="0"/>
                      <w:position w:val="10"/>
                      <w:szCs w:val="21"/>
                      <w:lang w:val="en-US" w:eastAsia="zh-CN"/>
                    </w:rPr>
                    <w:t>DW001</w:t>
                  </w:r>
                </w:p>
              </w:tc>
              <w:tc>
                <w:tcPr>
                  <w:tcW w:w="1417" w:type="dxa"/>
                  <w:tcBorders>
                    <w:bottom w:val="single" w:color="auto" w:sz="4" w:space="0"/>
                  </w:tcBorders>
                  <w:vAlign w:val="center"/>
                </w:tcPr>
                <w:p w14:paraId="01045B23">
                  <w:pPr>
                    <w:keepNext w:val="0"/>
                    <w:keepLines w:val="0"/>
                    <w:suppressLineNumbers w:val="0"/>
                    <w:spacing w:before="0" w:beforeAutospacing="0" w:after="0" w:afterAutospacing="0"/>
                    <w:ind w:left="0" w:right="0"/>
                    <w:jc w:val="center"/>
                    <w:rPr>
                      <w:rFonts w:hint="default" w:eastAsia="宋体"/>
                      <w:b/>
                      <w:color w:val="000000"/>
                      <w:spacing w:val="4"/>
                      <w:kern w:val="0"/>
                      <w:szCs w:val="21"/>
                      <w:lang w:val="en-US" w:eastAsia="zh-CN"/>
                    </w:rPr>
                  </w:pPr>
                  <w:r>
                    <w:rPr>
                      <w:rFonts w:hint="eastAsia"/>
                      <w:bCs/>
                      <w:color w:val="auto"/>
                      <w:sz w:val="21"/>
                      <w:szCs w:val="21"/>
                    </w:rPr>
                    <w:t>pH</w:t>
                  </w:r>
                  <w:r>
                    <w:rPr>
                      <w:rFonts w:hint="eastAsia"/>
                      <w:bCs/>
                      <w:color w:val="auto"/>
                      <w:sz w:val="21"/>
                      <w:szCs w:val="21"/>
                      <w:lang w:eastAsia="zh-CN"/>
                    </w:rPr>
                    <w:t>、</w:t>
                  </w:r>
                  <w:r>
                    <w:rPr>
                      <w:rFonts w:hint="default"/>
                      <w:color w:val="000000"/>
                      <w:szCs w:val="21"/>
                    </w:rPr>
                    <w:t>COD、BOD</w:t>
                  </w:r>
                  <w:r>
                    <w:rPr>
                      <w:rFonts w:hint="default"/>
                      <w:color w:val="000000"/>
                      <w:szCs w:val="21"/>
                      <w:vertAlign w:val="subscript"/>
                    </w:rPr>
                    <w:t>5</w:t>
                  </w:r>
                  <w:r>
                    <w:rPr>
                      <w:rFonts w:hint="eastAsia"/>
                      <w:color w:val="000000"/>
                      <w:szCs w:val="21"/>
                      <w:vertAlign w:val="baseline"/>
                      <w:lang w:eastAsia="zh-CN"/>
                    </w:rPr>
                    <w:t>、</w:t>
                  </w:r>
                  <w:r>
                    <w:rPr>
                      <w:rFonts w:hint="default"/>
                      <w:color w:val="000000"/>
                      <w:szCs w:val="21"/>
                    </w:rPr>
                    <w:t>SS、氨氮</w:t>
                  </w:r>
                  <w:r>
                    <w:rPr>
                      <w:rFonts w:hint="eastAsia"/>
                      <w:color w:val="000000"/>
                      <w:szCs w:val="21"/>
                      <w:lang w:eastAsia="zh-CN"/>
                    </w:rPr>
                    <w:t>、</w:t>
                  </w:r>
                  <w:r>
                    <w:rPr>
                      <w:rFonts w:hint="eastAsia"/>
                      <w:color w:val="000000"/>
                      <w:szCs w:val="21"/>
                      <w:lang w:val="en-US" w:eastAsia="zh-CN"/>
                    </w:rPr>
                    <w:t>TP、动植物油</w:t>
                  </w:r>
                </w:p>
              </w:tc>
              <w:tc>
                <w:tcPr>
                  <w:tcW w:w="918" w:type="dxa"/>
                  <w:tcBorders>
                    <w:bottom w:val="single" w:color="auto" w:sz="4" w:space="0"/>
                  </w:tcBorders>
                  <w:vAlign w:val="center"/>
                </w:tcPr>
                <w:p w14:paraId="524F1EE2">
                  <w:pPr>
                    <w:keepNext w:val="0"/>
                    <w:keepLines w:val="0"/>
                    <w:suppressLineNumbers w:val="0"/>
                    <w:spacing w:before="0" w:beforeAutospacing="0" w:after="0" w:afterAutospacing="0"/>
                    <w:ind w:left="0" w:right="0"/>
                    <w:jc w:val="center"/>
                    <w:rPr>
                      <w:rFonts w:hint="default"/>
                      <w:b/>
                      <w:color w:val="000000"/>
                      <w:spacing w:val="4"/>
                      <w:kern w:val="0"/>
                      <w:szCs w:val="21"/>
                    </w:rPr>
                  </w:pPr>
                  <w:r>
                    <w:rPr>
                      <w:rFonts w:hint="default"/>
                      <w:color w:val="000000"/>
                    </w:rPr>
                    <w:t>1次/</w:t>
                  </w:r>
                  <w:r>
                    <w:rPr>
                      <w:rFonts w:hint="eastAsia"/>
                      <w:color w:val="000000"/>
                      <w:lang w:val="en-US" w:eastAsia="zh-CN"/>
                    </w:rPr>
                    <w:t>半</w:t>
                  </w:r>
                  <w:r>
                    <w:rPr>
                      <w:rFonts w:hint="eastAsia"/>
                      <w:color w:val="000000"/>
                    </w:rPr>
                    <w:t>年</w:t>
                  </w:r>
                </w:p>
              </w:tc>
              <w:tc>
                <w:tcPr>
                  <w:tcW w:w="3113" w:type="dxa"/>
                  <w:tcBorders>
                    <w:bottom w:val="single" w:color="auto" w:sz="4" w:space="0"/>
                    <w:right w:val="single" w:color="auto" w:sz="4" w:space="0"/>
                  </w:tcBorders>
                  <w:vAlign w:val="center"/>
                </w:tcPr>
                <w:p w14:paraId="6B90002A">
                  <w:pPr>
                    <w:keepNext w:val="0"/>
                    <w:keepLines w:val="0"/>
                    <w:suppressLineNumbers w:val="0"/>
                    <w:adjustRightInd w:val="0"/>
                    <w:snapToGrid w:val="0"/>
                    <w:spacing w:before="156" w:beforeLines="50" w:beforeAutospacing="0" w:after="0" w:afterAutospacing="0"/>
                    <w:ind w:left="0" w:right="0"/>
                    <w:jc w:val="center"/>
                    <w:textAlignment w:val="baseline"/>
                    <w:rPr>
                      <w:rFonts w:hint="eastAsia" w:ascii="宋体" w:eastAsia="宋体"/>
                      <w:color w:val="000000"/>
                      <w:spacing w:val="4"/>
                      <w:kern w:val="0"/>
                      <w:szCs w:val="21"/>
                      <w:lang w:val="en-US" w:eastAsia="zh-CN"/>
                    </w:rPr>
                  </w:pPr>
                  <w:r>
                    <w:rPr>
                      <w:rFonts w:hint="eastAsia"/>
                      <w:color w:val="000000"/>
                      <w:szCs w:val="21"/>
                    </w:rPr>
                    <w:t>《污水综合排放标准》（GB8978-1996）表4中三级标准</w:t>
                  </w:r>
                  <w:r>
                    <w:rPr>
                      <w:rFonts w:hint="eastAsia"/>
                      <w:color w:val="000000"/>
                      <w:szCs w:val="21"/>
                      <w:lang w:eastAsia="zh-CN"/>
                    </w:rPr>
                    <w:t>、</w:t>
                  </w:r>
                  <w:r>
                    <w:rPr>
                      <w:rFonts w:hint="eastAsia"/>
                      <w:color w:val="000000"/>
                      <w:szCs w:val="21"/>
                      <w:lang w:val="en-US" w:eastAsia="zh-CN"/>
                    </w:rPr>
                    <w:t>《食品加工制造业水污染物排放标准》（GB 46817-2025）表1排放限值以及宿州市汴北污水处理厂</w:t>
                  </w:r>
                  <w:r>
                    <w:rPr>
                      <w:rFonts w:hint="default"/>
                    </w:rPr>
                    <w:t>接管标准</w:t>
                  </w:r>
                </w:p>
              </w:tc>
            </w:tr>
          </w:tbl>
          <w:p w14:paraId="3F861E01">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cs="Times New Roman"/>
                <w:bCs/>
                <w:color w:val="auto"/>
                <w:sz w:val="24"/>
                <w:lang w:val="en-US" w:eastAsia="zh-CN"/>
              </w:rPr>
            </w:pPr>
          </w:p>
        </w:tc>
      </w:tr>
    </w:tbl>
    <w:p w14:paraId="31AE3B42">
      <w:pPr>
        <w:adjustRightInd w:val="0"/>
        <w:snapToGrid w:val="0"/>
        <w:spacing w:line="360" w:lineRule="auto"/>
        <w:rPr>
          <w:b/>
          <w:kern w:val="0"/>
          <w:sz w:val="28"/>
          <w:szCs w:val="28"/>
        </w:rPr>
        <w:sectPr>
          <w:pgSz w:w="11907" w:h="16840"/>
          <w:pgMar w:top="1418" w:right="1134" w:bottom="1418" w:left="1247" w:header="851" w:footer="851" w:gutter="0"/>
          <w:cols w:space="720" w:num="1"/>
          <w:docGrid w:linePitch="312" w:charSpace="0"/>
        </w:sect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545"/>
      </w:tblGrid>
      <w:tr w14:paraId="1BC6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2" w:hRule="atLeast"/>
        </w:trPr>
        <w:tc>
          <w:tcPr>
            <w:tcW w:w="675" w:type="dxa"/>
            <w:vAlign w:val="center"/>
          </w:tcPr>
          <w:p w14:paraId="0F0852D6">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Cs w:val="21"/>
              </w:rPr>
              <w:t>运营期环境影响和保护措施</w:t>
            </w:r>
          </w:p>
        </w:tc>
        <w:tc>
          <w:tcPr>
            <w:tcW w:w="13545" w:type="dxa"/>
          </w:tcPr>
          <w:p w14:paraId="31104D31">
            <w:pPr>
              <w:keepNext w:val="0"/>
              <w:keepLines w:val="0"/>
              <w:suppressLineNumbers w:val="0"/>
              <w:adjustRightInd w:val="0"/>
              <w:snapToGrid w:val="0"/>
              <w:spacing w:before="0" w:beforeAutospacing="0" w:after="0" w:afterAutospacing="0" w:line="360" w:lineRule="auto"/>
              <w:ind w:left="0" w:right="0"/>
              <w:rPr>
                <w:rFonts w:hint="default"/>
                <w:b/>
                <w:bCs/>
                <w:spacing w:val="-10"/>
                <w:sz w:val="24"/>
              </w:rPr>
            </w:pPr>
            <w:r>
              <w:rPr>
                <w:rFonts w:hint="default"/>
                <w:b/>
                <w:bCs/>
                <w:spacing w:val="-10"/>
                <w:sz w:val="24"/>
              </w:rPr>
              <w:t>4.3</w:t>
            </w:r>
            <w:r>
              <w:rPr>
                <w:rFonts w:hint="default"/>
                <w:b/>
                <w:bCs/>
                <w:sz w:val="24"/>
              </w:rPr>
              <w:t>营运期声环境影响分析</w:t>
            </w:r>
          </w:p>
          <w:p w14:paraId="08F3425D">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sz w:val="24"/>
              </w:rPr>
            </w:pPr>
            <w:r>
              <w:rPr>
                <w:rFonts w:hint="default"/>
                <w:b/>
                <w:bCs/>
                <w:sz w:val="24"/>
              </w:rPr>
              <w:t>1、噪声源强及污染防治措施</w:t>
            </w:r>
          </w:p>
          <w:p w14:paraId="2A2667F0">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sz w:val="24"/>
              </w:rPr>
              <w:t>本项目全厂的噪声来源主要是由等设备运行时产生的噪声，其产生的噪声值大约</w:t>
            </w:r>
            <w:r>
              <w:rPr>
                <w:rFonts w:hint="eastAsia" w:ascii="Times New Roman" w:hAnsi="Times New Roman" w:cs="Times New Roman"/>
                <w:color w:val="auto"/>
                <w:sz w:val="24"/>
                <w:lang w:val="en-US" w:eastAsia="zh-CN"/>
              </w:rPr>
              <w:t>75</w:t>
            </w:r>
            <w:r>
              <w:rPr>
                <w:rFonts w:hint="default" w:ascii="Times New Roman" w:hAnsi="Times New Roman" w:cs="Times New Roman"/>
                <w:color w:val="auto"/>
                <w:sz w:val="24"/>
              </w:rPr>
              <w:t>~8</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dB（A）左右，项目主要噪声设备的噪声源强统计见下表。</w:t>
            </w:r>
          </w:p>
          <w:p w14:paraId="2880A04D">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项目噪声源强调查清单（</w:t>
            </w:r>
            <w:r>
              <w:rPr>
                <w:rFonts w:hint="eastAsia" w:ascii="Times New Roman" w:hAnsi="Times New Roman" w:eastAsia="宋体" w:cs="Times New Roman"/>
                <w:b/>
                <w:bCs/>
                <w:color w:val="auto"/>
                <w:sz w:val="24"/>
                <w:lang w:val="en-US" w:eastAsia="zh-CN"/>
              </w:rPr>
              <w:t>室外</w:t>
            </w:r>
            <w:r>
              <w:rPr>
                <w:rFonts w:hint="default" w:ascii="Times New Roman" w:hAnsi="Times New Roman" w:eastAsia="宋体" w:cs="Times New Roman"/>
                <w:b/>
                <w:bCs/>
                <w:color w:val="auto"/>
                <w:sz w:val="24"/>
                <w:lang w:val="en-US" w:eastAsia="zh-CN"/>
              </w:rPr>
              <w:t>声源）</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9"/>
              <w:gridCol w:w="1047"/>
              <w:gridCol w:w="583"/>
              <w:gridCol w:w="930"/>
              <w:gridCol w:w="1005"/>
              <w:gridCol w:w="1185"/>
              <w:gridCol w:w="3981"/>
              <w:gridCol w:w="2075"/>
              <w:gridCol w:w="1942"/>
            </w:tblGrid>
            <w:tr w14:paraId="586F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10" w:type="pct"/>
                  <w:vMerge w:val="restart"/>
                  <w:vAlign w:val="center"/>
                </w:tcPr>
                <w:p w14:paraId="3779CA0B">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序号</w:t>
                  </w:r>
                </w:p>
              </w:tc>
              <w:tc>
                <w:tcPr>
                  <w:tcW w:w="393" w:type="pct"/>
                  <w:vMerge w:val="restart"/>
                  <w:vAlign w:val="center"/>
                </w:tcPr>
                <w:p w14:paraId="5D969B4B">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声源名称</w:t>
                  </w:r>
                </w:p>
              </w:tc>
              <w:tc>
                <w:tcPr>
                  <w:tcW w:w="219" w:type="pct"/>
                  <w:vMerge w:val="restart"/>
                  <w:vAlign w:val="center"/>
                </w:tcPr>
                <w:p w14:paraId="3614998F">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型号</w:t>
                  </w:r>
                </w:p>
              </w:tc>
              <w:tc>
                <w:tcPr>
                  <w:tcW w:w="1172" w:type="pct"/>
                  <w:gridSpan w:val="3"/>
                  <w:vAlign w:val="center"/>
                </w:tcPr>
                <w:p w14:paraId="00DC9B54">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空间相对位置/m</w:t>
                  </w:r>
                </w:p>
              </w:tc>
              <w:tc>
                <w:tcPr>
                  <w:tcW w:w="1495" w:type="pct"/>
                  <w:vAlign w:val="center"/>
                </w:tcPr>
                <w:p w14:paraId="4981DCC8">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bidi="zh-CN"/>
                    </w:rPr>
                  </w:pPr>
                  <w:r>
                    <w:rPr>
                      <w:rFonts w:hint="default" w:eastAsia="Times New Roman"/>
                      <w:color w:val="auto"/>
                      <w:szCs w:val="21"/>
                      <w:lang w:val="zh-CN" w:bidi="zh-CN"/>
                    </w:rPr>
                    <w:t>声源源强</w:t>
                  </w:r>
                </w:p>
              </w:tc>
              <w:tc>
                <w:tcPr>
                  <w:tcW w:w="779" w:type="pct"/>
                  <w:vMerge w:val="restart"/>
                  <w:vAlign w:val="center"/>
                </w:tcPr>
                <w:p w14:paraId="1DD1BC31">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声源控制措施</w:t>
                  </w:r>
                </w:p>
              </w:tc>
              <w:tc>
                <w:tcPr>
                  <w:tcW w:w="729" w:type="pct"/>
                  <w:vMerge w:val="restart"/>
                  <w:vAlign w:val="center"/>
                </w:tcPr>
                <w:p w14:paraId="5365B716">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运行时段</w:t>
                  </w:r>
                </w:p>
              </w:tc>
            </w:tr>
            <w:tr w14:paraId="4F69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10" w:type="pct"/>
                  <w:vMerge w:val="continue"/>
                  <w:vAlign w:val="center"/>
                </w:tcPr>
                <w:p w14:paraId="1216968C">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p>
              </w:tc>
              <w:tc>
                <w:tcPr>
                  <w:tcW w:w="393" w:type="pct"/>
                  <w:vMerge w:val="continue"/>
                  <w:vAlign w:val="center"/>
                </w:tcPr>
                <w:p w14:paraId="344A7D9B">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p>
              </w:tc>
              <w:tc>
                <w:tcPr>
                  <w:tcW w:w="219" w:type="pct"/>
                  <w:vMerge w:val="continue"/>
                  <w:vAlign w:val="center"/>
                </w:tcPr>
                <w:p w14:paraId="302CA061">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p>
              </w:tc>
              <w:tc>
                <w:tcPr>
                  <w:tcW w:w="349" w:type="pct"/>
                  <w:vAlign w:val="center"/>
                </w:tcPr>
                <w:p w14:paraId="165C2EDB">
                  <w:pPr>
                    <w:keepNext w:val="0"/>
                    <w:keepLines w:val="0"/>
                    <w:suppressLineNumbers w:val="0"/>
                    <w:autoSpaceDE w:val="0"/>
                    <w:autoSpaceDN w:val="0"/>
                    <w:spacing w:before="0" w:beforeAutospacing="0" w:after="0" w:afterAutospacing="0"/>
                    <w:ind w:left="0" w:right="0"/>
                    <w:jc w:val="center"/>
                    <w:rPr>
                      <w:rFonts w:hint="default" w:eastAsia="Times New Roman"/>
                      <w:iCs/>
                      <w:color w:val="auto"/>
                      <w:szCs w:val="21"/>
                      <w:lang w:val="zh-CN" w:eastAsia="en-US" w:bidi="zh-CN"/>
                    </w:rPr>
                  </w:pPr>
                  <w:r>
                    <w:rPr>
                      <w:rFonts w:hint="default" w:eastAsia="Times New Roman"/>
                      <w:iCs/>
                      <w:color w:val="auto"/>
                      <w:szCs w:val="21"/>
                      <w:lang w:val="zh-CN" w:eastAsia="en-US" w:bidi="zh-CN"/>
                    </w:rPr>
                    <w:t>X</w:t>
                  </w:r>
                </w:p>
              </w:tc>
              <w:tc>
                <w:tcPr>
                  <w:tcW w:w="377" w:type="pct"/>
                  <w:vAlign w:val="center"/>
                </w:tcPr>
                <w:p w14:paraId="56D20CA9">
                  <w:pPr>
                    <w:keepNext w:val="0"/>
                    <w:keepLines w:val="0"/>
                    <w:suppressLineNumbers w:val="0"/>
                    <w:autoSpaceDE w:val="0"/>
                    <w:autoSpaceDN w:val="0"/>
                    <w:spacing w:before="0" w:beforeAutospacing="0" w:after="0" w:afterAutospacing="0"/>
                    <w:ind w:left="0" w:right="0"/>
                    <w:jc w:val="center"/>
                    <w:rPr>
                      <w:rFonts w:hint="default" w:eastAsia="Times New Roman"/>
                      <w:iCs/>
                      <w:color w:val="auto"/>
                      <w:szCs w:val="21"/>
                      <w:lang w:val="zh-CN" w:eastAsia="en-US" w:bidi="zh-CN"/>
                    </w:rPr>
                  </w:pPr>
                  <w:r>
                    <w:rPr>
                      <w:rFonts w:hint="default" w:eastAsia="Times New Roman"/>
                      <w:iCs/>
                      <w:color w:val="auto"/>
                      <w:szCs w:val="21"/>
                      <w:lang w:val="zh-CN" w:eastAsia="en-US" w:bidi="zh-CN"/>
                    </w:rPr>
                    <w:t>Y</w:t>
                  </w:r>
                </w:p>
              </w:tc>
              <w:tc>
                <w:tcPr>
                  <w:tcW w:w="445" w:type="pct"/>
                  <w:vAlign w:val="center"/>
                </w:tcPr>
                <w:p w14:paraId="5AF894CC">
                  <w:pPr>
                    <w:keepNext w:val="0"/>
                    <w:keepLines w:val="0"/>
                    <w:suppressLineNumbers w:val="0"/>
                    <w:autoSpaceDE w:val="0"/>
                    <w:autoSpaceDN w:val="0"/>
                    <w:spacing w:before="0" w:beforeAutospacing="0" w:after="0" w:afterAutospacing="0"/>
                    <w:ind w:left="0" w:right="0"/>
                    <w:jc w:val="center"/>
                    <w:rPr>
                      <w:rFonts w:hint="default" w:eastAsia="Times New Roman"/>
                      <w:iCs/>
                      <w:color w:val="auto"/>
                      <w:szCs w:val="21"/>
                      <w:lang w:val="zh-CN" w:eastAsia="en-US" w:bidi="zh-CN"/>
                    </w:rPr>
                  </w:pPr>
                  <w:r>
                    <w:rPr>
                      <w:rFonts w:hint="default" w:eastAsia="Times New Roman"/>
                      <w:iCs/>
                      <w:color w:val="auto"/>
                      <w:szCs w:val="21"/>
                      <w:lang w:val="zh-CN" w:eastAsia="en-US" w:bidi="zh-CN"/>
                    </w:rPr>
                    <w:t>Z</w:t>
                  </w:r>
                </w:p>
              </w:tc>
              <w:tc>
                <w:tcPr>
                  <w:tcW w:w="1495" w:type="pct"/>
                  <w:vAlign w:val="center"/>
                </w:tcPr>
                <w:p w14:paraId="011EFDCF">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（声压级/距声源距离）/（dB(A)/m）</w:t>
                  </w:r>
                </w:p>
              </w:tc>
              <w:tc>
                <w:tcPr>
                  <w:tcW w:w="779" w:type="pct"/>
                  <w:vMerge w:val="continue"/>
                  <w:vAlign w:val="center"/>
                </w:tcPr>
                <w:p w14:paraId="78ED71A2">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p>
              </w:tc>
              <w:tc>
                <w:tcPr>
                  <w:tcW w:w="729" w:type="pct"/>
                  <w:vMerge w:val="continue"/>
                  <w:vAlign w:val="center"/>
                </w:tcPr>
                <w:p w14:paraId="49DC1A10">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p>
              </w:tc>
            </w:tr>
            <w:tr w14:paraId="5839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jc w:val="center"/>
              </w:trPr>
              <w:tc>
                <w:tcPr>
                  <w:tcW w:w="210" w:type="pct"/>
                  <w:vAlign w:val="center"/>
                </w:tcPr>
                <w:p w14:paraId="2E269CB3">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1</w:t>
                  </w:r>
                </w:p>
              </w:tc>
              <w:tc>
                <w:tcPr>
                  <w:tcW w:w="393" w:type="pct"/>
                  <w:vAlign w:val="center"/>
                </w:tcPr>
                <w:p w14:paraId="380BF8FB">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bidi="zh-CN"/>
                    </w:rPr>
                  </w:pPr>
                  <w:r>
                    <w:rPr>
                      <w:rFonts w:hint="eastAsia" w:eastAsia="Times New Roman"/>
                      <w:color w:val="auto"/>
                      <w:szCs w:val="21"/>
                      <w:lang w:val="en-US" w:bidi="zh-CN"/>
                    </w:rPr>
                    <w:t>泵</w:t>
                  </w:r>
                </w:p>
              </w:tc>
              <w:tc>
                <w:tcPr>
                  <w:tcW w:w="219" w:type="pct"/>
                  <w:vAlign w:val="center"/>
                </w:tcPr>
                <w:p w14:paraId="3EF8CDFC">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eastAsia="en-US" w:bidi="zh-CN"/>
                    </w:rPr>
                  </w:pPr>
                  <w:r>
                    <w:rPr>
                      <w:rFonts w:hint="default" w:eastAsia="Times New Roman"/>
                      <w:color w:val="auto"/>
                      <w:szCs w:val="21"/>
                      <w:lang w:eastAsia="en-US" w:bidi="zh-CN"/>
                    </w:rPr>
                    <w:t>/</w:t>
                  </w:r>
                </w:p>
              </w:tc>
              <w:tc>
                <w:tcPr>
                  <w:tcW w:w="349" w:type="pct"/>
                  <w:vAlign w:val="center"/>
                </w:tcPr>
                <w:p w14:paraId="324E3D56">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zh-CN"/>
                    </w:rPr>
                  </w:pPr>
                  <w:r>
                    <w:rPr>
                      <w:rFonts w:hint="eastAsia"/>
                      <w:color w:val="auto"/>
                      <w:szCs w:val="21"/>
                      <w:lang w:val="en-US" w:bidi="zh-CN"/>
                    </w:rPr>
                    <w:t>42</w:t>
                  </w:r>
                </w:p>
              </w:tc>
              <w:tc>
                <w:tcPr>
                  <w:tcW w:w="377" w:type="pct"/>
                  <w:vAlign w:val="center"/>
                </w:tcPr>
                <w:p w14:paraId="0BCCA5C6">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zh-CN"/>
                    </w:rPr>
                  </w:pPr>
                  <w:r>
                    <w:rPr>
                      <w:rFonts w:hint="eastAsia"/>
                      <w:color w:val="auto"/>
                      <w:szCs w:val="21"/>
                      <w:lang w:val="en-US" w:bidi="zh-CN"/>
                    </w:rPr>
                    <w:t>56</w:t>
                  </w:r>
                </w:p>
              </w:tc>
              <w:tc>
                <w:tcPr>
                  <w:tcW w:w="445" w:type="pct"/>
                  <w:vAlign w:val="center"/>
                </w:tcPr>
                <w:p w14:paraId="5306B254">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bidi="zh-CN"/>
                    </w:rPr>
                  </w:pPr>
                  <w:r>
                    <w:rPr>
                      <w:rFonts w:hint="eastAsia" w:eastAsia="Times New Roman"/>
                      <w:color w:val="auto"/>
                      <w:szCs w:val="21"/>
                      <w:lang w:val="en-US" w:bidi="zh-CN"/>
                    </w:rPr>
                    <w:t>0.5</w:t>
                  </w:r>
                </w:p>
              </w:tc>
              <w:tc>
                <w:tcPr>
                  <w:tcW w:w="1495" w:type="pct"/>
                  <w:vAlign w:val="center"/>
                </w:tcPr>
                <w:p w14:paraId="4B2E7F3E">
                  <w:pPr>
                    <w:keepNext w:val="0"/>
                    <w:keepLines w:val="0"/>
                    <w:suppressLineNumbers w:val="0"/>
                    <w:autoSpaceDE w:val="0"/>
                    <w:autoSpaceDN w:val="0"/>
                    <w:spacing w:before="0" w:beforeAutospacing="0" w:after="0" w:afterAutospacing="0"/>
                    <w:ind w:left="0" w:right="0"/>
                    <w:jc w:val="center"/>
                    <w:rPr>
                      <w:rFonts w:hint="default"/>
                      <w:color w:val="auto"/>
                      <w:szCs w:val="21"/>
                      <w:lang w:bidi="zh-CN"/>
                    </w:rPr>
                  </w:pPr>
                  <w:r>
                    <w:rPr>
                      <w:rFonts w:hint="default" w:eastAsia="Times New Roman"/>
                      <w:color w:val="auto"/>
                      <w:szCs w:val="21"/>
                      <w:lang w:eastAsia="en-US" w:bidi="zh-CN"/>
                    </w:rPr>
                    <w:t>80/1</w:t>
                  </w:r>
                </w:p>
              </w:tc>
              <w:tc>
                <w:tcPr>
                  <w:tcW w:w="779" w:type="pct"/>
                  <w:vMerge w:val="restart"/>
                  <w:vAlign w:val="center"/>
                </w:tcPr>
                <w:p w14:paraId="2ADFADAB">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snapToGrid w:val="0"/>
                      <w:color w:val="auto"/>
                    </w:rPr>
                    <w:t>低噪声设备</w:t>
                  </w:r>
                  <w:r>
                    <w:rPr>
                      <w:rFonts w:hint="default"/>
                      <w:color w:val="auto"/>
                    </w:rPr>
                    <w:t>，</w:t>
                  </w:r>
                  <w:r>
                    <w:rPr>
                      <w:rFonts w:hint="default"/>
                      <w:color w:val="auto"/>
                      <w:szCs w:val="21"/>
                    </w:rPr>
                    <w:t>隔声罩，出口消声</w:t>
                  </w:r>
                  <w:r>
                    <w:rPr>
                      <w:rFonts w:hint="default"/>
                      <w:color w:val="auto"/>
                    </w:rPr>
                    <w:t>，加强绿化</w:t>
                  </w:r>
                </w:p>
              </w:tc>
              <w:tc>
                <w:tcPr>
                  <w:tcW w:w="729" w:type="pct"/>
                  <w:vAlign w:val="center"/>
                </w:tcPr>
                <w:p w14:paraId="126BAC4C">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eastAsia="en-US" w:bidi="zh-CN"/>
                    </w:rPr>
                  </w:pPr>
                  <w:r>
                    <w:rPr>
                      <w:rFonts w:hint="eastAsia" w:eastAsia="Times New Roman"/>
                      <w:color w:val="auto"/>
                      <w:szCs w:val="21"/>
                      <w:lang w:val="en-US" w:eastAsia="en-US" w:bidi="zh-CN"/>
                    </w:rPr>
                    <w:t>昼间</w:t>
                  </w:r>
                </w:p>
              </w:tc>
            </w:tr>
            <w:tr w14:paraId="2EF9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jc w:val="center"/>
              </w:trPr>
              <w:tc>
                <w:tcPr>
                  <w:tcW w:w="210" w:type="pct"/>
                  <w:vAlign w:val="center"/>
                </w:tcPr>
                <w:p w14:paraId="6960A299">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eastAsia="en-US" w:bidi="zh-CN"/>
                    </w:rPr>
                  </w:pPr>
                  <w:r>
                    <w:rPr>
                      <w:rFonts w:hint="eastAsia" w:eastAsia="Times New Roman"/>
                      <w:color w:val="auto"/>
                      <w:szCs w:val="21"/>
                      <w:lang w:val="en-US" w:eastAsia="en-US" w:bidi="zh-CN"/>
                    </w:rPr>
                    <w:t>2</w:t>
                  </w:r>
                </w:p>
              </w:tc>
              <w:tc>
                <w:tcPr>
                  <w:tcW w:w="393" w:type="pct"/>
                  <w:vAlign w:val="center"/>
                </w:tcPr>
                <w:p w14:paraId="29667844">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bidi="zh-CN"/>
                    </w:rPr>
                  </w:pPr>
                  <w:r>
                    <w:rPr>
                      <w:rFonts w:hint="eastAsia" w:eastAsia="Times New Roman"/>
                      <w:color w:val="auto"/>
                      <w:szCs w:val="21"/>
                      <w:lang w:val="en-US" w:bidi="zh-CN"/>
                    </w:rPr>
                    <w:t>风机</w:t>
                  </w:r>
                </w:p>
              </w:tc>
              <w:tc>
                <w:tcPr>
                  <w:tcW w:w="219" w:type="pct"/>
                  <w:vAlign w:val="center"/>
                </w:tcPr>
                <w:p w14:paraId="2C642127">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eastAsia="en-US" w:bidi="zh-CN"/>
                    </w:rPr>
                  </w:pPr>
                  <w:r>
                    <w:rPr>
                      <w:rFonts w:hint="default" w:eastAsia="Times New Roman"/>
                      <w:color w:val="auto"/>
                      <w:szCs w:val="21"/>
                      <w:lang w:eastAsia="en-US" w:bidi="zh-CN"/>
                    </w:rPr>
                    <w:t>/</w:t>
                  </w:r>
                </w:p>
              </w:tc>
              <w:tc>
                <w:tcPr>
                  <w:tcW w:w="349" w:type="pct"/>
                  <w:vAlign w:val="center"/>
                </w:tcPr>
                <w:p w14:paraId="174713D7">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zh-CN"/>
                    </w:rPr>
                  </w:pPr>
                  <w:r>
                    <w:rPr>
                      <w:rFonts w:hint="eastAsia"/>
                      <w:color w:val="auto"/>
                      <w:szCs w:val="21"/>
                      <w:lang w:val="en-US" w:bidi="zh-CN"/>
                    </w:rPr>
                    <w:t>42</w:t>
                  </w:r>
                </w:p>
              </w:tc>
              <w:tc>
                <w:tcPr>
                  <w:tcW w:w="377" w:type="pct"/>
                  <w:vAlign w:val="center"/>
                </w:tcPr>
                <w:p w14:paraId="689CE53D">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zh-CN"/>
                    </w:rPr>
                  </w:pPr>
                  <w:r>
                    <w:rPr>
                      <w:rFonts w:hint="eastAsia"/>
                      <w:color w:val="auto"/>
                      <w:szCs w:val="21"/>
                      <w:lang w:val="en-US" w:bidi="zh-CN"/>
                    </w:rPr>
                    <w:t>110</w:t>
                  </w:r>
                </w:p>
              </w:tc>
              <w:tc>
                <w:tcPr>
                  <w:tcW w:w="445" w:type="pct"/>
                  <w:vAlign w:val="center"/>
                </w:tcPr>
                <w:p w14:paraId="4B27B528">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bidi="zh-CN"/>
                    </w:rPr>
                  </w:pPr>
                  <w:r>
                    <w:rPr>
                      <w:rFonts w:hint="eastAsia" w:eastAsia="Times New Roman"/>
                      <w:color w:val="auto"/>
                      <w:szCs w:val="21"/>
                      <w:lang w:val="en-US" w:bidi="zh-CN"/>
                    </w:rPr>
                    <w:t>0.5</w:t>
                  </w:r>
                </w:p>
              </w:tc>
              <w:tc>
                <w:tcPr>
                  <w:tcW w:w="1495" w:type="pct"/>
                  <w:vAlign w:val="center"/>
                </w:tcPr>
                <w:p w14:paraId="7342A193">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eastAsia="en-US" w:bidi="zh-CN"/>
                    </w:rPr>
                  </w:pPr>
                  <w:r>
                    <w:rPr>
                      <w:rFonts w:hint="default" w:eastAsia="Times New Roman"/>
                      <w:color w:val="auto"/>
                      <w:szCs w:val="21"/>
                      <w:lang w:eastAsia="en-US" w:bidi="zh-CN"/>
                    </w:rPr>
                    <w:t>80/1</w:t>
                  </w:r>
                </w:p>
              </w:tc>
              <w:tc>
                <w:tcPr>
                  <w:tcW w:w="779" w:type="pct"/>
                  <w:vMerge w:val="continue"/>
                  <w:vAlign w:val="center"/>
                </w:tcPr>
                <w:p w14:paraId="3F3DC3FC">
                  <w:pPr>
                    <w:keepNext w:val="0"/>
                    <w:keepLines w:val="0"/>
                    <w:suppressLineNumbers w:val="0"/>
                    <w:autoSpaceDE w:val="0"/>
                    <w:autoSpaceDN w:val="0"/>
                    <w:spacing w:before="0" w:beforeAutospacing="0" w:after="0" w:afterAutospacing="0"/>
                    <w:ind w:left="0" w:right="0"/>
                    <w:jc w:val="center"/>
                    <w:rPr>
                      <w:rFonts w:hint="default"/>
                      <w:snapToGrid w:val="0"/>
                      <w:color w:val="auto"/>
                    </w:rPr>
                  </w:pPr>
                </w:p>
              </w:tc>
              <w:tc>
                <w:tcPr>
                  <w:tcW w:w="729" w:type="pct"/>
                  <w:vAlign w:val="center"/>
                </w:tcPr>
                <w:p w14:paraId="7D15CFE3">
                  <w:pPr>
                    <w:keepNext w:val="0"/>
                    <w:keepLines w:val="0"/>
                    <w:suppressLineNumbers w:val="0"/>
                    <w:autoSpaceDE w:val="0"/>
                    <w:autoSpaceDN w:val="0"/>
                    <w:spacing w:before="0" w:beforeAutospacing="0" w:after="0" w:afterAutospacing="0"/>
                    <w:ind w:left="0" w:right="0"/>
                    <w:jc w:val="center"/>
                    <w:rPr>
                      <w:rFonts w:hint="eastAsia" w:ascii="Times New Roman" w:eastAsia="宋体"/>
                      <w:color w:val="auto"/>
                      <w:szCs w:val="21"/>
                      <w:lang w:val="en-US" w:eastAsia="zh-CN"/>
                    </w:rPr>
                  </w:pPr>
                  <w:r>
                    <w:rPr>
                      <w:rFonts w:hint="eastAsia" w:eastAsia="Times New Roman"/>
                      <w:color w:val="auto"/>
                      <w:szCs w:val="21"/>
                      <w:lang w:val="en-US" w:eastAsia="en-US" w:bidi="zh-CN"/>
                    </w:rPr>
                    <w:t>昼间</w:t>
                  </w:r>
                </w:p>
              </w:tc>
            </w:tr>
            <w:tr w14:paraId="3221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jc w:val="center"/>
              </w:trPr>
              <w:tc>
                <w:tcPr>
                  <w:tcW w:w="210" w:type="pct"/>
                  <w:vAlign w:val="center"/>
                </w:tcPr>
                <w:p w14:paraId="3B499838">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eastAsia="en-US" w:bidi="zh-CN"/>
                    </w:rPr>
                  </w:pPr>
                  <w:r>
                    <w:rPr>
                      <w:rFonts w:hint="eastAsia" w:eastAsia="Times New Roman"/>
                      <w:color w:val="auto"/>
                      <w:szCs w:val="21"/>
                      <w:lang w:val="en-US" w:eastAsia="en-US" w:bidi="zh-CN"/>
                    </w:rPr>
                    <w:t>3</w:t>
                  </w:r>
                </w:p>
              </w:tc>
              <w:tc>
                <w:tcPr>
                  <w:tcW w:w="393" w:type="pct"/>
                  <w:vAlign w:val="center"/>
                </w:tcPr>
                <w:p w14:paraId="3CA94A79">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bidi="zh-CN"/>
                    </w:rPr>
                  </w:pPr>
                  <w:r>
                    <w:rPr>
                      <w:rFonts w:hint="eastAsia" w:eastAsia="Times New Roman"/>
                      <w:color w:val="auto"/>
                      <w:szCs w:val="21"/>
                      <w:lang w:val="en-US" w:bidi="zh-CN"/>
                    </w:rPr>
                    <w:t>风机</w:t>
                  </w:r>
                </w:p>
              </w:tc>
              <w:tc>
                <w:tcPr>
                  <w:tcW w:w="219" w:type="pct"/>
                  <w:vAlign w:val="center"/>
                </w:tcPr>
                <w:p w14:paraId="5B930562">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eastAsia="en-US" w:bidi="zh-CN"/>
                    </w:rPr>
                  </w:pPr>
                  <w:r>
                    <w:rPr>
                      <w:rFonts w:hint="default" w:eastAsia="Times New Roman"/>
                      <w:color w:val="auto"/>
                      <w:szCs w:val="21"/>
                      <w:lang w:eastAsia="en-US" w:bidi="zh-CN"/>
                    </w:rPr>
                    <w:t>/</w:t>
                  </w:r>
                </w:p>
              </w:tc>
              <w:tc>
                <w:tcPr>
                  <w:tcW w:w="349" w:type="pct"/>
                  <w:vAlign w:val="center"/>
                </w:tcPr>
                <w:p w14:paraId="65E607E0">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zh-CN"/>
                    </w:rPr>
                  </w:pPr>
                  <w:r>
                    <w:rPr>
                      <w:rFonts w:hint="eastAsia"/>
                      <w:color w:val="auto"/>
                      <w:szCs w:val="21"/>
                      <w:lang w:val="en-US" w:bidi="zh-CN"/>
                    </w:rPr>
                    <w:t>41</w:t>
                  </w:r>
                </w:p>
              </w:tc>
              <w:tc>
                <w:tcPr>
                  <w:tcW w:w="377" w:type="pct"/>
                  <w:vAlign w:val="center"/>
                </w:tcPr>
                <w:p w14:paraId="5B2E3CC8">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zh-CN"/>
                    </w:rPr>
                  </w:pPr>
                  <w:r>
                    <w:rPr>
                      <w:rFonts w:hint="eastAsia"/>
                      <w:color w:val="auto"/>
                      <w:szCs w:val="21"/>
                      <w:lang w:val="en-US" w:bidi="zh-CN"/>
                    </w:rPr>
                    <w:t>72</w:t>
                  </w:r>
                </w:p>
              </w:tc>
              <w:tc>
                <w:tcPr>
                  <w:tcW w:w="445" w:type="pct"/>
                  <w:vAlign w:val="center"/>
                </w:tcPr>
                <w:p w14:paraId="1B7D3E43">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bidi="zh-CN"/>
                    </w:rPr>
                  </w:pPr>
                  <w:r>
                    <w:rPr>
                      <w:rFonts w:hint="eastAsia" w:eastAsia="Times New Roman"/>
                      <w:color w:val="auto"/>
                      <w:szCs w:val="21"/>
                      <w:lang w:val="en-US" w:bidi="zh-CN"/>
                    </w:rPr>
                    <w:t>0.5</w:t>
                  </w:r>
                </w:p>
              </w:tc>
              <w:tc>
                <w:tcPr>
                  <w:tcW w:w="1495" w:type="pct"/>
                  <w:vAlign w:val="center"/>
                </w:tcPr>
                <w:p w14:paraId="6C4363CB">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eastAsia="en-US" w:bidi="zh-CN"/>
                    </w:rPr>
                  </w:pPr>
                  <w:r>
                    <w:rPr>
                      <w:rFonts w:hint="default" w:eastAsia="Times New Roman"/>
                      <w:color w:val="auto"/>
                      <w:szCs w:val="21"/>
                      <w:lang w:eastAsia="en-US" w:bidi="zh-CN"/>
                    </w:rPr>
                    <w:t>80/1</w:t>
                  </w:r>
                </w:p>
              </w:tc>
              <w:tc>
                <w:tcPr>
                  <w:tcW w:w="779" w:type="pct"/>
                  <w:vMerge w:val="continue"/>
                  <w:vAlign w:val="center"/>
                </w:tcPr>
                <w:p w14:paraId="0F42BB38">
                  <w:pPr>
                    <w:keepNext w:val="0"/>
                    <w:keepLines w:val="0"/>
                    <w:suppressLineNumbers w:val="0"/>
                    <w:autoSpaceDE w:val="0"/>
                    <w:autoSpaceDN w:val="0"/>
                    <w:spacing w:before="0" w:beforeAutospacing="0" w:after="0" w:afterAutospacing="0"/>
                    <w:ind w:left="0" w:right="0"/>
                    <w:jc w:val="center"/>
                    <w:rPr>
                      <w:rFonts w:hint="default"/>
                      <w:snapToGrid w:val="0"/>
                      <w:color w:val="auto"/>
                    </w:rPr>
                  </w:pPr>
                </w:p>
              </w:tc>
              <w:tc>
                <w:tcPr>
                  <w:tcW w:w="729" w:type="pct"/>
                  <w:vAlign w:val="center"/>
                </w:tcPr>
                <w:p w14:paraId="034D19FE">
                  <w:pPr>
                    <w:keepNext w:val="0"/>
                    <w:keepLines w:val="0"/>
                    <w:suppressLineNumbers w:val="0"/>
                    <w:autoSpaceDE w:val="0"/>
                    <w:autoSpaceDN w:val="0"/>
                    <w:spacing w:before="0" w:beforeAutospacing="0" w:after="0" w:afterAutospacing="0"/>
                    <w:ind w:left="0" w:right="0"/>
                    <w:jc w:val="center"/>
                    <w:rPr>
                      <w:rFonts w:hint="eastAsia" w:ascii="Times New Roman" w:eastAsia="宋体"/>
                      <w:color w:val="auto"/>
                      <w:szCs w:val="21"/>
                      <w:lang w:val="en-US" w:eastAsia="zh-CN"/>
                    </w:rPr>
                  </w:pPr>
                  <w:r>
                    <w:rPr>
                      <w:rFonts w:hint="eastAsia" w:eastAsia="Times New Roman"/>
                      <w:color w:val="auto"/>
                      <w:szCs w:val="21"/>
                      <w:lang w:val="en-US" w:eastAsia="en-US" w:bidi="zh-CN"/>
                    </w:rPr>
                    <w:t>昼夜</w:t>
                  </w:r>
                </w:p>
              </w:tc>
            </w:tr>
          </w:tbl>
          <w:p w14:paraId="03487E02">
            <w:pPr>
              <w:keepNext w:val="0"/>
              <w:keepLines w:val="0"/>
              <w:widowControl/>
              <w:numPr>
                <w:ilvl w:val="0"/>
                <w:numId w:val="0"/>
              </w:numPr>
              <w:suppressLineNumbers w:val="0"/>
              <w:tabs>
                <w:tab w:val="left" w:pos="0"/>
              </w:tabs>
              <w:spacing w:before="0" w:beforeAutospacing="0" w:after="0" w:afterAutospacing="0" w:line="360" w:lineRule="auto"/>
              <w:ind w:left="0" w:leftChars="0" w:right="0"/>
              <w:jc w:val="both"/>
              <w:rPr>
                <w:rFonts w:hint="default"/>
                <w:b/>
                <w:color w:val="auto"/>
                <w:sz w:val="24"/>
              </w:rPr>
            </w:pPr>
            <w:r>
              <w:rPr>
                <w:rFonts w:hint="default"/>
                <w:color w:val="auto"/>
                <w:sz w:val="21"/>
                <w:szCs w:val="21"/>
              </w:rPr>
              <w:t>注：</w:t>
            </w:r>
            <w:r>
              <w:rPr>
                <w:rFonts w:hint="eastAsia"/>
                <w:bCs/>
                <w:color w:val="auto"/>
                <w:sz w:val="21"/>
                <w:szCs w:val="21"/>
              </w:rPr>
              <w:t>以</w:t>
            </w:r>
            <w:r>
              <w:rPr>
                <w:rFonts w:hint="eastAsia"/>
                <w:bCs/>
                <w:color w:val="auto"/>
                <w:sz w:val="21"/>
                <w:szCs w:val="21"/>
                <w:lang w:val="en-US" w:eastAsia="zh-CN"/>
              </w:rPr>
              <w:t>租赁</w:t>
            </w:r>
            <w:r>
              <w:rPr>
                <w:rFonts w:hint="default"/>
                <w:bCs/>
                <w:color w:val="auto"/>
                <w:sz w:val="21"/>
                <w:szCs w:val="21"/>
              </w:rPr>
              <w:t>厂房</w:t>
            </w:r>
            <w:r>
              <w:rPr>
                <w:rFonts w:hint="default" w:ascii="Times New Roman" w:hAnsi="Times New Roman" w:cs="Times New Roman"/>
                <w:bCs/>
                <w:color w:val="auto"/>
                <w:sz w:val="21"/>
                <w:szCs w:val="21"/>
                <w:lang w:val="en-US" w:eastAsia="zh-CN"/>
              </w:rPr>
              <w:t>西</w:t>
            </w:r>
            <w:r>
              <w:rPr>
                <w:rFonts w:hint="eastAsia" w:ascii="Times New Roman" w:hAnsi="Times New Roman" w:cs="Times New Roman"/>
                <w:bCs/>
                <w:color w:val="auto"/>
                <w:sz w:val="21"/>
                <w:szCs w:val="21"/>
                <w:lang w:val="en-US" w:eastAsia="zh-CN"/>
              </w:rPr>
              <w:t>南</w:t>
            </w:r>
            <w:r>
              <w:rPr>
                <w:rFonts w:hint="default" w:ascii="Times New Roman" w:hAnsi="Times New Roman" w:cs="Times New Roman"/>
                <w:bCs/>
                <w:color w:val="auto"/>
                <w:sz w:val="21"/>
                <w:szCs w:val="21"/>
              </w:rPr>
              <w:t>角（</w:t>
            </w:r>
            <w:r>
              <w:rPr>
                <w:rFonts w:hint="eastAsia" w:cs="Times New Roman"/>
                <w:bCs/>
                <w:color w:val="auto"/>
                <w:sz w:val="21"/>
                <w:szCs w:val="21"/>
                <w:lang w:val="en-US" w:eastAsia="zh-CN"/>
              </w:rPr>
              <w:t>N</w:t>
            </w:r>
            <w:r>
              <w:rPr>
                <w:rFonts w:hint="default" w:ascii="Times New Roman" w:hAnsi="Times New Roman" w:cs="Times New Roman"/>
                <w:bCs/>
                <w:color w:val="auto"/>
                <w:sz w:val="21"/>
                <w:szCs w:val="21"/>
              </w:rPr>
              <w:t>116.982620°</w:t>
            </w:r>
            <w:r>
              <w:rPr>
                <w:rFonts w:hint="eastAsia" w:cs="Times New Roman"/>
                <w:bCs/>
                <w:color w:val="auto"/>
                <w:sz w:val="21"/>
                <w:szCs w:val="21"/>
                <w:lang w:eastAsia="zh-CN"/>
              </w:rPr>
              <w:t>，</w:t>
            </w:r>
            <w:r>
              <w:rPr>
                <w:rFonts w:hint="eastAsia" w:cs="Times New Roman"/>
                <w:bCs/>
                <w:color w:val="auto"/>
                <w:sz w:val="21"/>
                <w:szCs w:val="21"/>
                <w:lang w:val="en-US" w:eastAsia="zh-CN"/>
              </w:rPr>
              <w:t>E</w:t>
            </w:r>
            <w:r>
              <w:rPr>
                <w:rFonts w:hint="eastAsia" w:cs="Times New Roman"/>
                <w:bCs/>
                <w:color w:val="auto"/>
                <w:sz w:val="21"/>
                <w:szCs w:val="21"/>
                <w:lang w:eastAsia="zh-CN"/>
              </w:rPr>
              <w:t>33.697101°</w:t>
            </w:r>
            <w:r>
              <w:rPr>
                <w:rFonts w:hint="default" w:ascii="Times New Roman" w:hAnsi="Times New Roman" w:cs="Times New Roman"/>
                <w:bCs/>
                <w:color w:val="auto"/>
                <w:sz w:val="21"/>
                <w:szCs w:val="21"/>
              </w:rPr>
              <w:t>）为坐标原点</w:t>
            </w:r>
            <w:r>
              <w:rPr>
                <w:rFonts w:hint="default" w:ascii="Times New Roman" w:hAnsi="Times New Roman" w:cs="Times New Roman"/>
                <w:color w:val="auto"/>
                <w:sz w:val="21"/>
                <w:szCs w:val="21"/>
              </w:rPr>
              <w:t>；</w:t>
            </w:r>
            <w:r>
              <w:rPr>
                <w:rFonts w:hint="eastAsia"/>
                <w:color w:val="auto"/>
                <w:sz w:val="21"/>
                <w:szCs w:val="21"/>
              </w:rPr>
              <w:t>同类设备集中区域，取中心点坐标。</w:t>
            </w:r>
          </w:p>
          <w:p w14:paraId="5BD6EDE9">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项目噪声源强调查清单（室内声源）</w:t>
            </w:r>
          </w:p>
          <w:tbl>
            <w:tblPr>
              <w:tblStyle w:val="35"/>
              <w:tblW w:w="5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7"/>
              <w:gridCol w:w="797"/>
              <w:gridCol w:w="1473"/>
              <w:gridCol w:w="511"/>
              <w:gridCol w:w="1215"/>
              <w:gridCol w:w="1000"/>
              <w:gridCol w:w="550"/>
              <w:gridCol w:w="550"/>
              <w:gridCol w:w="550"/>
              <w:gridCol w:w="930"/>
              <w:gridCol w:w="1050"/>
              <w:gridCol w:w="1304"/>
              <w:gridCol w:w="1157"/>
              <w:gridCol w:w="835"/>
              <w:gridCol w:w="861"/>
            </w:tblGrid>
            <w:tr w14:paraId="3EC6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blHeader/>
                <w:jc w:val="center"/>
              </w:trPr>
              <w:tc>
                <w:tcPr>
                  <w:tcW w:w="212" w:type="pct"/>
                  <w:vMerge w:val="restart"/>
                  <w:vAlign w:val="center"/>
                </w:tcPr>
                <w:p w14:paraId="7230B9E2">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序号</w:t>
                  </w:r>
                </w:p>
              </w:tc>
              <w:tc>
                <w:tcPr>
                  <w:tcW w:w="298" w:type="pct"/>
                  <w:vMerge w:val="restart"/>
                  <w:vAlign w:val="center"/>
                </w:tcPr>
                <w:p w14:paraId="1B506988">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建筑物名称</w:t>
                  </w:r>
                </w:p>
              </w:tc>
              <w:tc>
                <w:tcPr>
                  <w:tcW w:w="551" w:type="pct"/>
                  <w:vMerge w:val="restart"/>
                  <w:vAlign w:val="center"/>
                </w:tcPr>
                <w:p w14:paraId="1EBD9C88">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声源名称</w:t>
                  </w:r>
                </w:p>
              </w:tc>
              <w:tc>
                <w:tcPr>
                  <w:tcW w:w="191" w:type="pct"/>
                  <w:vMerge w:val="restart"/>
                  <w:vAlign w:val="center"/>
                </w:tcPr>
                <w:p w14:paraId="5B8D8B76">
                  <w:pPr>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数量</w:t>
                  </w:r>
                </w:p>
              </w:tc>
              <w:tc>
                <w:tcPr>
                  <w:tcW w:w="455" w:type="pct"/>
                  <w:vMerge w:val="restart"/>
                  <w:vAlign w:val="center"/>
                </w:tcPr>
                <w:p w14:paraId="4D294406">
                  <w:pPr>
                    <w:keepNext w:val="0"/>
                    <w:keepLines w:val="0"/>
                    <w:suppressLineNumbers w:val="0"/>
                    <w:spacing w:before="0" w:beforeAutospacing="0" w:after="0" w:afterAutospacing="0"/>
                    <w:ind w:left="0" w:right="0"/>
                    <w:jc w:val="center"/>
                    <w:rPr>
                      <w:rFonts w:hint="default"/>
                      <w:color w:val="auto"/>
                      <w:lang w:val="zh-CN"/>
                    </w:rPr>
                  </w:pPr>
                  <w:r>
                    <w:rPr>
                      <w:rFonts w:hint="default"/>
                      <w:color w:val="auto"/>
                      <w:lang w:val="zh-CN" w:eastAsia="en-US"/>
                    </w:rPr>
                    <w:t>（声压级/距声源距离）/（dB(A)/m）</w:t>
                  </w:r>
                </w:p>
              </w:tc>
              <w:tc>
                <w:tcPr>
                  <w:tcW w:w="374" w:type="pct"/>
                  <w:vMerge w:val="restart"/>
                  <w:vAlign w:val="center"/>
                </w:tcPr>
                <w:p w14:paraId="25DA2670">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声源控制措施</w:t>
                  </w:r>
                </w:p>
              </w:tc>
              <w:tc>
                <w:tcPr>
                  <w:tcW w:w="617" w:type="pct"/>
                  <w:gridSpan w:val="3"/>
                  <w:vAlign w:val="center"/>
                </w:tcPr>
                <w:p w14:paraId="6C9AD23A">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空间相对位置/m</w:t>
                  </w:r>
                </w:p>
              </w:tc>
              <w:tc>
                <w:tcPr>
                  <w:tcW w:w="348" w:type="pct"/>
                  <w:vMerge w:val="restart"/>
                  <w:vAlign w:val="center"/>
                </w:tcPr>
                <w:p w14:paraId="5077025B">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距室内边界距离/m</w:t>
                  </w:r>
                </w:p>
              </w:tc>
              <w:tc>
                <w:tcPr>
                  <w:tcW w:w="393" w:type="pct"/>
                  <w:vMerge w:val="restart"/>
                  <w:vAlign w:val="center"/>
                </w:tcPr>
                <w:p w14:paraId="72C257EC">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室内边界声级/dB(A)</w:t>
                  </w:r>
                </w:p>
              </w:tc>
              <w:tc>
                <w:tcPr>
                  <w:tcW w:w="488" w:type="pct"/>
                  <w:vMerge w:val="restart"/>
                  <w:vAlign w:val="center"/>
                </w:tcPr>
                <w:p w14:paraId="49788171">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运行时段</w:t>
                  </w:r>
                </w:p>
              </w:tc>
              <w:tc>
                <w:tcPr>
                  <w:tcW w:w="433" w:type="pct"/>
                  <w:vMerge w:val="restart"/>
                  <w:vAlign w:val="center"/>
                </w:tcPr>
                <w:p w14:paraId="54579E92">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建筑物插入损失/dB(A)</w:t>
                  </w:r>
                </w:p>
              </w:tc>
              <w:tc>
                <w:tcPr>
                  <w:tcW w:w="635" w:type="pct"/>
                  <w:gridSpan w:val="2"/>
                  <w:vAlign w:val="center"/>
                </w:tcPr>
                <w:p w14:paraId="44E094FE">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建筑物外噪声</w:t>
                  </w:r>
                </w:p>
              </w:tc>
            </w:tr>
            <w:tr w14:paraId="21E0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blHeader/>
                <w:jc w:val="center"/>
              </w:trPr>
              <w:tc>
                <w:tcPr>
                  <w:tcW w:w="212" w:type="pct"/>
                  <w:vMerge w:val="continue"/>
                  <w:vAlign w:val="center"/>
                </w:tcPr>
                <w:p w14:paraId="2A62BA0D">
                  <w:pPr>
                    <w:keepNext w:val="0"/>
                    <w:keepLines w:val="0"/>
                    <w:suppressLineNumbers w:val="0"/>
                    <w:spacing w:before="0" w:beforeAutospacing="0" w:after="0" w:afterAutospacing="0"/>
                    <w:ind w:left="0" w:right="0"/>
                    <w:jc w:val="center"/>
                    <w:rPr>
                      <w:rFonts w:hint="default"/>
                      <w:color w:val="auto"/>
                      <w:lang w:val="zh-CN" w:eastAsia="en-US"/>
                    </w:rPr>
                  </w:pPr>
                </w:p>
              </w:tc>
              <w:tc>
                <w:tcPr>
                  <w:tcW w:w="298" w:type="pct"/>
                  <w:vMerge w:val="continue"/>
                  <w:vAlign w:val="center"/>
                </w:tcPr>
                <w:p w14:paraId="6E5D453A">
                  <w:pPr>
                    <w:keepNext w:val="0"/>
                    <w:keepLines w:val="0"/>
                    <w:suppressLineNumbers w:val="0"/>
                    <w:spacing w:before="0" w:beforeAutospacing="0" w:after="0" w:afterAutospacing="0"/>
                    <w:ind w:left="0" w:right="0"/>
                    <w:jc w:val="center"/>
                    <w:rPr>
                      <w:rFonts w:hint="default"/>
                      <w:color w:val="auto"/>
                      <w:lang w:val="zh-CN" w:eastAsia="en-US"/>
                    </w:rPr>
                  </w:pPr>
                </w:p>
              </w:tc>
              <w:tc>
                <w:tcPr>
                  <w:tcW w:w="551" w:type="pct"/>
                  <w:vMerge w:val="continue"/>
                  <w:vAlign w:val="center"/>
                </w:tcPr>
                <w:p w14:paraId="590E3222">
                  <w:pPr>
                    <w:keepNext w:val="0"/>
                    <w:keepLines w:val="0"/>
                    <w:suppressLineNumbers w:val="0"/>
                    <w:spacing w:before="0" w:beforeAutospacing="0" w:after="0" w:afterAutospacing="0"/>
                    <w:ind w:left="0" w:right="0"/>
                    <w:jc w:val="center"/>
                    <w:rPr>
                      <w:rFonts w:hint="default"/>
                      <w:color w:val="auto"/>
                      <w:lang w:val="zh-CN" w:eastAsia="en-US"/>
                    </w:rPr>
                  </w:pPr>
                </w:p>
              </w:tc>
              <w:tc>
                <w:tcPr>
                  <w:tcW w:w="191" w:type="pct"/>
                  <w:vMerge w:val="continue"/>
                  <w:vAlign w:val="center"/>
                </w:tcPr>
                <w:p w14:paraId="31F844D5">
                  <w:pPr>
                    <w:keepNext w:val="0"/>
                    <w:keepLines w:val="0"/>
                    <w:suppressLineNumbers w:val="0"/>
                    <w:spacing w:before="0" w:beforeAutospacing="0" w:after="0" w:afterAutospacing="0"/>
                    <w:ind w:left="0" w:right="0"/>
                    <w:jc w:val="center"/>
                    <w:rPr>
                      <w:rFonts w:hint="default"/>
                      <w:color w:val="auto"/>
                      <w:lang w:val="zh-CN" w:eastAsia="en-US"/>
                    </w:rPr>
                  </w:pPr>
                </w:p>
              </w:tc>
              <w:tc>
                <w:tcPr>
                  <w:tcW w:w="455" w:type="pct"/>
                  <w:vMerge w:val="continue"/>
                  <w:vAlign w:val="center"/>
                </w:tcPr>
                <w:p w14:paraId="230E6AB2">
                  <w:pPr>
                    <w:keepNext w:val="0"/>
                    <w:keepLines w:val="0"/>
                    <w:suppressLineNumbers w:val="0"/>
                    <w:spacing w:before="0" w:beforeAutospacing="0" w:after="0" w:afterAutospacing="0"/>
                    <w:ind w:left="0" w:right="0"/>
                    <w:jc w:val="center"/>
                    <w:rPr>
                      <w:rFonts w:hint="default"/>
                      <w:color w:val="auto"/>
                      <w:lang w:val="zh-CN" w:eastAsia="en-US"/>
                    </w:rPr>
                  </w:pPr>
                </w:p>
              </w:tc>
              <w:tc>
                <w:tcPr>
                  <w:tcW w:w="374" w:type="pct"/>
                  <w:vMerge w:val="continue"/>
                  <w:vAlign w:val="center"/>
                </w:tcPr>
                <w:p w14:paraId="5117B812">
                  <w:pPr>
                    <w:keepNext w:val="0"/>
                    <w:keepLines w:val="0"/>
                    <w:suppressLineNumbers w:val="0"/>
                    <w:spacing w:before="0" w:beforeAutospacing="0" w:after="0" w:afterAutospacing="0"/>
                    <w:ind w:left="0" w:right="0"/>
                    <w:jc w:val="center"/>
                    <w:rPr>
                      <w:rFonts w:hint="default"/>
                      <w:color w:val="auto"/>
                      <w:lang w:val="zh-CN" w:eastAsia="en-US"/>
                    </w:rPr>
                  </w:pPr>
                </w:p>
              </w:tc>
              <w:tc>
                <w:tcPr>
                  <w:tcW w:w="205" w:type="pct"/>
                  <w:vAlign w:val="center"/>
                </w:tcPr>
                <w:p w14:paraId="5BEE9F15">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X</w:t>
                  </w:r>
                </w:p>
              </w:tc>
              <w:tc>
                <w:tcPr>
                  <w:tcW w:w="205" w:type="pct"/>
                  <w:vAlign w:val="center"/>
                </w:tcPr>
                <w:p w14:paraId="367713FA">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Y</w:t>
                  </w:r>
                </w:p>
              </w:tc>
              <w:tc>
                <w:tcPr>
                  <w:tcW w:w="205" w:type="pct"/>
                  <w:vAlign w:val="center"/>
                </w:tcPr>
                <w:p w14:paraId="233C800E">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Z</w:t>
                  </w:r>
                </w:p>
              </w:tc>
              <w:tc>
                <w:tcPr>
                  <w:tcW w:w="348" w:type="pct"/>
                  <w:vMerge w:val="continue"/>
                  <w:vAlign w:val="center"/>
                </w:tcPr>
                <w:p w14:paraId="70196783">
                  <w:pPr>
                    <w:keepNext w:val="0"/>
                    <w:keepLines w:val="0"/>
                    <w:suppressLineNumbers w:val="0"/>
                    <w:spacing w:before="0" w:beforeAutospacing="0" w:after="0" w:afterAutospacing="0"/>
                    <w:ind w:left="0" w:right="0"/>
                    <w:jc w:val="center"/>
                    <w:rPr>
                      <w:rFonts w:hint="default"/>
                      <w:color w:val="auto"/>
                      <w:lang w:val="zh-CN" w:eastAsia="en-US"/>
                    </w:rPr>
                  </w:pPr>
                </w:p>
              </w:tc>
              <w:tc>
                <w:tcPr>
                  <w:tcW w:w="393" w:type="pct"/>
                  <w:vMerge w:val="continue"/>
                  <w:vAlign w:val="center"/>
                </w:tcPr>
                <w:p w14:paraId="66C20978">
                  <w:pPr>
                    <w:keepNext w:val="0"/>
                    <w:keepLines w:val="0"/>
                    <w:suppressLineNumbers w:val="0"/>
                    <w:spacing w:before="0" w:beforeAutospacing="0" w:after="0" w:afterAutospacing="0"/>
                    <w:ind w:left="0" w:right="0"/>
                    <w:jc w:val="center"/>
                    <w:rPr>
                      <w:rFonts w:hint="default"/>
                      <w:color w:val="auto"/>
                      <w:lang w:val="zh-CN" w:eastAsia="en-US"/>
                    </w:rPr>
                  </w:pPr>
                </w:p>
              </w:tc>
              <w:tc>
                <w:tcPr>
                  <w:tcW w:w="488" w:type="pct"/>
                  <w:vMerge w:val="continue"/>
                  <w:vAlign w:val="center"/>
                </w:tcPr>
                <w:p w14:paraId="534C3136">
                  <w:pPr>
                    <w:keepNext w:val="0"/>
                    <w:keepLines w:val="0"/>
                    <w:suppressLineNumbers w:val="0"/>
                    <w:spacing w:before="0" w:beforeAutospacing="0" w:after="0" w:afterAutospacing="0"/>
                    <w:ind w:left="0" w:right="0"/>
                    <w:jc w:val="center"/>
                    <w:rPr>
                      <w:rFonts w:hint="default"/>
                      <w:color w:val="auto"/>
                      <w:lang w:val="zh-CN" w:eastAsia="en-US"/>
                    </w:rPr>
                  </w:pPr>
                </w:p>
              </w:tc>
              <w:tc>
                <w:tcPr>
                  <w:tcW w:w="433" w:type="pct"/>
                  <w:vMerge w:val="continue"/>
                  <w:vAlign w:val="center"/>
                </w:tcPr>
                <w:p w14:paraId="4B23F8B1">
                  <w:pPr>
                    <w:keepNext w:val="0"/>
                    <w:keepLines w:val="0"/>
                    <w:suppressLineNumbers w:val="0"/>
                    <w:spacing w:before="0" w:beforeAutospacing="0" w:after="0" w:afterAutospacing="0"/>
                    <w:ind w:left="0" w:right="0"/>
                    <w:jc w:val="center"/>
                    <w:rPr>
                      <w:rFonts w:hint="default"/>
                      <w:color w:val="auto"/>
                      <w:lang w:val="zh-CN" w:eastAsia="en-US"/>
                    </w:rPr>
                  </w:pPr>
                </w:p>
              </w:tc>
              <w:tc>
                <w:tcPr>
                  <w:tcW w:w="312" w:type="pct"/>
                  <w:vAlign w:val="center"/>
                </w:tcPr>
                <w:p w14:paraId="6FAE41F4">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声压级</w:t>
                  </w:r>
                </w:p>
                <w:p w14:paraId="09D7534F">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/dB(A)</w:t>
                  </w:r>
                </w:p>
              </w:tc>
              <w:tc>
                <w:tcPr>
                  <w:tcW w:w="322" w:type="pct"/>
                  <w:vAlign w:val="center"/>
                </w:tcPr>
                <w:p w14:paraId="293FBCE7">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建筑物外距离</w:t>
                  </w:r>
                </w:p>
              </w:tc>
            </w:tr>
            <w:tr w14:paraId="1C6B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212" w:type="pct"/>
                  <w:vAlign w:val="center"/>
                </w:tcPr>
                <w:p w14:paraId="101FA16E">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w:t>
                  </w:r>
                </w:p>
              </w:tc>
              <w:tc>
                <w:tcPr>
                  <w:tcW w:w="298" w:type="pct"/>
                  <w:vMerge w:val="restart"/>
                  <w:vAlign w:val="center"/>
                </w:tcPr>
                <w:p w14:paraId="6744ECAE">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厂房</w:t>
                  </w:r>
                </w:p>
              </w:tc>
              <w:tc>
                <w:tcPr>
                  <w:tcW w:w="551" w:type="pct"/>
                  <w:shd w:val="clear" w:color="auto" w:fill="auto"/>
                  <w:vAlign w:val="center"/>
                </w:tcPr>
                <w:p w14:paraId="74D428E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zh-TW" w:eastAsia="zh-TW" w:bidi="zh-CN"/>
                    </w:rPr>
                  </w:pPr>
                  <w:r>
                    <w:rPr>
                      <w:rFonts w:hint="default" w:ascii="Times New Roman" w:hAnsi="Times New Roman" w:eastAsia="Times New Roman" w:cs="Times New Roman"/>
                      <w:color w:val="auto"/>
                      <w:szCs w:val="21"/>
                      <w:lang w:val="en-US" w:eastAsia="zh-CN" w:bidi="zh-CN"/>
                    </w:rPr>
                    <w:t>三维运动混合机</w:t>
                  </w:r>
                </w:p>
              </w:tc>
              <w:tc>
                <w:tcPr>
                  <w:tcW w:w="191" w:type="pct"/>
                  <w:vAlign w:val="center"/>
                </w:tcPr>
                <w:p w14:paraId="059CA187">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2</w:t>
                  </w:r>
                </w:p>
              </w:tc>
              <w:tc>
                <w:tcPr>
                  <w:tcW w:w="455" w:type="pct"/>
                  <w:vAlign w:val="center"/>
                </w:tcPr>
                <w:p w14:paraId="2077808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bidi="zh-CN"/>
                    </w:rPr>
                  </w:pPr>
                  <w:r>
                    <w:rPr>
                      <w:rFonts w:hint="default" w:ascii="Times New Roman" w:hAnsi="Times New Roman" w:cs="Times New Roman"/>
                      <w:color w:val="auto"/>
                      <w:kern w:val="0"/>
                      <w:szCs w:val="21"/>
                      <w:highlight w:val="none"/>
                    </w:rPr>
                    <w:t>80/1</w:t>
                  </w:r>
                </w:p>
              </w:tc>
              <w:tc>
                <w:tcPr>
                  <w:tcW w:w="374" w:type="pct"/>
                  <w:vMerge w:val="restart"/>
                  <w:vAlign w:val="center"/>
                </w:tcPr>
                <w:p w14:paraId="3D53995B">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低噪设备，厂房隔声，基础减震</w:t>
                  </w:r>
                  <w:r>
                    <w:rPr>
                      <w:rFonts w:hint="eastAsia" w:ascii="Times New Roman" w:hAnsi="Times New Roman" w:eastAsia="Times New Roman" w:cs="Times New Roman"/>
                      <w:color w:val="auto"/>
                      <w:szCs w:val="21"/>
                      <w:lang w:val="en-US" w:eastAsia="zh-CN" w:bidi="zh-CN"/>
                    </w:rPr>
                    <w:t>，</w:t>
                  </w:r>
                  <w:r>
                    <w:rPr>
                      <w:rFonts w:hint="eastAsia" w:ascii="Times New Roman" w:hAnsi="Times New Roman" w:eastAsia="Times New Roman" w:cs="Times New Roman"/>
                      <w:color w:val="auto"/>
                      <w:szCs w:val="21"/>
                      <w:lang w:val="en-US" w:bidi="zh-CN"/>
                    </w:rPr>
                    <w:t>加强绿化</w:t>
                  </w:r>
                  <w:r>
                    <w:rPr>
                      <w:rFonts w:hint="eastAsia" w:ascii="Times New Roman" w:hAnsi="Times New Roman" w:eastAsia="Times New Roman" w:cs="Times New Roman"/>
                      <w:color w:val="auto"/>
                      <w:szCs w:val="21"/>
                      <w:lang w:val="en-US" w:eastAsia="zh-CN" w:bidi="zh-CN"/>
                    </w:rPr>
                    <w:t>。</w:t>
                  </w:r>
                </w:p>
              </w:tc>
              <w:tc>
                <w:tcPr>
                  <w:tcW w:w="205" w:type="pct"/>
                  <w:vAlign w:val="center"/>
                </w:tcPr>
                <w:p w14:paraId="44EAA01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32</w:t>
                  </w:r>
                </w:p>
              </w:tc>
              <w:tc>
                <w:tcPr>
                  <w:tcW w:w="205" w:type="pct"/>
                  <w:vAlign w:val="center"/>
                </w:tcPr>
                <w:p w14:paraId="65FE33A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97</w:t>
                  </w:r>
                </w:p>
              </w:tc>
              <w:tc>
                <w:tcPr>
                  <w:tcW w:w="205" w:type="pct"/>
                  <w:vAlign w:val="center"/>
                </w:tcPr>
                <w:p w14:paraId="5B69F2C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1A6E1BE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10</w:t>
                  </w:r>
                </w:p>
              </w:tc>
              <w:tc>
                <w:tcPr>
                  <w:tcW w:w="393" w:type="pct"/>
                  <w:vAlign w:val="center"/>
                </w:tcPr>
                <w:p w14:paraId="3C09CD9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66.0</w:t>
                  </w:r>
                </w:p>
              </w:tc>
              <w:tc>
                <w:tcPr>
                  <w:tcW w:w="488" w:type="pct"/>
                  <w:vAlign w:val="center"/>
                </w:tcPr>
                <w:p w14:paraId="56222BA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zh-CN" w:eastAsia="zh-CN" w:bidi="zh-CN"/>
                    </w:rPr>
                  </w:pPr>
                  <w:r>
                    <w:rPr>
                      <w:rFonts w:hint="eastAsia" w:eastAsia="Times New Roman"/>
                      <w:color w:val="auto"/>
                      <w:szCs w:val="21"/>
                      <w:lang w:val="en-US" w:eastAsia="en-US" w:bidi="zh-CN"/>
                    </w:rPr>
                    <w:t>昼间</w:t>
                  </w:r>
                </w:p>
              </w:tc>
              <w:tc>
                <w:tcPr>
                  <w:tcW w:w="433" w:type="pct"/>
                  <w:vAlign w:val="center"/>
                </w:tcPr>
                <w:p w14:paraId="22C73632">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574732D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46.0 </w:t>
                  </w:r>
                </w:p>
              </w:tc>
              <w:tc>
                <w:tcPr>
                  <w:tcW w:w="322" w:type="pct"/>
                  <w:vAlign w:val="center"/>
                </w:tcPr>
                <w:p w14:paraId="48231C0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10</w:t>
                  </w:r>
                </w:p>
              </w:tc>
            </w:tr>
            <w:tr w14:paraId="4F40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212" w:type="pct"/>
                  <w:vAlign w:val="center"/>
                </w:tcPr>
                <w:p w14:paraId="489A7D6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2</w:t>
                  </w:r>
                </w:p>
              </w:tc>
              <w:tc>
                <w:tcPr>
                  <w:tcW w:w="298" w:type="pct"/>
                  <w:vMerge w:val="continue"/>
                  <w:vAlign w:val="center"/>
                </w:tcPr>
                <w:p w14:paraId="1CC5E42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3C30EBA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方锥混合机</w:t>
                  </w:r>
                </w:p>
              </w:tc>
              <w:tc>
                <w:tcPr>
                  <w:tcW w:w="191" w:type="pct"/>
                  <w:vAlign w:val="center"/>
                </w:tcPr>
                <w:p w14:paraId="3596DAA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1</w:t>
                  </w:r>
                </w:p>
              </w:tc>
              <w:tc>
                <w:tcPr>
                  <w:tcW w:w="455" w:type="pct"/>
                  <w:vAlign w:val="center"/>
                </w:tcPr>
                <w:p w14:paraId="62B516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auto"/>
                      <w:szCs w:val="21"/>
                      <w:lang w:val="en-US" w:eastAsia="zh-CN" w:bidi="zh-CN"/>
                    </w:rPr>
                  </w:pPr>
                  <w:r>
                    <w:rPr>
                      <w:rFonts w:hint="default" w:ascii="Times New Roman" w:hAnsi="Times New Roman" w:cs="Times New Roman"/>
                      <w:color w:val="auto"/>
                      <w:kern w:val="0"/>
                      <w:szCs w:val="21"/>
                      <w:highlight w:val="none"/>
                    </w:rPr>
                    <w:t>83/1</w:t>
                  </w:r>
                </w:p>
              </w:tc>
              <w:tc>
                <w:tcPr>
                  <w:tcW w:w="374" w:type="pct"/>
                  <w:vMerge w:val="continue"/>
                  <w:vAlign w:val="center"/>
                </w:tcPr>
                <w:p w14:paraId="536BF07A">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678230D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32</w:t>
                  </w:r>
                </w:p>
              </w:tc>
              <w:tc>
                <w:tcPr>
                  <w:tcW w:w="205" w:type="pct"/>
                  <w:vAlign w:val="center"/>
                </w:tcPr>
                <w:p w14:paraId="770FCC8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93</w:t>
                  </w:r>
                </w:p>
              </w:tc>
              <w:tc>
                <w:tcPr>
                  <w:tcW w:w="205" w:type="pct"/>
                  <w:vAlign w:val="center"/>
                </w:tcPr>
                <w:p w14:paraId="0633D99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03DE506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10</w:t>
                  </w:r>
                </w:p>
              </w:tc>
              <w:tc>
                <w:tcPr>
                  <w:tcW w:w="393" w:type="pct"/>
                  <w:vAlign w:val="center"/>
                </w:tcPr>
                <w:p w14:paraId="348D72B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69.0</w:t>
                  </w:r>
                </w:p>
              </w:tc>
              <w:tc>
                <w:tcPr>
                  <w:tcW w:w="488" w:type="pct"/>
                  <w:vAlign w:val="center"/>
                </w:tcPr>
                <w:p w14:paraId="485CC11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58A84F2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25A572A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49.0 </w:t>
                  </w:r>
                </w:p>
              </w:tc>
              <w:tc>
                <w:tcPr>
                  <w:tcW w:w="322" w:type="pct"/>
                  <w:vAlign w:val="center"/>
                </w:tcPr>
                <w:p w14:paraId="0F80ADF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10</w:t>
                  </w:r>
                </w:p>
              </w:tc>
            </w:tr>
            <w:tr w14:paraId="6ADA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0D19ACB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3</w:t>
                  </w:r>
                </w:p>
              </w:tc>
              <w:tc>
                <w:tcPr>
                  <w:tcW w:w="298" w:type="pct"/>
                  <w:vMerge w:val="continue"/>
                  <w:vAlign w:val="center"/>
                </w:tcPr>
                <w:p w14:paraId="0CFF747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3C1F7A0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热风循环烘箱</w:t>
                  </w:r>
                </w:p>
              </w:tc>
              <w:tc>
                <w:tcPr>
                  <w:tcW w:w="191" w:type="pct"/>
                  <w:vAlign w:val="center"/>
                </w:tcPr>
                <w:p w14:paraId="367DB4A9">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2</w:t>
                  </w:r>
                </w:p>
              </w:tc>
              <w:tc>
                <w:tcPr>
                  <w:tcW w:w="455" w:type="pct"/>
                  <w:vAlign w:val="center"/>
                </w:tcPr>
                <w:p w14:paraId="66740A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auto"/>
                      <w:szCs w:val="21"/>
                      <w:lang w:val="en-US" w:eastAsia="zh-CN" w:bidi="zh-CN"/>
                    </w:rPr>
                  </w:pPr>
                  <w:r>
                    <w:rPr>
                      <w:rFonts w:hint="default" w:ascii="Times New Roman" w:hAnsi="Times New Roman" w:cs="Times New Roman"/>
                      <w:color w:val="auto"/>
                      <w:kern w:val="0"/>
                      <w:szCs w:val="21"/>
                      <w:highlight w:val="none"/>
                    </w:rPr>
                    <w:t>8</w:t>
                  </w:r>
                  <w:r>
                    <w:rPr>
                      <w:rFonts w:hint="eastAsia"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/1</w:t>
                  </w:r>
                </w:p>
              </w:tc>
              <w:tc>
                <w:tcPr>
                  <w:tcW w:w="374" w:type="pct"/>
                  <w:vMerge w:val="continue"/>
                  <w:vAlign w:val="center"/>
                </w:tcPr>
                <w:p w14:paraId="0E84E90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785E4DE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205" w:type="pct"/>
                  <w:vAlign w:val="center"/>
                </w:tcPr>
                <w:p w14:paraId="4265140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85</w:t>
                  </w:r>
                </w:p>
              </w:tc>
              <w:tc>
                <w:tcPr>
                  <w:tcW w:w="205" w:type="pct"/>
                  <w:vAlign w:val="center"/>
                </w:tcPr>
                <w:p w14:paraId="1AF1B61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5FC9E6F8">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10</w:t>
                  </w:r>
                </w:p>
              </w:tc>
              <w:tc>
                <w:tcPr>
                  <w:tcW w:w="393" w:type="pct"/>
                  <w:vAlign w:val="center"/>
                </w:tcPr>
                <w:p w14:paraId="7B399AD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72.0</w:t>
                  </w:r>
                </w:p>
              </w:tc>
              <w:tc>
                <w:tcPr>
                  <w:tcW w:w="488" w:type="pct"/>
                  <w:vAlign w:val="center"/>
                </w:tcPr>
                <w:p w14:paraId="5B803F2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zh-CN" w:eastAsia="zh-CN" w:bidi="zh-CN"/>
                    </w:rPr>
                  </w:pPr>
                  <w:r>
                    <w:rPr>
                      <w:rFonts w:hint="eastAsia" w:eastAsia="Times New Roman"/>
                      <w:color w:val="auto"/>
                      <w:szCs w:val="21"/>
                      <w:lang w:val="en-US" w:eastAsia="en-US" w:bidi="zh-CN"/>
                    </w:rPr>
                    <w:t>昼间</w:t>
                  </w:r>
                </w:p>
              </w:tc>
              <w:tc>
                <w:tcPr>
                  <w:tcW w:w="433" w:type="pct"/>
                  <w:vAlign w:val="center"/>
                </w:tcPr>
                <w:p w14:paraId="517EF8FC">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76FFE2D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52.0 </w:t>
                  </w:r>
                </w:p>
              </w:tc>
              <w:tc>
                <w:tcPr>
                  <w:tcW w:w="322" w:type="pct"/>
                  <w:vAlign w:val="center"/>
                </w:tcPr>
                <w:p w14:paraId="23829E4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10</w:t>
                  </w:r>
                </w:p>
              </w:tc>
            </w:tr>
            <w:tr w14:paraId="7CB5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343D82E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4</w:t>
                  </w:r>
                </w:p>
              </w:tc>
              <w:tc>
                <w:tcPr>
                  <w:tcW w:w="298" w:type="pct"/>
                  <w:vMerge w:val="continue"/>
                  <w:vAlign w:val="center"/>
                </w:tcPr>
                <w:p w14:paraId="1C5A9F3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0ABB6D9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过筛机</w:t>
                  </w:r>
                </w:p>
              </w:tc>
              <w:tc>
                <w:tcPr>
                  <w:tcW w:w="191" w:type="pct"/>
                  <w:vAlign w:val="center"/>
                </w:tcPr>
                <w:p w14:paraId="53CF556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宋体" w:cs="Times New Roman"/>
                      <w:color w:val="auto"/>
                      <w:sz w:val="21"/>
                      <w:szCs w:val="21"/>
                      <w:vertAlign w:val="baseline"/>
                      <w:lang w:val="en-US" w:eastAsia="zh-CN"/>
                    </w:rPr>
                    <w:t>3</w:t>
                  </w:r>
                </w:p>
              </w:tc>
              <w:tc>
                <w:tcPr>
                  <w:tcW w:w="455" w:type="pct"/>
                  <w:vAlign w:val="center"/>
                </w:tcPr>
                <w:p w14:paraId="1AC6712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default" w:ascii="Times New Roman" w:hAnsi="Times New Roman" w:cs="Times New Roman"/>
                      <w:color w:val="auto"/>
                      <w:kern w:val="0"/>
                      <w:szCs w:val="21"/>
                      <w:highlight w:val="none"/>
                    </w:rPr>
                    <w:t>83/1</w:t>
                  </w:r>
                </w:p>
              </w:tc>
              <w:tc>
                <w:tcPr>
                  <w:tcW w:w="374" w:type="pct"/>
                  <w:vMerge w:val="continue"/>
                  <w:vAlign w:val="center"/>
                </w:tcPr>
                <w:p w14:paraId="55BE3CD3">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65E890C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10</w:t>
                  </w:r>
                </w:p>
              </w:tc>
              <w:tc>
                <w:tcPr>
                  <w:tcW w:w="205" w:type="pct"/>
                  <w:vAlign w:val="center"/>
                </w:tcPr>
                <w:p w14:paraId="3B10747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65</w:t>
                  </w:r>
                </w:p>
              </w:tc>
              <w:tc>
                <w:tcPr>
                  <w:tcW w:w="205" w:type="pct"/>
                  <w:vAlign w:val="center"/>
                </w:tcPr>
                <w:p w14:paraId="3471FD88">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667137A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393" w:type="pct"/>
                  <w:vAlign w:val="center"/>
                </w:tcPr>
                <w:p w14:paraId="1AEA3C6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64.5</w:t>
                  </w:r>
                </w:p>
              </w:tc>
              <w:tc>
                <w:tcPr>
                  <w:tcW w:w="488" w:type="pct"/>
                  <w:vAlign w:val="center"/>
                </w:tcPr>
                <w:p w14:paraId="02AC68A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00B1CED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0ED8BAD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44.5 </w:t>
                  </w:r>
                </w:p>
              </w:tc>
              <w:tc>
                <w:tcPr>
                  <w:tcW w:w="322" w:type="pct"/>
                  <w:vAlign w:val="center"/>
                </w:tcPr>
                <w:p w14:paraId="0DA9281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10</w:t>
                  </w:r>
                </w:p>
              </w:tc>
            </w:tr>
            <w:tr w14:paraId="35EA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212" w:type="pct"/>
                  <w:vAlign w:val="center"/>
                </w:tcPr>
                <w:p w14:paraId="38028FC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5</w:t>
                  </w:r>
                </w:p>
              </w:tc>
              <w:tc>
                <w:tcPr>
                  <w:tcW w:w="298" w:type="pct"/>
                  <w:vMerge w:val="continue"/>
                  <w:vAlign w:val="center"/>
                </w:tcPr>
                <w:p w14:paraId="5D592DEB">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0594A61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金检设备</w:t>
                  </w:r>
                </w:p>
              </w:tc>
              <w:tc>
                <w:tcPr>
                  <w:tcW w:w="191" w:type="pct"/>
                  <w:vAlign w:val="center"/>
                </w:tcPr>
                <w:p w14:paraId="68BC9851">
                  <w:pPr>
                    <w:keepNext w:val="0"/>
                    <w:keepLines w:val="0"/>
                    <w:widowControl/>
                    <w:suppressLineNumbers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宋体" w:cs="Times New Roman"/>
                      <w:color w:val="auto"/>
                      <w:kern w:val="0"/>
                      <w:sz w:val="21"/>
                      <w:szCs w:val="21"/>
                      <w:lang w:val="en-US" w:eastAsia="zh-CN" w:bidi="ar-SA"/>
                    </w:rPr>
                    <w:t>3</w:t>
                  </w:r>
                </w:p>
              </w:tc>
              <w:tc>
                <w:tcPr>
                  <w:tcW w:w="455" w:type="pct"/>
                  <w:vAlign w:val="center"/>
                </w:tcPr>
                <w:p w14:paraId="31ED2BA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81</w:t>
                  </w:r>
                  <w:r>
                    <w:rPr>
                      <w:rFonts w:hint="default" w:ascii="Times New Roman" w:hAnsi="Times New Roman" w:cs="Times New Roman"/>
                      <w:color w:val="auto"/>
                      <w:kern w:val="0"/>
                      <w:szCs w:val="21"/>
                      <w:highlight w:val="none"/>
                    </w:rPr>
                    <w:t>/1</w:t>
                  </w:r>
                </w:p>
              </w:tc>
              <w:tc>
                <w:tcPr>
                  <w:tcW w:w="374" w:type="pct"/>
                  <w:vMerge w:val="continue"/>
                  <w:vAlign w:val="center"/>
                </w:tcPr>
                <w:p w14:paraId="4FB86342">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0018D60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62CAFE2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205" w:type="pct"/>
                  <w:vAlign w:val="center"/>
                </w:tcPr>
                <w:p w14:paraId="6C2017F2">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1B0B336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393" w:type="pct"/>
                  <w:vAlign w:val="center"/>
                </w:tcPr>
                <w:p w14:paraId="4CE94D1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62.5</w:t>
                  </w:r>
                </w:p>
              </w:tc>
              <w:tc>
                <w:tcPr>
                  <w:tcW w:w="488" w:type="pct"/>
                  <w:shd w:val="clear" w:color="auto" w:fill="auto"/>
                  <w:vAlign w:val="center"/>
                </w:tcPr>
                <w:p w14:paraId="23D66D78">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shd w:val="clear" w:color="auto" w:fill="auto"/>
                  <w:vAlign w:val="center"/>
                </w:tcPr>
                <w:p w14:paraId="59A4F9C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3D05D9A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42.5 </w:t>
                  </w:r>
                </w:p>
              </w:tc>
              <w:tc>
                <w:tcPr>
                  <w:tcW w:w="322" w:type="pct"/>
                  <w:vAlign w:val="center"/>
                </w:tcPr>
                <w:p w14:paraId="1A9F3A6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10</w:t>
                  </w:r>
                </w:p>
              </w:tc>
            </w:tr>
            <w:tr w14:paraId="35D6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3F88B8C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6</w:t>
                  </w:r>
                </w:p>
              </w:tc>
              <w:tc>
                <w:tcPr>
                  <w:tcW w:w="298" w:type="pct"/>
                  <w:vMerge w:val="continue"/>
                  <w:vAlign w:val="center"/>
                </w:tcPr>
                <w:p w14:paraId="330016A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04149B1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背封自动包装机</w:t>
                  </w:r>
                </w:p>
              </w:tc>
              <w:tc>
                <w:tcPr>
                  <w:tcW w:w="191" w:type="pct"/>
                  <w:vAlign w:val="center"/>
                </w:tcPr>
                <w:p w14:paraId="0DEDCB1F">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9</w:t>
                  </w:r>
                </w:p>
              </w:tc>
              <w:tc>
                <w:tcPr>
                  <w:tcW w:w="455" w:type="pct"/>
                  <w:vAlign w:val="center"/>
                </w:tcPr>
                <w:p w14:paraId="51D2E4F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79</w:t>
                  </w:r>
                  <w:r>
                    <w:rPr>
                      <w:rFonts w:hint="default" w:ascii="Times New Roman" w:hAnsi="Times New Roman" w:cs="Times New Roman"/>
                      <w:color w:val="auto"/>
                      <w:kern w:val="0"/>
                      <w:szCs w:val="21"/>
                      <w:highlight w:val="none"/>
                    </w:rPr>
                    <w:t>/1</w:t>
                  </w:r>
                </w:p>
              </w:tc>
              <w:tc>
                <w:tcPr>
                  <w:tcW w:w="374" w:type="pct"/>
                  <w:vMerge w:val="continue"/>
                  <w:vAlign w:val="center"/>
                </w:tcPr>
                <w:p w14:paraId="54352332">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52A31FC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25</w:t>
                  </w:r>
                </w:p>
              </w:tc>
              <w:tc>
                <w:tcPr>
                  <w:tcW w:w="205" w:type="pct"/>
                  <w:vAlign w:val="center"/>
                </w:tcPr>
                <w:p w14:paraId="3280F60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30</w:t>
                  </w:r>
                </w:p>
              </w:tc>
              <w:tc>
                <w:tcPr>
                  <w:tcW w:w="205" w:type="pct"/>
                  <w:vAlign w:val="center"/>
                </w:tcPr>
                <w:p w14:paraId="2B36D97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1DD1E11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393" w:type="pct"/>
                  <w:vAlign w:val="center"/>
                </w:tcPr>
                <w:p w14:paraId="3659BF2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60.5</w:t>
                  </w:r>
                </w:p>
              </w:tc>
              <w:tc>
                <w:tcPr>
                  <w:tcW w:w="488" w:type="pct"/>
                  <w:shd w:val="clear" w:color="auto" w:fill="auto"/>
                  <w:vAlign w:val="center"/>
                </w:tcPr>
                <w:p w14:paraId="353A13D3">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shd w:val="clear" w:color="auto" w:fill="auto"/>
                  <w:vAlign w:val="center"/>
                </w:tcPr>
                <w:p w14:paraId="15243FB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75926EB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40.5 </w:t>
                  </w:r>
                </w:p>
              </w:tc>
              <w:tc>
                <w:tcPr>
                  <w:tcW w:w="322" w:type="pct"/>
                  <w:vAlign w:val="center"/>
                </w:tcPr>
                <w:p w14:paraId="58CE5C8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10</w:t>
                  </w:r>
                </w:p>
              </w:tc>
            </w:tr>
            <w:tr w14:paraId="6D31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35516CD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7</w:t>
                  </w:r>
                </w:p>
              </w:tc>
              <w:tc>
                <w:tcPr>
                  <w:tcW w:w="298" w:type="pct"/>
                  <w:vMerge w:val="continue"/>
                  <w:vAlign w:val="center"/>
                </w:tcPr>
                <w:p w14:paraId="36D2C5C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411285D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小松包装机</w:t>
                  </w:r>
                </w:p>
              </w:tc>
              <w:tc>
                <w:tcPr>
                  <w:tcW w:w="191" w:type="pct"/>
                  <w:vAlign w:val="center"/>
                </w:tcPr>
                <w:p w14:paraId="32B4F41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2</w:t>
                  </w:r>
                </w:p>
              </w:tc>
              <w:tc>
                <w:tcPr>
                  <w:tcW w:w="455" w:type="pct"/>
                  <w:vAlign w:val="center"/>
                </w:tcPr>
                <w:p w14:paraId="5FE1155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79</w:t>
                  </w:r>
                  <w:r>
                    <w:rPr>
                      <w:rFonts w:hint="default" w:ascii="Times New Roman" w:hAnsi="Times New Roman" w:cs="Times New Roman"/>
                      <w:color w:val="auto"/>
                      <w:kern w:val="0"/>
                      <w:szCs w:val="21"/>
                      <w:highlight w:val="none"/>
                    </w:rPr>
                    <w:t>/1</w:t>
                  </w:r>
                </w:p>
              </w:tc>
              <w:tc>
                <w:tcPr>
                  <w:tcW w:w="374" w:type="pct"/>
                  <w:vMerge w:val="continue"/>
                  <w:vAlign w:val="center"/>
                </w:tcPr>
                <w:p w14:paraId="4A947392">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7B9D810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22</w:t>
                  </w:r>
                </w:p>
              </w:tc>
              <w:tc>
                <w:tcPr>
                  <w:tcW w:w="205" w:type="pct"/>
                  <w:vAlign w:val="center"/>
                </w:tcPr>
                <w:p w14:paraId="5E5DFE3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25</w:t>
                  </w:r>
                </w:p>
              </w:tc>
              <w:tc>
                <w:tcPr>
                  <w:tcW w:w="205" w:type="pct"/>
                  <w:vAlign w:val="center"/>
                </w:tcPr>
                <w:p w14:paraId="45F15F1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673BA5D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393" w:type="pct"/>
                  <w:vAlign w:val="center"/>
                </w:tcPr>
                <w:p w14:paraId="455E28C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56.0</w:t>
                  </w:r>
                </w:p>
              </w:tc>
              <w:tc>
                <w:tcPr>
                  <w:tcW w:w="488" w:type="pct"/>
                  <w:shd w:val="clear" w:color="auto" w:fill="auto"/>
                  <w:vAlign w:val="center"/>
                </w:tcPr>
                <w:p w14:paraId="6C1E4A93">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shd w:val="clear" w:color="auto" w:fill="auto"/>
                  <w:vAlign w:val="center"/>
                </w:tcPr>
                <w:p w14:paraId="170C3B3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shd w:val="clear" w:color="auto" w:fill="auto"/>
                  <w:vAlign w:val="center"/>
                </w:tcPr>
                <w:p w14:paraId="1568D5E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36.0 </w:t>
                  </w:r>
                </w:p>
              </w:tc>
              <w:tc>
                <w:tcPr>
                  <w:tcW w:w="322" w:type="pct"/>
                  <w:shd w:val="clear" w:color="auto" w:fill="auto"/>
                  <w:vAlign w:val="center"/>
                </w:tcPr>
                <w:p w14:paraId="7817D613">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6E0A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1A88555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8</w:t>
                  </w:r>
                </w:p>
              </w:tc>
              <w:tc>
                <w:tcPr>
                  <w:tcW w:w="298" w:type="pct"/>
                  <w:vMerge w:val="continue"/>
                  <w:vAlign w:val="center"/>
                </w:tcPr>
                <w:p w14:paraId="4A75D82B">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741EEFB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喷码机</w:t>
                  </w:r>
                </w:p>
              </w:tc>
              <w:tc>
                <w:tcPr>
                  <w:tcW w:w="191" w:type="pct"/>
                  <w:vAlign w:val="center"/>
                </w:tcPr>
                <w:p w14:paraId="7A46BFC1">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3</w:t>
                  </w:r>
                </w:p>
              </w:tc>
              <w:tc>
                <w:tcPr>
                  <w:tcW w:w="455" w:type="pct"/>
                  <w:vAlign w:val="center"/>
                </w:tcPr>
                <w:p w14:paraId="343E515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default" w:ascii="Times New Roman" w:hAnsi="Times New Roman" w:cs="Times New Roman"/>
                      <w:color w:val="auto"/>
                      <w:kern w:val="0"/>
                      <w:szCs w:val="21"/>
                      <w:highlight w:val="none"/>
                    </w:rPr>
                    <w:t>8</w:t>
                  </w:r>
                  <w:r>
                    <w:rPr>
                      <w:rFonts w:hint="eastAsia" w:ascii="Times New Roman" w:hAnsi="Times New Roman" w:cs="Times New Roman"/>
                      <w:color w:val="auto"/>
                      <w:kern w:val="0"/>
                      <w:szCs w:val="21"/>
                      <w:highlight w:val="none"/>
                      <w:lang w:val="en-US" w:eastAsia="zh-CN"/>
                    </w:rPr>
                    <w:t>0</w:t>
                  </w:r>
                  <w:r>
                    <w:rPr>
                      <w:rFonts w:hint="default" w:ascii="Times New Roman" w:hAnsi="Times New Roman" w:cs="Times New Roman"/>
                      <w:color w:val="auto"/>
                      <w:kern w:val="0"/>
                      <w:szCs w:val="21"/>
                      <w:highlight w:val="none"/>
                    </w:rPr>
                    <w:t>/1</w:t>
                  </w:r>
                </w:p>
              </w:tc>
              <w:tc>
                <w:tcPr>
                  <w:tcW w:w="374" w:type="pct"/>
                  <w:vMerge w:val="continue"/>
                  <w:vAlign w:val="center"/>
                </w:tcPr>
                <w:p w14:paraId="1708D9F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5C718EF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205" w:type="pct"/>
                  <w:vAlign w:val="center"/>
                </w:tcPr>
                <w:p w14:paraId="28C7A8A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33</w:t>
                  </w:r>
                </w:p>
              </w:tc>
              <w:tc>
                <w:tcPr>
                  <w:tcW w:w="205" w:type="pct"/>
                  <w:shd w:val="clear" w:color="auto" w:fill="auto"/>
                  <w:vAlign w:val="center"/>
                </w:tcPr>
                <w:p w14:paraId="2031537C">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2593BD3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393" w:type="pct"/>
                  <w:vAlign w:val="center"/>
                </w:tcPr>
                <w:p w14:paraId="27A1DF5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59.8</w:t>
                  </w:r>
                </w:p>
              </w:tc>
              <w:tc>
                <w:tcPr>
                  <w:tcW w:w="488" w:type="pct"/>
                  <w:vAlign w:val="center"/>
                </w:tcPr>
                <w:p w14:paraId="563531E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3AC1A2A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55CD6B7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39.8 </w:t>
                  </w:r>
                </w:p>
              </w:tc>
              <w:tc>
                <w:tcPr>
                  <w:tcW w:w="322" w:type="pct"/>
                  <w:vAlign w:val="center"/>
                </w:tcPr>
                <w:p w14:paraId="3C7265FA">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2FD3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1AD4F0B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9</w:t>
                  </w:r>
                </w:p>
              </w:tc>
              <w:tc>
                <w:tcPr>
                  <w:tcW w:w="298" w:type="pct"/>
                  <w:vMerge w:val="continue"/>
                  <w:vAlign w:val="center"/>
                </w:tcPr>
                <w:p w14:paraId="4D9A155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437B493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透明膜三维包装机</w:t>
                  </w:r>
                </w:p>
              </w:tc>
              <w:tc>
                <w:tcPr>
                  <w:tcW w:w="191" w:type="pct"/>
                  <w:vAlign w:val="center"/>
                </w:tcPr>
                <w:p w14:paraId="59F0074F">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1</w:t>
                  </w:r>
                </w:p>
              </w:tc>
              <w:tc>
                <w:tcPr>
                  <w:tcW w:w="455" w:type="pct"/>
                  <w:vAlign w:val="center"/>
                </w:tcPr>
                <w:p w14:paraId="59D9F4C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80</w:t>
                  </w:r>
                  <w:r>
                    <w:rPr>
                      <w:rFonts w:hint="default" w:ascii="Times New Roman" w:hAnsi="Times New Roman" w:cs="Times New Roman"/>
                      <w:color w:val="auto"/>
                      <w:kern w:val="0"/>
                      <w:szCs w:val="21"/>
                      <w:highlight w:val="none"/>
                    </w:rPr>
                    <w:t>/1</w:t>
                  </w:r>
                </w:p>
              </w:tc>
              <w:tc>
                <w:tcPr>
                  <w:tcW w:w="374" w:type="pct"/>
                  <w:vMerge w:val="continue"/>
                  <w:vAlign w:val="center"/>
                </w:tcPr>
                <w:p w14:paraId="721F550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0F465DA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753D12A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205" w:type="pct"/>
                  <w:shd w:val="clear" w:color="auto" w:fill="auto"/>
                  <w:vAlign w:val="center"/>
                </w:tcPr>
                <w:p w14:paraId="37CB2A6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10554FA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393" w:type="pct"/>
                  <w:vAlign w:val="center"/>
                </w:tcPr>
                <w:p w14:paraId="6314335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56.0</w:t>
                  </w:r>
                </w:p>
              </w:tc>
              <w:tc>
                <w:tcPr>
                  <w:tcW w:w="488" w:type="pct"/>
                  <w:vAlign w:val="center"/>
                </w:tcPr>
                <w:p w14:paraId="2BCDD9E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2C608DE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751E2B0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36.0 </w:t>
                  </w:r>
                </w:p>
              </w:tc>
              <w:tc>
                <w:tcPr>
                  <w:tcW w:w="322" w:type="pct"/>
                  <w:vAlign w:val="center"/>
                </w:tcPr>
                <w:p w14:paraId="019CC47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1C8D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00DAB71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10</w:t>
                  </w:r>
                </w:p>
              </w:tc>
              <w:tc>
                <w:tcPr>
                  <w:tcW w:w="298" w:type="pct"/>
                  <w:vMerge w:val="continue"/>
                  <w:vAlign w:val="center"/>
                </w:tcPr>
                <w:p w14:paraId="21618AE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204F304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可调式透明膜三维包装机</w:t>
                  </w:r>
                </w:p>
              </w:tc>
              <w:tc>
                <w:tcPr>
                  <w:tcW w:w="191" w:type="pct"/>
                  <w:vAlign w:val="center"/>
                </w:tcPr>
                <w:p w14:paraId="0A01255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2</w:t>
                  </w:r>
                </w:p>
              </w:tc>
              <w:tc>
                <w:tcPr>
                  <w:tcW w:w="455" w:type="pct"/>
                  <w:vAlign w:val="center"/>
                </w:tcPr>
                <w:p w14:paraId="5FCC980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79/</w:t>
                  </w:r>
                  <w:r>
                    <w:rPr>
                      <w:rFonts w:hint="default" w:ascii="Times New Roman" w:hAnsi="Times New Roman" w:cs="Times New Roman"/>
                      <w:color w:val="auto"/>
                      <w:kern w:val="0"/>
                      <w:szCs w:val="21"/>
                      <w:highlight w:val="none"/>
                    </w:rPr>
                    <w:t>1</w:t>
                  </w:r>
                </w:p>
              </w:tc>
              <w:tc>
                <w:tcPr>
                  <w:tcW w:w="374" w:type="pct"/>
                  <w:vMerge w:val="continue"/>
                  <w:vAlign w:val="center"/>
                </w:tcPr>
                <w:p w14:paraId="47D70112">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00613F6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18</w:t>
                  </w:r>
                </w:p>
              </w:tc>
              <w:tc>
                <w:tcPr>
                  <w:tcW w:w="205" w:type="pct"/>
                  <w:vAlign w:val="center"/>
                </w:tcPr>
                <w:p w14:paraId="2CB175F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22</w:t>
                  </w:r>
                </w:p>
              </w:tc>
              <w:tc>
                <w:tcPr>
                  <w:tcW w:w="205" w:type="pct"/>
                  <w:shd w:val="clear" w:color="auto" w:fill="auto"/>
                  <w:vAlign w:val="center"/>
                </w:tcPr>
                <w:p w14:paraId="12A86EA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1B075DC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393" w:type="pct"/>
                  <w:vAlign w:val="center"/>
                </w:tcPr>
                <w:p w14:paraId="66C0A61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56.0</w:t>
                  </w:r>
                </w:p>
              </w:tc>
              <w:tc>
                <w:tcPr>
                  <w:tcW w:w="488" w:type="pct"/>
                  <w:vAlign w:val="center"/>
                </w:tcPr>
                <w:p w14:paraId="0A050BA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231EC69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31B8379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36.0 </w:t>
                  </w:r>
                </w:p>
              </w:tc>
              <w:tc>
                <w:tcPr>
                  <w:tcW w:w="322" w:type="pct"/>
                  <w:vAlign w:val="center"/>
                </w:tcPr>
                <w:p w14:paraId="3345E8B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3B40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01863C0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11</w:t>
                  </w:r>
                </w:p>
              </w:tc>
              <w:tc>
                <w:tcPr>
                  <w:tcW w:w="298" w:type="pct"/>
                  <w:vMerge w:val="continue"/>
                  <w:vAlign w:val="center"/>
                </w:tcPr>
                <w:p w14:paraId="4CEB80E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6C6A20C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旋转式压片机</w:t>
                  </w:r>
                </w:p>
              </w:tc>
              <w:tc>
                <w:tcPr>
                  <w:tcW w:w="191" w:type="pct"/>
                  <w:vAlign w:val="center"/>
                </w:tcPr>
                <w:p w14:paraId="11A8283C">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sz w:val="21"/>
                      <w:szCs w:val="21"/>
                      <w:vertAlign w:val="baseline"/>
                      <w:lang w:val="en-US" w:eastAsia="zh-CN"/>
                    </w:rPr>
                    <w:t>1</w:t>
                  </w:r>
                </w:p>
              </w:tc>
              <w:tc>
                <w:tcPr>
                  <w:tcW w:w="455" w:type="pct"/>
                  <w:vAlign w:val="center"/>
                </w:tcPr>
                <w:p w14:paraId="2F19664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default" w:ascii="Times New Roman" w:hAnsi="Times New Roman" w:cs="Times New Roman"/>
                      <w:color w:val="auto"/>
                      <w:kern w:val="0"/>
                      <w:szCs w:val="21"/>
                      <w:highlight w:val="none"/>
                    </w:rPr>
                    <w:t>8</w:t>
                  </w:r>
                  <w:r>
                    <w:rPr>
                      <w:rFonts w:hint="eastAsia" w:ascii="Times New Roman" w:hAnsi="Times New Roman" w:cs="Times New Roman"/>
                      <w:color w:val="auto"/>
                      <w:kern w:val="0"/>
                      <w:szCs w:val="21"/>
                      <w:highlight w:val="none"/>
                      <w:lang w:val="en-US" w:eastAsia="zh-CN"/>
                    </w:rPr>
                    <w:t>0</w:t>
                  </w:r>
                  <w:r>
                    <w:rPr>
                      <w:rFonts w:hint="default" w:ascii="Times New Roman" w:hAnsi="Times New Roman" w:cs="Times New Roman"/>
                      <w:color w:val="auto"/>
                      <w:kern w:val="0"/>
                      <w:szCs w:val="21"/>
                      <w:highlight w:val="none"/>
                    </w:rPr>
                    <w:t>/1</w:t>
                  </w:r>
                </w:p>
              </w:tc>
              <w:tc>
                <w:tcPr>
                  <w:tcW w:w="374" w:type="pct"/>
                  <w:vMerge w:val="continue"/>
                  <w:vAlign w:val="center"/>
                </w:tcPr>
                <w:p w14:paraId="1C54D8C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212082F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53851A3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50</w:t>
                  </w:r>
                </w:p>
              </w:tc>
              <w:tc>
                <w:tcPr>
                  <w:tcW w:w="205" w:type="pct"/>
                  <w:shd w:val="clear" w:color="auto" w:fill="auto"/>
                  <w:vAlign w:val="center"/>
                </w:tcPr>
                <w:p w14:paraId="020474D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6B58CC3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8</w:t>
                  </w:r>
                </w:p>
              </w:tc>
              <w:tc>
                <w:tcPr>
                  <w:tcW w:w="393" w:type="pct"/>
                  <w:vAlign w:val="center"/>
                </w:tcPr>
                <w:p w14:paraId="4BC4D08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67.9</w:t>
                  </w:r>
                </w:p>
              </w:tc>
              <w:tc>
                <w:tcPr>
                  <w:tcW w:w="488" w:type="pct"/>
                  <w:vAlign w:val="center"/>
                </w:tcPr>
                <w:p w14:paraId="2F725C7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4D3C736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36CEDC9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47.9 </w:t>
                  </w:r>
                </w:p>
              </w:tc>
              <w:tc>
                <w:tcPr>
                  <w:tcW w:w="322" w:type="pct"/>
                  <w:vAlign w:val="center"/>
                </w:tcPr>
                <w:p w14:paraId="139032C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1A9B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437D147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12</w:t>
                  </w:r>
                </w:p>
              </w:tc>
              <w:tc>
                <w:tcPr>
                  <w:tcW w:w="298" w:type="pct"/>
                  <w:vMerge w:val="continue"/>
                  <w:vAlign w:val="center"/>
                </w:tcPr>
                <w:p w14:paraId="27514A3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2AD9986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包衣机</w:t>
                  </w:r>
                </w:p>
              </w:tc>
              <w:tc>
                <w:tcPr>
                  <w:tcW w:w="191" w:type="pct"/>
                  <w:vAlign w:val="center"/>
                </w:tcPr>
                <w:p w14:paraId="402BAA3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sz w:val="21"/>
                      <w:szCs w:val="21"/>
                      <w:vertAlign w:val="baseline"/>
                      <w:lang w:val="en-US" w:eastAsia="zh-CN"/>
                    </w:rPr>
                    <w:t>1</w:t>
                  </w:r>
                </w:p>
              </w:tc>
              <w:tc>
                <w:tcPr>
                  <w:tcW w:w="455" w:type="pct"/>
                  <w:vAlign w:val="center"/>
                </w:tcPr>
                <w:p w14:paraId="2FB4097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78</w:t>
                  </w:r>
                  <w:r>
                    <w:rPr>
                      <w:rFonts w:hint="default" w:ascii="Times New Roman" w:hAnsi="Times New Roman" w:cs="Times New Roman"/>
                      <w:color w:val="auto"/>
                      <w:kern w:val="0"/>
                      <w:szCs w:val="21"/>
                      <w:highlight w:val="none"/>
                    </w:rPr>
                    <w:t>/1</w:t>
                  </w:r>
                </w:p>
              </w:tc>
              <w:tc>
                <w:tcPr>
                  <w:tcW w:w="374" w:type="pct"/>
                  <w:vMerge w:val="continue"/>
                  <w:vAlign w:val="center"/>
                </w:tcPr>
                <w:p w14:paraId="1B43A1B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566003B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4F9439D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40</w:t>
                  </w:r>
                </w:p>
              </w:tc>
              <w:tc>
                <w:tcPr>
                  <w:tcW w:w="205" w:type="pct"/>
                  <w:shd w:val="clear" w:color="auto" w:fill="auto"/>
                  <w:vAlign w:val="center"/>
                </w:tcPr>
                <w:p w14:paraId="55E189B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60835E4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8</w:t>
                  </w:r>
                </w:p>
              </w:tc>
              <w:tc>
                <w:tcPr>
                  <w:tcW w:w="393" w:type="pct"/>
                  <w:vAlign w:val="center"/>
                </w:tcPr>
                <w:p w14:paraId="3AABECF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65.9</w:t>
                  </w:r>
                </w:p>
              </w:tc>
              <w:tc>
                <w:tcPr>
                  <w:tcW w:w="488" w:type="pct"/>
                  <w:vAlign w:val="center"/>
                </w:tcPr>
                <w:p w14:paraId="388F182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72AEA23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2501EAC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45.9 </w:t>
                  </w:r>
                </w:p>
              </w:tc>
              <w:tc>
                <w:tcPr>
                  <w:tcW w:w="322" w:type="pct"/>
                  <w:vAlign w:val="center"/>
                </w:tcPr>
                <w:p w14:paraId="44A1F7B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464F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3DF3670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13</w:t>
                  </w:r>
                </w:p>
              </w:tc>
              <w:tc>
                <w:tcPr>
                  <w:tcW w:w="298" w:type="pct"/>
                  <w:vMerge w:val="continue"/>
                  <w:vAlign w:val="center"/>
                </w:tcPr>
                <w:p w14:paraId="54F6F7C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1CB23E4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数粒分装线</w:t>
                  </w:r>
                </w:p>
              </w:tc>
              <w:tc>
                <w:tcPr>
                  <w:tcW w:w="191" w:type="pct"/>
                  <w:vAlign w:val="center"/>
                </w:tcPr>
                <w:p w14:paraId="39FF820D">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sz w:val="21"/>
                      <w:szCs w:val="21"/>
                      <w:vertAlign w:val="baseline"/>
                      <w:lang w:val="en-US" w:eastAsia="zh-CN"/>
                    </w:rPr>
                    <w:t>1</w:t>
                  </w:r>
                </w:p>
              </w:tc>
              <w:tc>
                <w:tcPr>
                  <w:tcW w:w="455" w:type="pct"/>
                  <w:vAlign w:val="center"/>
                </w:tcPr>
                <w:p w14:paraId="2A826F8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75</w:t>
                  </w:r>
                  <w:r>
                    <w:rPr>
                      <w:rFonts w:hint="default" w:ascii="Times New Roman" w:hAnsi="Times New Roman" w:cs="Times New Roman"/>
                      <w:color w:val="auto"/>
                      <w:kern w:val="0"/>
                      <w:szCs w:val="21"/>
                      <w:highlight w:val="none"/>
                    </w:rPr>
                    <w:t>/1</w:t>
                  </w:r>
                </w:p>
              </w:tc>
              <w:tc>
                <w:tcPr>
                  <w:tcW w:w="374" w:type="pct"/>
                  <w:vMerge w:val="continue"/>
                  <w:vAlign w:val="center"/>
                </w:tcPr>
                <w:p w14:paraId="422D46C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2D10CA5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7F65A59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30</w:t>
                  </w:r>
                </w:p>
              </w:tc>
              <w:tc>
                <w:tcPr>
                  <w:tcW w:w="205" w:type="pct"/>
                  <w:shd w:val="clear" w:color="auto" w:fill="auto"/>
                  <w:vAlign w:val="center"/>
                </w:tcPr>
                <w:p w14:paraId="0D71B85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4DB2C32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10</w:t>
                  </w:r>
                </w:p>
              </w:tc>
              <w:tc>
                <w:tcPr>
                  <w:tcW w:w="393" w:type="pct"/>
                  <w:vAlign w:val="center"/>
                </w:tcPr>
                <w:p w14:paraId="025330B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61.0</w:t>
                  </w:r>
                </w:p>
              </w:tc>
              <w:tc>
                <w:tcPr>
                  <w:tcW w:w="488" w:type="pct"/>
                  <w:vAlign w:val="center"/>
                </w:tcPr>
                <w:p w14:paraId="71D9181E">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02635ADB">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19DBB28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41.0 </w:t>
                  </w:r>
                </w:p>
              </w:tc>
              <w:tc>
                <w:tcPr>
                  <w:tcW w:w="322" w:type="pct"/>
                  <w:vAlign w:val="center"/>
                </w:tcPr>
                <w:p w14:paraId="17B0BD9A">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08AA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581FCC2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14</w:t>
                  </w:r>
                </w:p>
              </w:tc>
              <w:tc>
                <w:tcPr>
                  <w:tcW w:w="298" w:type="pct"/>
                  <w:vMerge w:val="continue"/>
                  <w:vAlign w:val="center"/>
                </w:tcPr>
                <w:p w14:paraId="0EF7117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172AA17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制粒机</w:t>
                  </w:r>
                </w:p>
              </w:tc>
              <w:tc>
                <w:tcPr>
                  <w:tcW w:w="191" w:type="pct"/>
                  <w:vAlign w:val="center"/>
                </w:tcPr>
                <w:p w14:paraId="75D0B52F">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宋体" w:cs="Times New Roman"/>
                      <w:color w:val="auto"/>
                      <w:sz w:val="21"/>
                      <w:szCs w:val="21"/>
                      <w:vertAlign w:val="baseline"/>
                      <w:lang w:val="en-US" w:eastAsia="zh-CN"/>
                    </w:rPr>
                    <w:t>2</w:t>
                  </w:r>
                </w:p>
              </w:tc>
              <w:tc>
                <w:tcPr>
                  <w:tcW w:w="455" w:type="pct"/>
                  <w:vAlign w:val="center"/>
                </w:tcPr>
                <w:p w14:paraId="506F6B7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78</w:t>
                  </w:r>
                  <w:r>
                    <w:rPr>
                      <w:rFonts w:hint="default" w:ascii="Times New Roman" w:hAnsi="Times New Roman" w:cs="Times New Roman"/>
                      <w:color w:val="auto"/>
                      <w:kern w:val="0"/>
                      <w:szCs w:val="21"/>
                      <w:highlight w:val="none"/>
                    </w:rPr>
                    <w:t>/1</w:t>
                  </w:r>
                </w:p>
              </w:tc>
              <w:tc>
                <w:tcPr>
                  <w:tcW w:w="374" w:type="pct"/>
                  <w:vMerge w:val="continue"/>
                  <w:vAlign w:val="center"/>
                </w:tcPr>
                <w:p w14:paraId="0E693B0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59CE313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060FEDD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65</w:t>
                  </w:r>
                </w:p>
              </w:tc>
              <w:tc>
                <w:tcPr>
                  <w:tcW w:w="205" w:type="pct"/>
                  <w:shd w:val="clear" w:color="auto" w:fill="auto"/>
                  <w:vAlign w:val="center"/>
                </w:tcPr>
                <w:p w14:paraId="0DB65B9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21F36E3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8</w:t>
                  </w:r>
                </w:p>
              </w:tc>
              <w:tc>
                <w:tcPr>
                  <w:tcW w:w="393" w:type="pct"/>
                  <w:vAlign w:val="center"/>
                </w:tcPr>
                <w:p w14:paraId="3171494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65.9</w:t>
                  </w:r>
                </w:p>
              </w:tc>
              <w:tc>
                <w:tcPr>
                  <w:tcW w:w="488" w:type="pct"/>
                  <w:vAlign w:val="center"/>
                </w:tcPr>
                <w:p w14:paraId="32F069C8">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1C0D8D5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7D4CABF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45.9 </w:t>
                  </w:r>
                </w:p>
              </w:tc>
              <w:tc>
                <w:tcPr>
                  <w:tcW w:w="322" w:type="pct"/>
                  <w:vAlign w:val="center"/>
                </w:tcPr>
                <w:p w14:paraId="5442770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5B58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609A80B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15</w:t>
                  </w:r>
                </w:p>
              </w:tc>
              <w:tc>
                <w:tcPr>
                  <w:tcW w:w="298" w:type="pct"/>
                  <w:vMerge w:val="continue"/>
                  <w:vAlign w:val="center"/>
                </w:tcPr>
                <w:p w14:paraId="401C966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2755A82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夹层锅（熬煮）</w:t>
                  </w:r>
                </w:p>
              </w:tc>
              <w:tc>
                <w:tcPr>
                  <w:tcW w:w="191" w:type="pct"/>
                  <w:vAlign w:val="center"/>
                </w:tcPr>
                <w:p w14:paraId="4F9CE4E9">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sz w:val="21"/>
                      <w:szCs w:val="21"/>
                      <w:vertAlign w:val="baseline"/>
                      <w:lang w:val="en-US" w:eastAsia="zh-CN"/>
                    </w:rPr>
                    <w:t>2</w:t>
                  </w:r>
                </w:p>
              </w:tc>
              <w:tc>
                <w:tcPr>
                  <w:tcW w:w="455" w:type="pct"/>
                  <w:vAlign w:val="center"/>
                </w:tcPr>
                <w:p w14:paraId="5026545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80</w:t>
                  </w:r>
                  <w:r>
                    <w:rPr>
                      <w:rFonts w:hint="default" w:ascii="Times New Roman" w:hAnsi="Times New Roman" w:cs="Times New Roman"/>
                      <w:color w:val="auto"/>
                      <w:kern w:val="0"/>
                      <w:szCs w:val="21"/>
                      <w:highlight w:val="none"/>
                    </w:rPr>
                    <w:t>/1</w:t>
                  </w:r>
                </w:p>
              </w:tc>
              <w:tc>
                <w:tcPr>
                  <w:tcW w:w="374" w:type="pct"/>
                  <w:vMerge w:val="continue"/>
                  <w:vAlign w:val="center"/>
                </w:tcPr>
                <w:p w14:paraId="636B220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22AE1E1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205" w:type="pct"/>
                  <w:vAlign w:val="center"/>
                </w:tcPr>
                <w:p w14:paraId="76CA3D5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70</w:t>
                  </w:r>
                </w:p>
              </w:tc>
              <w:tc>
                <w:tcPr>
                  <w:tcW w:w="205" w:type="pct"/>
                  <w:vAlign w:val="center"/>
                </w:tcPr>
                <w:p w14:paraId="7203D69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303E3C2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10</w:t>
                  </w:r>
                </w:p>
              </w:tc>
              <w:tc>
                <w:tcPr>
                  <w:tcW w:w="393" w:type="pct"/>
                  <w:vAlign w:val="center"/>
                </w:tcPr>
                <w:p w14:paraId="55D097D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66.0</w:t>
                  </w:r>
                </w:p>
              </w:tc>
              <w:tc>
                <w:tcPr>
                  <w:tcW w:w="488" w:type="pct"/>
                  <w:vAlign w:val="center"/>
                </w:tcPr>
                <w:p w14:paraId="05B1BDB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2A69F4A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3995F40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46.0 </w:t>
                  </w:r>
                </w:p>
              </w:tc>
              <w:tc>
                <w:tcPr>
                  <w:tcW w:w="322" w:type="pct"/>
                  <w:vAlign w:val="center"/>
                </w:tcPr>
                <w:p w14:paraId="152C066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755F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4598775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16</w:t>
                  </w:r>
                </w:p>
              </w:tc>
              <w:tc>
                <w:tcPr>
                  <w:tcW w:w="298" w:type="pct"/>
                  <w:vMerge w:val="continue"/>
                  <w:vAlign w:val="center"/>
                </w:tcPr>
                <w:p w14:paraId="593251F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5FFEB31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巴氏杀菌线</w:t>
                  </w:r>
                </w:p>
              </w:tc>
              <w:tc>
                <w:tcPr>
                  <w:tcW w:w="191" w:type="pct"/>
                  <w:vAlign w:val="center"/>
                </w:tcPr>
                <w:p w14:paraId="47D6EB8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宋体" w:cs="Times New Roman"/>
                      <w:sz w:val="21"/>
                      <w:szCs w:val="21"/>
                      <w:vertAlign w:val="baseline"/>
                      <w:lang w:val="en-US" w:eastAsia="zh-CN"/>
                    </w:rPr>
                    <w:t>2</w:t>
                  </w:r>
                </w:p>
              </w:tc>
              <w:tc>
                <w:tcPr>
                  <w:tcW w:w="455" w:type="pct"/>
                  <w:vAlign w:val="center"/>
                </w:tcPr>
                <w:p w14:paraId="1C79E5F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default" w:ascii="Times New Roman" w:hAnsi="Times New Roman" w:cs="Times New Roman"/>
                      <w:color w:val="auto"/>
                      <w:kern w:val="0"/>
                      <w:szCs w:val="21"/>
                      <w:highlight w:val="none"/>
                    </w:rPr>
                    <w:t>80/1</w:t>
                  </w:r>
                </w:p>
              </w:tc>
              <w:tc>
                <w:tcPr>
                  <w:tcW w:w="374" w:type="pct"/>
                  <w:vMerge w:val="continue"/>
                  <w:vAlign w:val="center"/>
                </w:tcPr>
                <w:p w14:paraId="36B151DA">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4270543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205" w:type="pct"/>
                  <w:vAlign w:val="center"/>
                </w:tcPr>
                <w:p w14:paraId="1DCFBF0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55</w:t>
                  </w:r>
                </w:p>
              </w:tc>
              <w:tc>
                <w:tcPr>
                  <w:tcW w:w="205" w:type="pct"/>
                  <w:vAlign w:val="center"/>
                </w:tcPr>
                <w:p w14:paraId="183DAB88">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6AE0504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393" w:type="pct"/>
                  <w:vAlign w:val="center"/>
                </w:tcPr>
                <w:p w14:paraId="78BFE29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63.0</w:t>
                  </w:r>
                </w:p>
              </w:tc>
              <w:tc>
                <w:tcPr>
                  <w:tcW w:w="488" w:type="pct"/>
                  <w:vAlign w:val="center"/>
                </w:tcPr>
                <w:p w14:paraId="280246A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6844199A">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7D30AAC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43.0 </w:t>
                  </w:r>
                </w:p>
              </w:tc>
              <w:tc>
                <w:tcPr>
                  <w:tcW w:w="322" w:type="pct"/>
                  <w:vAlign w:val="center"/>
                </w:tcPr>
                <w:p w14:paraId="6AF6C40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522A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30A1BDE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17</w:t>
                  </w:r>
                </w:p>
              </w:tc>
              <w:tc>
                <w:tcPr>
                  <w:tcW w:w="298" w:type="pct"/>
                  <w:vMerge w:val="continue"/>
                  <w:vAlign w:val="center"/>
                </w:tcPr>
                <w:p w14:paraId="74AD53BA">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74E6859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气动液体成型包装机</w:t>
                  </w:r>
                </w:p>
              </w:tc>
              <w:tc>
                <w:tcPr>
                  <w:tcW w:w="191" w:type="pct"/>
                  <w:vAlign w:val="center"/>
                </w:tcPr>
                <w:p w14:paraId="2391A0A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sz w:val="21"/>
                      <w:szCs w:val="21"/>
                      <w:vertAlign w:val="baseline"/>
                      <w:lang w:val="en-US" w:eastAsia="zh-CN"/>
                    </w:rPr>
                    <w:t>1</w:t>
                  </w:r>
                </w:p>
              </w:tc>
              <w:tc>
                <w:tcPr>
                  <w:tcW w:w="455" w:type="pct"/>
                  <w:vAlign w:val="center"/>
                </w:tcPr>
                <w:p w14:paraId="1728795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78</w:t>
                  </w:r>
                  <w:r>
                    <w:rPr>
                      <w:rFonts w:hint="default" w:ascii="Times New Roman" w:hAnsi="Times New Roman" w:cs="Times New Roman"/>
                      <w:color w:val="auto"/>
                      <w:kern w:val="0"/>
                      <w:szCs w:val="21"/>
                      <w:highlight w:val="none"/>
                    </w:rPr>
                    <w:t>/1</w:t>
                  </w:r>
                </w:p>
              </w:tc>
              <w:tc>
                <w:tcPr>
                  <w:tcW w:w="374" w:type="pct"/>
                  <w:vMerge w:val="continue"/>
                  <w:vAlign w:val="center"/>
                </w:tcPr>
                <w:p w14:paraId="362B9C1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1496320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54F662C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50C1389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740B287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393" w:type="pct"/>
                  <w:vAlign w:val="center"/>
                </w:tcPr>
                <w:p w14:paraId="265239B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60.0</w:t>
                  </w:r>
                </w:p>
              </w:tc>
              <w:tc>
                <w:tcPr>
                  <w:tcW w:w="488" w:type="pct"/>
                  <w:vAlign w:val="center"/>
                </w:tcPr>
                <w:p w14:paraId="1D5B5A8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0C2FF38E">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50E7D23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40.0 </w:t>
                  </w:r>
                </w:p>
              </w:tc>
              <w:tc>
                <w:tcPr>
                  <w:tcW w:w="322" w:type="pct"/>
                  <w:vAlign w:val="center"/>
                </w:tcPr>
                <w:p w14:paraId="2C25783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bl>
          <w:p w14:paraId="0A6E1CE2">
            <w:pPr>
              <w:pStyle w:val="13"/>
              <w:keepNext w:val="0"/>
              <w:keepLines w:val="0"/>
              <w:suppressLineNumbers w:val="0"/>
              <w:spacing w:before="0" w:beforeAutospacing="0" w:after="0" w:afterAutospacing="0" w:line="360" w:lineRule="auto"/>
              <w:ind w:left="0" w:right="0" w:firstLine="420" w:firstLineChars="200"/>
              <w:rPr>
                <w:rFonts w:hint="default"/>
              </w:rPr>
            </w:pPr>
            <w:r>
              <w:rPr>
                <w:rFonts w:hint="default"/>
                <w:color w:val="auto"/>
                <w:sz w:val="21"/>
                <w:szCs w:val="21"/>
              </w:rPr>
              <w:t>注：</w:t>
            </w:r>
            <w:r>
              <w:rPr>
                <w:rFonts w:hint="eastAsia"/>
                <w:bCs/>
                <w:color w:val="auto"/>
                <w:sz w:val="21"/>
                <w:szCs w:val="21"/>
              </w:rPr>
              <w:t>以</w:t>
            </w:r>
            <w:r>
              <w:rPr>
                <w:rFonts w:hint="eastAsia"/>
                <w:bCs/>
                <w:color w:val="auto"/>
                <w:sz w:val="21"/>
                <w:szCs w:val="21"/>
                <w:lang w:val="en-US" w:eastAsia="zh-CN"/>
              </w:rPr>
              <w:t>租赁</w:t>
            </w:r>
            <w:r>
              <w:rPr>
                <w:rFonts w:hint="default"/>
                <w:bCs/>
                <w:color w:val="auto"/>
                <w:sz w:val="21"/>
                <w:szCs w:val="21"/>
              </w:rPr>
              <w:t>厂房</w:t>
            </w:r>
            <w:r>
              <w:rPr>
                <w:rFonts w:hint="default" w:ascii="Times New Roman" w:hAnsi="Times New Roman" w:cs="Times New Roman"/>
                <w:bCs/>
                <w:color w:val="auto"/>
                <w:sz w:val="21"/>
                <w:szCs w:val="21"/>
                <w:lang w:val="en-US" w:eastAsia="zh-CN"/>
              </w:rPr>
              <w:t>西</w:t>
            </w:r>
            <w:r>
              <w:rPr>
                <w:rFonts w:hint="eastAsia" w:ascii="Times New Roman" w:hAnsi="Times New Roman" w:cs="Times New Roman"/>
                <w:bCs/>
                <w:color w:val="auto"/>
                <w:sz w:val="21"/>
                <w:szCs w:val="21"/>
                <w:lang w:val="en-US" w:eastAsia="zh-CN"/>
              </w:rPr>
              <w:t>南</w:t>
            </w:r>
            <w:r>
              <w:rPr>
                <w:rFonts w:hint="default" w:ascii="Times New Roman" w:hAnsi="Times New Roman" w:cs="Times New Roman"/>
                <w:bCs/>
                <w:color w:val="auto"/>
                <w:sz w:val="21"/>
                <w:szCs w:val="21"/>
              </w:rPr>
              <w:t>角（</w:t>
            </w:r>
            <w:r>
              <w:rPr>
                <w:rFonts w:hint="eastAsia" w:cs="Times New Roman"/>
                <w:bCs/>
                <w:color w:val="auto"/>
                <w:sz w:val="21"/>
                <w:szCs w:val="21"/>
                <w:lang w:val="en-US" w:eastAsia="zh-CN"/>
              </w:rPr>
              <w:t>N</w:t>
            </w:r>
            <w:r>
              <w:rPr>
                <w:rFonts w:hint="default" w:ascii="Times New Roman" w:hAnsi="Times New Roman" w:cs="Times New Roman"/>
                <w:bCs/>
                <w:color w:val="auto"/>
                <w:sz w:val="21"/>
                <w:szCs w:val="21"/>
              </w:rPr>
              <w:t>116.982620°</w:t>
            </w:r>
            <w:r>
              <w:rPr>
                <w:rFonts w:hint="eastAsia" w:cs="Times New Roman"/>
                <w:bCs/>
                <w:color w:val="auto"/>
                <w:sz w:val="21"/>
                <w:szCs w:val="21"/>
                <w:lang w:eastAsia="zh-CN"/>
              </w:rPr>
              <w:t>，</w:t>
            </w:r>
            <w:r>
              <w:rPr>
                <w:rFonts w:hint="eastAsia" w:cs="Times New Roman"/>
                <w:bCs/>
                <w:color w:val="auto"/>
                <w:sz w:val="21"/>
                <w:szCs w:val="21"/>
                <w:lang w:val="en-US" w:eastAsia="zh-CN"/>
              </w:rPr>
              <w:t>E</w:t>
            </w:r>
            <w:r>
              <w:rPr>
                <w:rFonts w:hint="eastAsia" w:cs="Times New Roman"/>
                <w:bCs/>
                <w:color w:val="auto"/>
                <w:sz w:val="21"/>
                <w:szCs w:val="21"/>
                <w:lang w:eastAsia="zh-CN"/>
              </w:rPr>
              <w:t>33.697101°</w:t>
            </w:r>
            <w:r>
              <w:rPr>
                <w:rFonts w:hint="default" w:ascii="Times New Roman" w:hAnsi="Times New Roman" w:cs="Times New Roman"/>
                <w:bCs/>
                <w:color w:val="auto"/>
                <w:sz w:val="21"/>
                <w:szCs w:val="21"/>
              </w:rPr>
              <w:t>）为坐标原点</w:t>
            </w:r>
            <w:r>
              <w:rPr>
                <w:rFonts w:hint="default" w:ascii="Times New Roman" w:hAnsi="Times New Roman" w:cs="Times New Roman"/>
                <w:color w:val="auto"/>
                <w:sz w:val="21"/>
                <w:szCs w:val="21"/>
              </w:rPr>
              <w:t>；</w:t>
            </w:r>
            <w:r>
              <w:rPr>
                <w:rFonts w:hint="eastAsia"/>
                <w:color w:val="auto"/>
                <w:sz w:val="21"/>
                <w:szCs w:val="21"/>
              </w:rPr>
              <w:t>同类</w:t>
            </w:r>
            <w:r>
              <w:rPr>
                <w:rFonts w:hint="eastAsia"/>
                <w:sz w:val="21"/>
                <w:szCs w:val="21"/>
              </w:rPr>
              <w:t>设备集中区域，取中心点坐标。</w:t>
            </w:r>
          </w:p>
        </w:tc>
      </w:tr>
    </w:tbl>
    <w:p w14:paraId="12D9072D">
      <w:pPr>
        <w:pStyle w:val="42"/>
        <w:rPr>
          <w:rFonts w:hint="eastAsia"/>
        </w:rPr>
        <w:sectPr>
          <w:pgSz w:w="16840" w:h="11907" w:orient="landscape"/>
          <w:pgMar w:top="1247" w:right="1418" w:bottom="1134" w:left="1418" w:header="851" w:footer="851" w:gutter="0"/>
          <w:cols w:space="720" w:num="1"/>
          <w:docGrid w:linePitch="312" w:charSpace="0"/>
        </w:sectPr>
      </w:pPr>
    </w:p>
    <w:tbl>
      <w:tblPr>
        <w:tblStyle w:val="35"/>
        <w:tblW w:w="96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7"/>
        <w:gridCol w:w="9035"/>
      </w:tblGrid>
      <w:tr w14:paraId="12EE6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62" w:hRule="atLeast"/>
          <w:jc w:val="center"/>
        </w:trPr>
        <w:tc>
          <w:tcPr>
            <w:tcW w:w="627" w:type="dxa"/>
            <w:tcMar>
              <w:left w:w="28" w:type="dxa"/>
              <w:right w:w="28" w:type="dxa"/>
            </w:tcMar>
            <w:vAlign w:val="center"/>
          </w:tcPr>
          <w:p w14:paraId="42F3C6DC">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运营</w:t>
            </w:r>
          </w:p>
          <w:p w14:paraId="49CAE414">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期环</w:t>
            </w:r>
          </w:p>
          <w:p w14:paraId="2E220635">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境影</w:t>
            </w:r>
          </w:p>
          <w:p w14:paraId="7F62C73A">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响和</w:t>
            </w:r>
          </w:p>
          <w:p w14:paraId="7354921A">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保护</w:t>
            </w:r>
          </w:p>
          <w:p w14:paraId="6E31776D">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措施</w:t>
            </w:r>
          </w:p>
        </w:tc>
        <w:tc>
          <w:tcPr>
            <w:tcW w:w="9035" w:type="dxa"/>
          </w:tcPr>
          <w:p w14:paraId="6B795843">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为确保项目运营期，厂界噪声达标排放，建设单位采用以下措施：</w:t>
            </w:r>
          </w:p>
          <w:p w14:paraId="3226F322">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①在购买设备时应当优先考虑选用环保低噪音、低震动型设备，从噪声源头上降低工业噪声污染。</w:t>
            </w:r>
          </w:p>
          <w:p w14:paraId="23E1616F">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②加强设备管理维修，杜绝因设备不正常运行而产生的高、低频噪声，必要时应更新设备。</w:t>
            </w:r>
          </w:p>
          <w:p w14:paraId="1E9E2AAC">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③合理设置车间内设备位置布局，生产时尽量减少门窗的开启频率，以降低噪声的传播和干扰。</w:t>
            </w:r>
          </w:p>
          <w:p w14:paraId="7D19BDC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④对集气装置、排风管道等采取消声减震措施，如管道连接处采用软连接，管道与基础、墙体连接处加装减振垫，进出口处加装足够消声量的消音器，并在墙上进行加固，减少因风机噪声和管道振动引起的低频噪声对周围环境和自身的影响。</w:t>
            </w:r>
          </w:p>
          <w:p w14:paraId="5BE4626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⑤对于安装高噪声设备房间应做相应的消声、吸声等措施，并对房间内高噪声设备安装稳定高效的减振隔离装置。</w:t>
            </w:r>
          </w:p>
          <w:p w14:paraId="59716660">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⑥</w:t>
            </w:r>
            <w:r>
              <w:rPr>
                <w:rFonts w:hint="default" w:ascii="宋体" w:hAnsi="宋体" w:cs="Times New Roman"/>
                <w:color w:val="auto"/>
                <w:kern w:val="2"/>
                <w:sz w:val="24"/>
                <w:szCs w:val="24"/>
              </w:rPr>
              <w:t>定期对生产设备进行保养维修，保证生产设备维持的良好使用状态，并严格遵守生产设备的操作规范</w:t>
            </w:r>
            <w:r>
              <w:rPr>
                <w:rFonts w:hint="default"/>
                <w:color w:val="auto"/>
                <w:sz w:val="24"/>
                <w:szCs w:val="24"/>
              </w:rPr>
              <w:t>。</w:t>
            </w:r>
          </w:p>
          <w:p w14:paraId="3032A864">
            <w:pPr>
              <w:keepNext w:val="0"/>
              <w:keepLines w:val="0"/>
              <w:suppressLineNumbers w:val="0"/>
              <w:spacing w:before="0" w:beforeAutospacing="0" w:after="0" w:afterAutospacing="0" w:line="360" w:lineRule="auto"/>
              <w:ind w:left="0" w:right="0" w:firstLine="482"/>
              <w:rPr>
                <w:rFonts w:hint="default"/>
                <w:b/>
                <w:bCs/>
                <w:color w:val="auto"/>
                <w:sz w:val="24"/>
              </w:rPr>
            </w:pPr>
            <w:r>
              <w:rPr>
                <w:rFonts w:hint="default"/>
                <w:b/>
                <w:bCs/>
                <w:color w:val="auto"/>
                <w:sz w:val="24"/>
              </w:rPr>
              <w:t>2、噪声影响及达标分析</w:t>
            </w:r>
          </w:p>
          <w:p w14:paraId="2DDB3E13">
            <w:pPr>
              <w:keepNext w:val="0"/>
              <w:keepLines w:val="0"/>
              <w:suppressLineNumbers w:val="0"/>
              <w:spacing w:before="0" w:beforeAutospacing="0" w:after="0" w:afterAutospacing="0" w:line="360" w:lineRule="auto"/>
              <w:ind w:left="0" w:right="0" w:firstLine="482"/>
              <w:rPr>
                <w:rFonts w:hint="default"/>
                <w:color w:val="auto"/>
                <w:sz w:val="24"/>
              </w:rPr>
            </w:pPr>
            <w:r>
              <w:rPr>
                <w:rFonts w:hint="default"/>
                <w:color w:val="auto"/>
                <w:sz w:val="24"/>
              </w:rPr>
              <w:t>（1）噪声影响预测与评价</w:t>
            </w:r>
          </w:p>
          <w:p w14:paraId="63F42992">
            <w:pPr>
              <w:pStyle w:val="105"/>
              <w:keepNext w:val="0"/>
              <w:keepLines w:val="0"/>
              <w:suppressLineNumbers w:val="0"/>
              <w:spacing w:before="0" w:beforeAutospacing="0" w:after="0" w:afterAutospacing="0"/>
              <w:ind w:left="0" w:right="0" w:firstLine="480"/>
              <w:rPr>
                <w:rFonts w:hint="default"/>
                <w:color w:val="auto"/>
                <w:kern w:val="24"/>
                <w:sz w:val="24"/>
                <w:szCs w:val="24"/>
              </w:rPr>
            </w:pPr>
            <w:r>
              <w:rPr>
                <w:rFonts w:hint="default"/>
                <w:color w:val="auto"/>
                <w:kern w:val="24"/>
                <w:sz w:val="24"/>
                <w:szCs w:val="24"/>
              </w:rPr>
              <w:t>工业噪声预测模式采用《环境影响评价技术导则</w:t>
            </w:r>
            <w:r>
              <w:rPr>
                <w:rFonts w:hint="eastAsia"/>
                <w:color w:val="auto"/>
                <w:kern w:val="24"/>
                <w:sz w:val="24"/>
                <w:szCs w:val="24"/>
              </w:rPr>
              <w:t xml:space="preserve"> </w:t>
            </w:r>
            <w:r>
              <w:rPr>
                <w:rFonts w:hint="default"/>
                <w:color w:val="auto"/>
                <w:kern w:val="24"/>
                <w:sz w:val="24"/>
                <w:szCs w:val="24"/>
              </w:rPr>
              <w:t>声环境》（HJ2.4—20</w:t>
            </w:r>
            <w:r>
              <w:rPr>
                <w:rFonts w:hint="eastAsia"/>
                <w:color w:val="auto"/>
                <w:kern w:val="24"/>
                <w:sz w:val="24"/>
                <w:szCs w:val="24"/>
              </w:rPr>
              <w:t>21</w:t>
            </w:r>
            <w:r>
              <w:rPr>
                <w:rFonts w:hint="default"/>
                <w:color w:val="auto"/>
                <w:kern w:val="24"/>
                <w:sz w:val="24"/>
                <w:szCs w:val="24"/>
              </w:rPr>
              <w:t>）中对工业企业噪声预测模式进行预测，考虑遮挡物、空气吸收衰减、地面附加衰减，对某些难以定量的参数，查相关资料进行估算。</w:t>
            </w:r>
          </w:p>
          <w:p w14:paraId="28826CAE">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根据按声能量在空气传播中衰减模式计算出某声源在环境中任意一点的声压级。由于本项目声源均设置于室内，预测步骤如下：</w:t>
            </w:r>
          </w:p>
          <w:p w14:paraId="4C1F9052">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①首先计算出某个室内靠近围护结构处的声压级：</w:t>
            </w:r>
          </w:p>
          <w:p w14:paraId="0CB670FB">
            <w:pPr>
              <w:pStyle w:val="105"/>
              <w:keepNext w:val="0"/>
              <w:keepLines w:val="0"/>
              <w:suppressLineNumbers w:val="0"/>
              <w:spacing w:before="0" w:beforeAutospacing="0" w:after="0" w:afterAutospacing="0"/>
              <w:ind w:left="0" w:right="0"/>
              <w:rPr>
                <w:rFonts w:hint="default"/>
                <w:color w:val="auto"/>
              </w:rPr>
            </w:pPr>
            <w:r>
              <w:rPr>
                <w:rFonts w:hint="default"/>
                <w:color w:val="auto"/>
              </w:rPr>
              <w:drawing>
                <wp:inline distT="0" distB="0" distL="0" distR="0">
                  <wp:extent cx="1591310" cy="391795"/>
                  <wp:effectExtent l="0" t="0" r="8890" b="7620"/>
                  <wp:docPr id="1041" name="图片 137" descr="../../柳州/DOCUME~1/ADMINI~1/LOCALS~1/Temp/ksohtml/wps_clip_image-28401.png"/>
                  <wp:cNvGraphicFramePr/>
                  <a:graphic xmlns:a="http://schemas.openxmlformats.org/drawingml/2006/main">
                    <a:graphicData uri="http://schemas.openxmlformats.org/drawingml/2006/picture">
                      <pic:pic xmlns:pic="http://schemas.openxmlformats.org/drawingml/2006/picture">
                        <pic:nvPicPr>
                          <pic:cNvPr id="1041" name="图片 137" descr="../../柳州/DOCUME~1/ADMINI~1/LOCALS~1/Temp/ksohtml/wps_clip_image-28401.png"/>
                          <pic:cNvPicPr/>
                        </pic:nvPicPr>
                        <pic:blipFill>
                          <a:blip r:embed="rId30" cstate="print"/>
                          <a:srcRect/>
                          <a:stretch>
                            <a:fillRect/>
                          </a:stretch>
                        </pic:blipFill>
                        <pic:spPr>
                          <a:xfrm>
                            <a:off x="0" y="0"/>
                            <a:ext cx="1591310" cy="391795"/>
                          </a:xfrm>
                          <a:prstGeom prst="rect">
                            <a:avLst/>
                          </a:prstGeom>
                          <a:ln>
                            <a:noFill/>
                          </a:ln>
                        </pic:spPr>
                      </pic:pic>
                    </a:graphicData>
                  </a:graphic>
                </wp:inline>
              </w:drawing>
            </w:r>
          </w:p>
          <w:p w14:paraId="1ACA12D2">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式中：L1——某个室内声源在靠近围护结构处产生的声压级；</w:t>
            </w:r>
          </w:p>
          <w:p w14:paraId="213B5A52">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Lw——某个声源的声功率级；</w:t>
            </w:r>
          </w:p>
          <w:p w14:paraId="4D40ED36">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r1——室内某个声源与靠近围护结构处的距离；</w:t>
            </w:r>
          </w:p>
          <w:p w14:paraId="39EDA598">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R——房间常数，根据房间内壁的平均吸声系数与内壁总面积计算；</w:t>
            </w:r>
          </w:p>
          <w:p w14:paraId="66489C1B">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Q——方向因子，半自由状态点声源Q＝2；</w:t>
            </w:r>
          </w:p>
          <w:p w14:paraId="3BDF5BF6">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②计算出所有室内声源在靠近围护结构处产生的声压级：</w:t>
            </w:r>
          </w:p>
          <w:p w14:paraId="70737A1C">
            <w:pPr>
              <w:pStyle w:val="105"/>
              <w:keepNext w:val="0"/>
              <w:keepLines w:val="0"/>
              <w:suppressLineNumbers w:val="0"/>
              <w:spacing w:before="0" w:beforeAutospacing="0" w:after="0" w:afterAutospacing="0"/>
              <w:ind w:left="0" w:right="0"/>
              <w:jc w:val="center"/>
              <w:rPr>
                <w:rFonts w:hint="default"/>
                <w:color w:val="auto"/>
              </w:rPr>
            </w:pPr>
            <w:r>
              <w:rPr>
                <w:rFonts w:hint="default"/>
                <w:color w:val="auto"/>
              </w:rPr>
              <w:drawing>
                <wp:inline distT="0" distB="0" distL="0" distR="0">
                  <wp:extent cx="2704465" cy="1558925"/>
                  <wp:effectExtent l="0" t="0" r="635" b="3175"/>
                  <wp:docPr id="1042" name="图片 138"/>
                  <wp:cNvGraphicFramePr/>
                  <a:graphic xmlns:a="http://schemas.openxmlformats.org/drawingml/2006/main">
                    <a:graphicData uri="http://schemas.openxmlformats.org/drawingml/2006/picture">
                      <pic:pic xmlns:pic="http://schemas.openxmlformats.org/drawingml/2006/picture">
                        <pic:nvPicPr>
                          <pic:cNvPr id="1042" name="图片 138"/>
                          <pic:cNvPicPr/>
                        </pic:nvPicPr>
                        <pic:blipFill>
                          <a:blip r:embed="rId31" cstate="print"/>
                          <a:srcRect/>
                          <a:stretch>
                            <a:fillRect/>
                          </a:stretch>
                        </pic:blipFill>
                        <pic:spPr>
                          <a:xfrm>
                            <a:off x="0" y="0"/>
                            <a:ext cx="2704465" cy="1558925"/>
                          </a:xfrm>
                          <a:prstGeom prst="rect">
                            <a:avLst/>
                          </a:prstGeom>
                          <a:ln>
                            <a:noFill/>
                          </a:ln>
                        </pic:spPr>
                      </pic:pic>
                    </a:graphicData>
                  </a:graphic>
                </wp:inline>
              </w:drawing>
            </w:r>
          </w:p>
          <w:p w14:paraId="5A4463D6">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③计算出室外靠近围护结构处的声压级：</w:t>
            </w:r>
          </w:p>
          <w:p w14:paraId="0F88C825">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drawing>
                <wp:inline distT="0" distB="0" distL="0" distR="0">
                  <wp:extent cx="1543685" cy="213995"/>
                  <wp:effectExtent l="0" t="0" r="18415" b="15240"/>
                  <wp:docPr id="1043" name="图片 139" descr="../../柳州/DOCUME~1/ADMINI~1/LOCALS~1/Temp/ksohtml/wps_clip_image-4341.png"/>
                  <wp:cNvGraphicFramePr/>
                  <a:graphic xmlns:a="http://schemas.openxmlformats.org/drawingml/2006/main">
                    <a:graphicData uri="http://schemas.openxmlformats.org/drawingml/2006/picture">
                      <pic:pic xmlns:pic="http://schemas.openxmlformats.org/drawingml/2006/picture">
                        <pic:nvPicPr>
                          <pic:cNvPr id="1043" name="图片 139" descr="../../柳州/DOCUME~1/ADMINI~1/LOCALS~1/Temp/ksohtml/wps_clip_image-4341.png"/>
                          <pic:cNvPicPr/>
                        </pic:nvPicPr>
                        <pic:blipFill>
                          <a:blip r:embed="rId32" cstate="print"/>
                          <a:srcRect/>
                          <a:stretch>
                            <a:fillRect/>
                          </a:stretch>
                        </pic:blipFill>
                        <pic:spPr>
                          <a:xfrm>
                            <a:off x="0" y="0"/>
                            <a:ext cx="1543685" cy="213995"/>
                          </a:xfrm>
                          <a:prstGeom prst="rect">
                            <a:avLst/>
                          </a:prstGeom>
                          <a:ln>
                            <a:noFill/>
                          </a:ln>
                        </pic:spPr>
                      </pic:pic>
                    </a:graphicData>
                  </a:graphic>
                </wp:inline>
              </w:drawing>
            </w:r>
          </w:p>
          <w:p w14:paraId="2384DBC3">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式中：TL——构件隔声损失，双面粉刷砖墙。</w:t>
            </w:r>
          </w:p>
          <w:p w14:paraId="6E622005">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④将室外声级L2(T)和透声面积换算成等效的室外声源，计算出等效声源的声功率级Lw：</w:t>
            </w:r>
          </w:p>
          <w:p w14:paraId="1B75CAF8">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drawing>
                <wp:inline distT="0" distB="0" distL="0" distR="0">
                  <wp:extent cx="1401445" cy="249555"/>
                  <wp:effectExtent l="0" t="0" r="8255" b="17145"/>
                  <wp:docPr id="1044" name="图片 140" descr="../../柳州/DOCUME~1/ADMINI~1/LOCALS~1/Temp/ksohtml/wps_clip_image-11919.png"/>
                  <wp:cNvGraphicFramePr/>
                  <a:graphic xmlns:a="http://schemas.openxmlformats.org/drawingml/2006/main">
                    <a:graphicData uri="http://schemas.openxmlformats.org/drawingml/2006/picture">
                      <pic:pic xmlns:pic="http://schemas.openxmlformats.org/drawingml/2006/picture">
                        <pic:nvPicPr>
                          <pic:cNvPr id="1044" name="图片 140" descr="../../柳州/DOCUME~1/ADMINI~1/LOCALS~1/Temp/ksohtml/wps_clip_image-11919.png"/>
                          <pic:cNvPicPr/>
                        </pic:nvPicPr>
                        <pic:blipFill>
                          <a:blip r:embed="rId33" cstate="print"/>
                          <a:srcRect/>
                          <a:stretch>
                            <a:fillRect/>
                          </a:stretch>
                        </pic:blipFill>
                        <pic:spPr>
                          <a:xfrm>
                            <a:off x="0" y="0"/>
                            <a:ext cx="1401445" cy="249555"/>
                          </a:xfrm>
                          <a:prstGeom prst="rect">
                            <a:avLst/>
                          </a:prstGeom>
                          <a:ln>
                            <a:noFill/>
                          </a:ln>
                        </pic:spPr>
                      </pic:pic>
                    </a:graphicData>
                  </a:graphic>
                </wp:inline>
              </w:drawing>
            </w:r>
          </w:p>
          <w:p w14:paraId="06D57199">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式中：S为透声面积，m</w:t>
            </w:r>
            <w:r>
              <w:rPr>
                <w:rFonts w:hint="default"/>
                <w:color w:val="auto"/>
                <w:sz w:val="24"/>
                <w:szCs w:val="24"/>
                <w:vertAlign w:val="superscript"/>
              </w:rPr>
              <w:t>2</w:t>
            </w:r>
            <w:r>
              <w:rPr>
                <w:rFonts w:hint="default"/>
                <w:color w:val="auto"/>
                <w:sz w:val="24"/>
                <w:szCs w:val="24"/>
              </w:rPr>
              <w:t>。</w:t>
            </w:r>
          </w:p>
          <w:p w14:paraId="348DBAED">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⑤采用户外声传播衰减公式预测各主要施工机械噪声对环境的影响。</w:t>
            </w:r>
          </w:p>
          <w:p w14:paraId="0AB8833A">
            <w:pPr>
              <w:pStyle w:val="105"/>
              <w:keepNext w:val="0"/>
              <w:keepLines w:val="0"/>
              <w:suppressLineNumbers w:val="0"/>
              <w:spacing w:before="0" w:beforeAutospacing="0" w:after="0" w:afterAutospacing="0"/>
              <w:ind w:left="0" w:right="0" w:firstLine="0" w:firstLineChars="0"/>
              <w:jc w:val="center"/>
              <w:rPr>
                <w:rFonts w:hint="default"/>
                <w:color w:val="auto"/>
                <w:sz w:val="24"/>
                <w:szCs w:val="24"/>
              </w:rPr>
            </w:pPr>
            <w:r>
              <w:rPr>
                <w:rFonts w:hint="default"/>
                <w:color w:val="auto"/>
                <w:position w:val="-14"/>
                <w:sz w:val="24"/>
                <w:szCs w:val="24"/>
              </w:rPr>
              <w:object>
                <v:shape id="_x0000_i1033" o:spt="75" type="#_x0000_t75" style="height:23.15pt;width:270.85pt;" o:ole="t" filled="f" stroked="f" coordsize="21600,21600">
                  <v:path/>
                  <v:fill on="f" focussize="0,0"/>
                  <v:stroke on="f"/>
                  <v:imagedata r:id="rId35" embosscolor="#FFFFFF" o:title=""/>
                  <o:lock v:ext="edit" aspectratio="t"/>
                  <w10:wrap type="none"/>
                  <w10:anchorlock/>
                </v:shape>
                <o:OLEObject Type="Embed" ProgID="Equation.KSEE3" ShapeID="_x0000_i1033" DrawAspect="Content" ObjectID="_1468075733" r:id="rId34">
                  <o:LockedField>false</o:LockedField>
                </o:OLEObject>
              </w:object>
            </w:r>
          </w:p>
          <w:p w14:paraId="570A55F6">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式中：Lp(r)——距声源r处预测点噪声值，dB(A)；</w:t>
            </w:r>
          </w:p>
          <w:p w14:paraId="0C7A4842">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Lp(r0)——参考点r0处噪声值，dB(A)；</w:t>
            </w:r>
          </w:p>
          <w:p w14:paraId="510DBD6B">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Adiv——几何发散衰减，dB(A)；</w:t>
            </w:r>
          </w:p>
          <w:p w14:paraId="5D1891C0">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Aatm——大气吸收衰减，dB(A)；</w:t>
            </w:r>
          </w:p>
          <w:p w14:paraId="4D407E63">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Abar——屏障衰减，dB(A)；</w:t>
            </w:r>
          </w:p>
          <w:p w14:paraId="79A6D8D6">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Agr——地面效应，dB(A)；</w:t>
            </w:r>
          </w:p>
          <w:p w14:paraId="1EA28AC3">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Amisc——其他多方面效应衰减，dB(A)；</w:t>
            </w:r>
          </w:p>
          <w:p w14:paraId="27695C0D">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r——预测点距噪声源距离，m；</w:t>
            </w:r>
          </w:p>
          <w:p w14:paraId="4A6558D6">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r0——参考位置距噪声源距离，m。</w:t>
            </w:r>
          </w:p>
          <w:p w14:paraId="09274FD1">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⑥噪声贡献值计算：</w:t>
            </w:r>
          </w:p>
          <w:p w14:paraId="402EDADB">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1D6E9594">
            <w:pPr>
              <w:pStyle w:val="105"/>
              <w:keepNext w:val="0"/>
              <w:keepLines w:val="0"/>
              <w:suppressLineNumbers w:val="0"/>
              <w:spacing w:before="0" w:beforeAutospacing="0" w:after="0" w:afterAutospacing="0"/>
              <w:ind w:left="0" w:right="0" w:firstLine="0" w:firstLineChars="0"/>
              <w:jc w:val="center"/>
              <w:rPr>
                <w:rFonts w:hint="default"/>
                <w:color w:val="auto"/>
              </w:rPr>
            </w:pPr>
            <w:r>
              <w:rPr>
                <w:rFonts w:hint="default"/>
                <w:color w:val="auto"/>
                <w:position w:val="-34"/>
              </w:rPr>
              <w:object>
                <v:shape id="_x0000_i1034" o:spt="75" type="#_x0000_t75" style="height:40pt;width:204.95pt;" o:ole="t" filled="f" stroked="f" coordsize="21600,21600">
                  <v:path/>
                  <v:fill on="f" focussize="0,0"/>
                  <v:stroke on="f"/>
                  <v:imagedata r:id="rId37" embosscolor="#FFFFFF" o:title=""/>
                  <o:lock v:ext="edit" aspectratio="t"/>
                  <w10:wrap type="none"/>
                  <w10:anchorlock/>
                </v:shape>
                <o:OLEObject Type="Embed" ProgID="Equation.KSEE3" ShapeID="_x0000_i1034" DrawAspect="Content" ObjectID="_1468075734" r:id="rId36">
                  <o:LockedField>false</o:LockedField>
                </o:OLEObject>
              </w:object>
            </w:r>
          </w:p>
          <w:p w14:paraId="6E3C81E5">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tj——在T时间内j声源工作时间，s；</w:t>
            </w:r>
          </w:p>
          <w:p w14:paraId="6ED9EFBF">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ti——在T时间内i声源工作时间，s；</w:t>
            </w:r>
          </w:p>
          <w:p w14:paraId="44EB6D19">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T——用于计算等效声级的时间，s；</w:t>
            </w:r>
          </w:p>
          <w:p w14:paraId="702441DD">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N——室外声源个数；</w:t>
            </w:r>
          </w:p>
          <w:p w14:paraId="7E5475E4">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M——等效室内外声源个数。</w:t>
            </w:r>
          </w:p>
          <w:p w14:paraId="15AE8FBA">
            <w:pPr>
              <w:pStyle w:val="105"/>
              <w:keepNext w:val="0"/>
              <w:keepLines w:val="0"/>
              <w:suppressLineNumbers w:val="0"/>
              <w:spacing w:before="0" w:beforeAutospacing="0" w:after="0" w:afterAutospacing="0"/>
              <w:ind w:left="0" w:right="0" w:firstLine="480"/>
              <w:rPr>
                <w:rFonts w:hint="eastAsia"/>
                <w:color w:val="auto"/>
                <w:sz w:val="24"/>
                <w:szCs w:val="24"/>
              </w:rPr>
            </w:pPr>
            <w:r>
              <w:rPr>
                <w:rFonts w:hint="eastAsia"/>
                <w:color w:val="auto"/>
                <w:sz w:val="24"/>
                <w:szCs w:val="24"/>
              </w:rPr>
              <w:t>⑦噪声预测值计算：</w:t>
            </w:r>
          </w:p>
          <w:p w14:paraId="08F030AF">
            <w:pPr>
              <w:pStyle w:val="105"/>
              <w:keepNext w:val="0"/>
              <w:keepLines w:val="0"/>
              <w:suppressLineNumbers w:val="0"/>
              <w:spacing w:before="0" w:beforeAutospacing="0" w:after="0" w:afterAutospacing="0"/>
              <w:ind w:left="0" w:right="0" w:firstLine="480"/>
              <w:rPr>
                <w:rFonts w:hint="eastAsia"/>
                <w:color w:val="auto"/>
                <w:sz w:val="24"/>
                <w:szCs w:val="24"/>
              </w:rPr>
            </w:pPr>
            <w:r>
              <w:rPr>
                <w:rFonts w:hint="eastAsia"/>
                <w:color w:val="auto"/>
                <w:sz w:val="24"/>
                <w:szCs w:val="24"/>
              </w:rPr>
              <w:t>噪声预测值（Leq）计算公式为：</w:t>
            </w:r>
          </w:p>
          <w:p w14:paraId="2796457A">
            <w:pPr>
              <w:pStyle w:val="105"/>
              <w:keepNext w:val="0"/>
              <w:keepLines w:val="0"/>
              <w:suppressLineNumbers w:val="0"/>
              <w:spacing w:before="0" w:beforeAutospacing="0" w:after="0" w:afterAutospacing="0"/>
              <w:ind w:left="0" w:right="0"/>
              <w:rPr>
                <w:rFonts w:hint="default"/>
                <w:color w:val="auto"/>
                <w:sz w:val="24"/>
                <w:szCs w:val="24"/>
              </w:rPr>
            </w:pPr>
            <w:r>
              <w:rPr>
                <w:rFonts w:hint="default"/>
                <w:color w:val="auto"/>
                <w:position w:val="-14"/>
              </w:rPr>
              <w:object>
                <v:shape id="_x0000_i1035" o:spt="75" type="#_x0000_t75" style="height:21pt;width:135pt;" o:ole="t" filled="f" stroked="f" coordsize="21600,21600">
                  <v:path/>
                  <v:fill on="f" focussize="0,0"/>
                  <v:stroke on="f"/>
                  <v:imagedata r:id="rId39" embosscolor="#FFFFFF" o:title=""/>
                  <o:lock v:ext="edit" aspectratio="t"/>
                  <w10:wrap type="none"/>
                  <w10:anchorlock/>
                </v:shape>
                <o:OLEObject Type="Embed" ProgID="Equation.KSEE3" ShapeID="_x0000_i1035" DrawAspect="Content" ObjectID="_1468075735" r:id="rId38">
                  <o:LockedField>false</o:LockedField>
                </o:OLEObject>
              </w:object>
            </w:r>
          </w:p>
          <w:p w14:paraId="4302CCE7">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式中：</w:t>
            </w:r>
            <w:r>
              <w:rPr>
                <w:rFonts w:hint="eastAsia"/>
                <w:color w:val="auto"/>
                <w:sz w:val="24"/>
                <w:szCs w:val="24"/>
              </w:rPr>
              <w:t>Leq</w:t>
            </w:r>
            <w:r>
              <w:rPr>
                <w:rFonts w:hint="default"/>
                <w:color w:val="auto"/>
                <w:sz w:val="24"/>
                <w:szCs w:val="24"/>
              </w:rPr>
              <w:t>——</w:t>
            </w:r>
            <w:r>
              <w:rPr>
                <w:rFonts w:hint="eastAsia"/>
                <w:color w:val="auto"/>
                <w:sz w:val="24"/>
                <w:szCs w:val="24"/>
              </w:rPr>
              <w:t>预测点的噪声预测值</w:t>
            </w:r>
            <w:r>
              <w:rPr>
                <w:rFonts w:hint="default"/>
                <w:color w:val="auto"/>
                <w:sz w:val="24"/>
                <w:szCs w:val="24"/>
              </w:rPr>
              <w:t>，dB</w:t>
            </w:r>
            <w:r>
              <w:rPr>
                <w:rFonts w:hint="eastAsia"/>
                <w:color w:val="auto"/>
                <w:sz w:val="24"/>
                <w:szCs w:val="24"/>
              </w:rPr>
              <w:t>（A）</w:t>
            </w:r>
            <w:r>
              <w:rPr>
                <w:rFonts w:hint="default"/>
                <w:color w:val="auto"/>
                <w:sz w:val="24"/>
                <w:szCs w:val="24"/>
              </w:rPr>
              <w:t>；</w:t>
            </w:r>
          </w:p>
          <w:p w14:paraId="427F6119">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L</w:t>
            </w:r>
            <w:r>
              <w:rPr>
                <w:rFonts w:hint="eastAsia"/>
                <w:color w:val="auto"/>
                <w:sz w:val="24"/>
                <w:szCs w:val="24"/>
              </w:rPr>
              <w:t>eqg</w:t>
            </w:r>
            <w:r>
              <w:rPr>
                <w:rFonts w:hint="default"/>
                <w:color w:val="auto"/>
                <w:sz w:val="24"/>
                <w:szCs w:val="24"/>
              </w:rPr>
              <w:t>——</w:t>
            </w:r>
            <w:r>
              <w:rPr>
                <w:rFonts w:hint="eastAsia"/>
                <w:color w:val="auto"/>
                <w:sz w:val="24"/>
                <w:szCs w:val="24"/>
              </w:rPr>
              <w:t>建设项目声源在预测点产生的噪声贡献值</w:t>
            </w:r>
            <w:r>
              <w:rPr>
                <w:rFonts w:hint="default"/>
                <w:color w:val="auto"/>
                <w:sz w:val="24"/>
                <w:szCs w:val="24"/>
              </w:rPr>
              <w:t>，dB</w:t>
            </w:r>
            <w:r>
              <w:rPr>
                <w:rFonts w:hint="eastAsia"/>
                <w:color w:val="auto"/>
                <w:sz w:val="24"/>
                <w:szCs w:val="24"/>
              </w:rPr>
              <w:t>（A）</w:t>
            </w:r>
            <w:r>
              <w:rPr>
                <w:rFonts w:hint="default"/>
                <w:color w:val="auto"/>
                <w:sz w:val="24"/>
                <w:szCs w:val="24"/>
              </w:rPr>
              <w:t>；</w:t>
            </w:r>
          </w:p>
          <w:p w14:paraId="54D7AC25">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L</w:t>
            </w:r>
            <w:r>
              <w:rPr>
                <w:rFonts w:hint="eastAsia"/>
                <w:color w:val="auto"/>
                <w:sz w:val="24"/>
                <w:szCs w:val="24"/>
              </w:rPr>
              <w:t>eqb</w:t>
            </w:r>
            <w:r>
              <w:rPr>
                <w:rFonts w:hint="default"/>
                <w:color w:val="auto"/>
                <w:sz w:val="24"/>
                <w:szCs w:val="24"/>
              </w:rPr>
              <w:t>——</w:t>
            </w:r>
            <w:r>
              <w:rPr>
                <w:rFonts w:hint="eastAsia"/>
                <w:color w:val="auto"/>
                <w:sz w:val="24"/>
                <w:szCs w:val="24"/>
              </w:rPr>
              <w:t>预测点的背景噪声值</w:t>
            </w:r>
            <w:r>
              <w:rPr>
                <w:rFonts w:hint="default"/>
                <w:color w:val="auto"/>
                <w:sz w:val="24"/>
                <w:szCs w:val="24"/>
              </w:rPr>
              <w:t>，dB</w:t>
            </w:r>
            <w:r>
              <w:rPr>
                <w:rFonts w:hint="eastAsia"/>
                <w:color w:val="auto"/>
                <w:sz w:val="24"/>
                <w:szCs w:val="24"/>
              </w:rPr>
              <w:t>（A）</w:t>
            </w:r>
            <w:r>
              <w:rPr>
                <w:rFonts w:hint="default"/>
                <w:color w:val="auto"/>
                <w:sz w:val="24"/>
                <w:szCs w:val="24"/>
              </w:rPr>
              <w:t>；</w:t>
            </w:r>
          </w:p>
          <w:p w14:paraId="5433CC48">
            <w:pPr>
              <w:pStyle w:val="105"/>
              <w:keepNext w:val="0"/>
              <w:keepLines w:val="0"/>
              <w:suppressLineNumbers w:val="0"/>
              <w:spacing w:before="0" w:beforeAutospacing="0" w:after="0" w:afterAutospacing="0"/>
              <w:ind w:left="0" w:right="0" w:firstLine="480"/>
              <w:rPr>
                <w:rFonts w:hint="default"/>
                <w:color w:val="auto"/>
                <w:sz w:val="24"/>
                <w:szCs w:val="24"/>
              </w:rPr>
            </w:pPr>
            <w:r>
              <w:rPr>
                <w:rFonts w:hint="eastAsia"/>
                <w:color w:val="auto"/>
                <w:sz w:val="24"/>
                <w:szCs w:val="24"/>
              </w:rPr>
              <w:t>本次预</w:t>
            </w:r>
            <w:r>
              <w:rPr>
                <w:rFonts w:hint="eastAsia"/>
                <w:color w:val="auto"/>
                <w:sz w:val="24"/>
                <w:szCs w:val="24"/>
              </w:rPr>
              <w:t>测分析是</w:t>
            </w:r>
            <w:r>
              <w:rPr>
                <w:rFonts w:hint="eastAsia"/>
                <w:color w:val="auto"/>
                <w:sz w:val="24"/>
                <w:szCs w:val="24"/>
                <w:lang w:val="en-US" w:eastAsia="zh-CN"/>
              </w:rPr>
              <w:t>本项目租赁厂房内</w:t>
            </w:r>
            <w:r>
              <w:rPr>
                <w:rFonts w:hint="eastAsia"/>
                <w:color w:val="auto"/>
                <w:sz w:val="24"/>
                <w:szCs w:val="24"/>
              </w:rPr>
              <w:t>所有设备的叠加预测，预测结果如下表所示：</w:t>
            </w:r>
          </w:p>
          <w:p w14:paraId="239C7E39">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项目厂界噪声预测结果一览表（单位：dB</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A</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2040"/>
              <w:gridCol w:w="1796"/>
              <w:gridCol w:w="2579"/>
            </w:tblGrid>
            <w:tr w14:paraId="3CD2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pct"/>
                  <w:vMerge w:val="restart"/>
                  <w:vAlign w:val="center"/>
                </w:tcPr>
                <w:p w14:paraId="1B92C2A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监测点位</w:t>
                  </w:r>
                </w:p>
              </w:tc>
              <w:tc>
                <w:tcPr>
                  <w:tcW w:w="2178" w:type="pct"/>
                  <w:gridSpan w:val="2"/>
                  <w:vAlign w:val="center"/>
                </w:tcPr>
                <w:p w14:paraId="723D78C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昼间</w:t>
                  </w:r>
                </w:p>
              </w:tc>
              <w:tc>
                <w:tcPr>
                  <w:tcW w:w="1464" w:type="pct"/>
                  <w:vMerge w:val="restart"/>
                  <w:vAlign w:val="center"/>
                </w:tcPr>
                <w:p w14:paraId="70057E2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达标情况</w:t>
                  </w:r>
                </w:p>
              </w:tc>
            </w:tr>
            <w:tr w14:paraId="6221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pct"/>
                  <w:vMerge w:val="continue"/>
                  <w:vAlign w:val="center"/>
                </w:tcPr>
                <w:p w14:paraId="7FE44765">
                  <w:pPr>
                    <w:keepNext w:val="0"/>
                    <w:keepLines w:val="0"/>
                    <w:suppressLineNumbers w:val="0"/>
                    <w:spacing w:before="0" w:beforeAutospacing="0" w:after="0" w:afterAutospacing="0"/>
                    <w:ind w:left="0" w:right="0"/>
                    <w:jc w:val="center"/>
                    <w:rPr>
                      <w:rFonts w:hint="default"/>
                      <w:color w:val="auto"/>
                    </w:rPr>
                  </w:pPr>
                </w:p>
              </w:tc>
              <w:tc>
                <w:tcPr>
                  <w:tcW w:w="1158" w:type="pct"/>
                  <w:vAlign w:val="center"/>
                </w:tcPr>
                <w:p w14:paraId="411BEB71">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贡献值</w:t>
                  </w:r>
                </w:p>
              </w:tc>
              <w:tc>
                <w:tcPr>
                  <w:tcW w:w="1019" w:type="pct"/>
                  <w:vAlign w:val="center"/>
                </w:tcPr>
                <w:p w14:paraId="613DDC8D">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标准值</w:t>
                  </w:r>
                </w:p>
              </w:tc>
              <w:tc>
                <w:tcPr>
                  <w:tcW w:w="1464" w:type="pct"/>
                  <w:vMerge w:val="continue"/>
                  <w:vAlign w:val="center"/>
                </w:tcPr>
                <w:p w14:paraId="5B2A12F0">
                  <w:pPr>
                    <w:keepNext w:val="0"/>
                    <w:keepLines w:val="0"/>
                    <w:suppressLineNumbers w:val="0"/>
                    <w:spacing w:before="0" w:beforeAutospacing="0" w:after="0" w:afterAutospacing="0"/>
                    <w:ind w:left="0" w:right="0"/>
                    <w:jc w:val="center"/>
                    <w:rPr>
                      <w:rFonts w:hint="default"/>
                      <w:color w:val="auto"/>
                      <w:szCs w:val="21"/>
                    </w:rPr>
                  </w:pPr>
                </w:p>
              </w:tc>
            </w:tr>
            <w:tr w14:paraId="2D70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pct"/>
                  <w:vAlign w:val="center"/>
                </w:tcPr>
                <w:p w14:paraId="4803849D">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厂房边界外1m（东侧）</w:t>
                  </w:r>
                </w:p>
              </w:tc>
              <w:tc>
                <w:tcPr>
                  <w:tcW w:w="1158" w:type="pct"/>
                  <w:vAlign w:val="center"/>
                </w:tcPr>
                <w:p w14:paraId="4AFAB71E">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46.9</w:t>
                  </w:r>
                </w:p>
              </w:tc>
              <w:tc>
                <w:tcPr>
                  <w:tcW w:w="1019" w:type="pct"/>
                  <w:vAlign w:val="center"/>
                </w:tcPr>
                <w:p w14:paraId="47740FEF">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65</w:t>
                  </w:r>
                </w:p>
              </w:tc>
              <w:tc>
                <w:tcPr>
                  <w:tcW w:w="1464" w:type="pct"/>
                  <w:vAlign w:val="center"/>
                </w:tcPr>
                <w:p w14:paraId="01C85F3B">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达标</w:t>
                  </w:r>
                </w:p>
              </w:tc>
            </w:tr>
            <w:tr w14:paraId="54E0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356" w:type="pct"/>
                  <w:vAlign w:val="center"/>
                </w:tcPr>
                <w:p w14:paraId="490DF66B">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厂房边界外1m（南侧）</w:t>
                  </w:r>
                </w:p>
              </w:tc>
              <w:tc>
                <w:tcPr>
                  <w:tcW w:w="1158" w:type="pct"/>
                  <w:vAlign w:val="center"/>
                </w:tcPr>
                <w:p w14:paraId="467E91B3">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46.7</w:t>
                  </w:r>
                </w:p>
              </w:tc>
              <w:tc>
                <w:tcPr>
                  <w:tcW w:w="1019" w:type="pct"/>
                  <w:vAlign w:val="center"/>
                </w:tcPr>
                <w:p w14:paraId="1ACEE3A6">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65</w:t>
                  </w:r>
                </w:p>
              </w:tc>
              <w:tc>
                <w:tcPr>
                  <w:tcW w:w="1464" w:type="pct"/>
                  <w:vAlign w:val="center"/>
                </w:tcPr>
                <w:p w14:paraId="4F66FA89">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r w14:paraId="65D2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356" w:type="pct"/>
                  <w:vAlign w:val="center"/>
                </w:tcPr>
                <w:p w14:paraId="3F49AB51">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厂房边界外1m（西侧）</w:t>
                  </w:r>
                </w:p>
              </w:tc>
              <w:tc>
                <w:tcPr>
                  <w:tcW w:w="1158" w:type="pct"/>
                  <w:vAlign w:val="center"/>
                </w:tcPr>
                <w:p w14:paraId="7EC588FF">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48.0</w:t>
                  </w:r>
                </w:p>
              </w:tc>
              <w:tc>
                <w:tcPr>
                  <w:tcW w:w="1019" w:type="pct"/>
                  <w:vAlign w:val="center"/>
                </w:tcPr>
                <w:p w14:paraId="197939E3">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65</w:t>
                  </w:r>
                </w:p>
              </w:tc>
              <w:tc>
                <w:tcPr>
                  <w:tcW w:w="1464" w:type="pct"/>
                  <w:vAlign w:val="center"/>
                </w:tcPr>
                <w:p w14:paraId="6D4E8042">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达标</w:t>
                  </w:r>
                </w:p>
              </w:tc>
            </w:tr>
            <w:tr w14:paraId="5E5A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356" w:type="pct"/>
                  <w:vAlign w:val="center"/>
                </w:tcPr>
                <w:p w14:paraId="1DD3100D">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厂房边界外1m（北侧）</w:t>
                  </w:r>
                </w:p>
              </w:tc>
              <w:tc>
                <w:tcPr>
                  <w:tcW w:w="1158" w:type="pct"/>
                  <w:vAlign w:val="center"/>
                </w:tcPr>
                <w:p w14:paraId="1B964FFF">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44.8</w:t>
                  </w:r>
                </w:p>
              </w:tc>
              <w:tc>
                <w:tcPr>
                  <w:tcW w:w="1019" w:type="pct"/>
                  <w:vAlign w:val="center"/>
                </w:tcPr>
                <w:p w14:paraId="2A4ABBB6">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65</w:t>
                  </w:r>
                </w:p>
              </w:tc>
              <w:tc>
                <w:tcPr>
                  <w:tcW w:w="1464" w:type="pct"/>
                  <w:vAlign w:val="center"/>
                </w:tcPr>
                <w:p w14:paraId="0E2B2218">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达标</w:t>
                  </w:r>
                </w:p>
              </w:tc>
            </w:tr>
          </w:tbl>
          <w:p w14:paraId="1E05616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（2）噪声达标性分析</w:t>
            </w:r>
          </w:p>
          <w:p w14:paraId="707786AA">
            <w:pPr>
              <w:keepNext w:val="0"/>
              <w:keepLines w:val="0"/>
              <w:suppressLineNumbers w:val="0"/>
              <w:adjustRightInd w:val="0"/>
              <w:snapToGrid w:val="0"/>
              <w:spacing w:before="0" w:beforeAutospacing="0" w:after="0" w:afterAutospacing="0" w:line="360" w:lineRule="auto"/>
              <w:ind w:left="0" w:right="0" w:firstLine="480" w:firstLineChars="200"/>
              <w:rPr>
                <w:rFonts w:hint="default"/>
                <w:iCs/>
                <w:color w:val="auto"/>
                <w:sz w:val="24"/>
              </w:rPr>
            </w:pPr>
            <w:r>
              <w:rPr>
                <w:rFonts w:hint="default"/>
                <w:color w:val="auto"/>
                <w:sz w:val="24"/>
              </w:rPr>
              <w:t>根据噪声预测分析，本项目</w:t>
            </w:r>
            <w:r>
              <w:rPr>
                <w:rFonts w:hint="eastAsia"/>
                <w:color w:val="auto"/>
                <w:sz w:val="24"/>
              </w:rPr>
              <w:t>全厂</w:t>
            </w:r>
            <w:r>
              <w:rPr>
                <w:rFonts w:hint="default"/>
                <w:color w:val="auto"/>
                <w:sz w:val="24"/>
              </w:rPr>
              <w:t>各噪声源在加强采取相应的噪声污染治理措施后，</w:t>
            </w:r>
            <w:r>
              <w:rPr>
                <w:rFonts w:hint="eastAsia"/>
                <w:color w:val="auto"/>
                <w:sz w:val="24"/>
                <w:lang w:val="en-US" w:eastAsia="zh-CN"/>
              </w:rPr>
              <w:t>项目夜间不生产，</w:t>
            </w:r>
            <w:r>
              <w:rPr>
                <w:rFonts w:hint="default"/>
                <w:color w:val="auto"/>
                <w:sz w:val="24"/>
              </w:rPr>
              <w:t>厂界</w:t>
            </w:r>
            <w:r>
              <w:rPr>
                <w:rFonts w:hint="eastAsia" w:eastAsia="宋体"/>
                <w:color w:val="auto"/>
                <w:sz w:val="24"/>
                <w:lang w:eastAsia="zh-CN"/>
              </w:rPr>
              <w:t>昼</w:t>
            </w:r>
            <w:r>
              <w:rPr>
                <w:rFonts w:hint="eastAsia" w:ascii="Times New Roman" w:eastAsia="宋体"/>
                <w:color w:val="auto"/>
                <w:sz w:val="24"/>
                <w:lang w:val="en-US" w:eastAsia="zh-CN"/>
              </w:rPr>
              <w:t>间</w:t>
            </w:r>
            <w:r>
              <w:rPr>
                <w:rFonts w:hint="default"/>
                <w:color w:val="auto"/>
                <w:sz w:val="24"/>
              </w:rPr>
              <w:t>噪声贡献值</w:t>
            </w:r>
            <w:r>
              <w:rPr>
                <w:rFonts w:hint="default"/>
                <w:iCs/>
                <w:color w:val="auto"/>
                <w:sz w:val="24"/>
              </w:rPr>
              <w:t>能</w:t>
            </w:r>
            <w:r>
              <w:rPr>
                <w:rFonts w:hint="default"/>
                <w:color w:val="auto"/>
                <w:sz w:val="24"/>
              </w:rPr>
              <w:t>达到《工业企业厂界环境噪声排放标准》（GB</w:t>
            </w:r>
            <w:r>
              <w:rPr>
                <w:rFonts w:hint="eastAsia" w:ascii="Times New Roman" w:eastAsia="宋体"/>
                <w:color w:val="auto"/>
                <w:sz w:val="24"/>
                <w:lang w:val="en-US" w:eastAsia="zh-CN"/>
              </w:rPr>
              <w:t>12348</w:t>
            </w:r>
            <w:r>
              <w:rPr>
                <w:rFonts w:hint="default"/>
                <w:color w:val="auto"/>
                <w:sz w:val="24"/>
              </w:rPr>
              <w:t>-2008）</w:t>
            </w:r>
            <w:r>
              <w:rPr>
                <w:rFonts w:hint="eastAsia"/>
                <w:color w:val="auto"/>
                <w:sz w:val="24"/>
                <w:lang w:val="en-US" w:eastAsia="zh-CN"/>
              </w:rPr>
              <w:t>3</w:t>
            </w:r>
            <w:r>
              <w:rPr>
                <w:rFonts w:hint="default"/>
                <w:color w:val="auto"/>
                <w:sz w:val="24"/>
              </w:rPr>
              <w:t>类</w:t>
            </w:r>
            <w:r>
              <w:rPr>
                <w:rFonts w:hint="eastAsia" w:ascii="Times New Roman" w:eastAsia="宋体"/>
                <w:color w:val="auto"/>
                <w:sz w:val="24"/>
                <w:lang w:val="en-US" w:eastAsia="zh-CN"/>
              </w:rPr>
              <w:t>标准，</w:t>
            </w:r>
            <w:r>
              <w:rPr>
                <w:rFonts w:hint="default"/>
                <w:iCs/>
                <w:color w:val="auto"/>
                <w:sz w:val="24"/>
              </w:rPr>
              <w:t>对周围声环境影响较小。</w:t>
            </w:r>
          </w:p>
          <w:p w14:paraId="4802B33C">
            <w:pPr>
              <w:pStyle w:val="105"/>
              <w:keepNext w:val="0"/>
              <w:keepLines w:val="0"/>
              <w:suppressLineNumbers w:val="0"/>
              <w:spacing w:before="0" w:beforeAutospacing="0" w:after="0" w:afterAutospacing="0"/>
              <w:ind w:left="0" w:right="0" w:firstLine="482"/>
              <w:rPr>
                <w:rFonts w:hint="default"/>
                <w:b/>
                <w:bCs w:val="0"/>
                <w:color w:val="auto"/>
                <w:sz w:val="24"/>
                <w:szCs w:val="24"/>
              </w:rPr>
            </w:pPr>
            <w:r>
              <w:rPr>
                <w:rFonts w:hint="default"/>
                <w:b/>
                <w:bCs w:val="0"/>
                <w:color w:val="auto"/>
                <w:sz w:val="24"/>
                <w:szCs w:val="24"/>
              </w:rPr>
              <w:t>3、</w:t>
            </w:r>
            <w:r>
              <w:rPr>
                <w:rFonts w:hint="eastAsia"/>
                <w:b/>
                <w:bCs w:val="0"/>
                <w:color w:val="auto"/>
                <w:sz w:val="24"/>
                <w:szCs w:val="24"/>
              </w:rPr>
              <w:t>环境噪声</w:t>
            </w:r>
            <w:r>
              <w:rPr>
                <w:rFonts w:hint="default"/>
                <w:b/>
                <w:bCs w:val="0"/>
                <w:color w:val="auto"/>
                <w:sz w:val="24"/>
                <w:szCs w:val="24"/>
              </w:rPr>
              <w:t>监测计划</w:t>
            </w:r>
          </w:p>
          <w:p w14:paraId="0F30E2C9">
            <w:pPr>
              <w:pStyle w:val="105"/>
              <w:keepNext w:val="0"/>
              <w:keepLines w:val="0"/>
              <w:suppressLineNumbers w:val="0"/>
              <w:spacing w:before="0" w:beforeAutospacing="0" w:after="0" w:afterAutospacing="0"/>
              <w:ind w:left="0" w:right="0" w:firstLine="480"/>
              <w:rPr>
                <w:rStyle w:val="75"/>
                <w:rFonts w:hint="eastAsia"/>
                <w:bCs/>
                <w:color w:val="auto"/>
                <w:sz w:val="24"/>
                <w:szCs w:val="24"/>
              </w:rPr>
            </w:pPr>
            <w:r>
              <w:rPr>
                <w:rFonts w:hint="default"/>
                <w:color w:val="auto"/>
                <w:sz w:val="24"/>
                <w:szCs w:val="24"/>
              </w:rPr>
              <w:t>项目营运期的噪声环境监测按《环境监测技术规范》和《污染源监测管理办法》，同时参考《排污许可证申请与核发技术规范 总则》、《排污单位自行监测技术指南 总则》（HJ 819-2017）等文件，具体监测工作可委托有资质单位进行，执行本项目环境影响评价中的标准，营运期噪声环境监测计划如下：</w:t>
            </w:r>
          </w:p>
          <w:p w14:paraId="6FCA7A3E">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噪声排放</w:t>
            </w:r>
            <w:r>
              <w:rPr>
                <w:rFonts w:hint="default" w:ascii="Times New Roman" w:hAnsi="Times New Roman" w:eastAsia="宋体" w:cs="Times New Roman"/>
                <w:b/>
                <w:bCs/>
                <w:color w:val="auto"/>
                <w:sz w:val="24"/>
                <w:lang w:val="en-US" w:eastAsia="zh-CN"/>
              </w:rPr>
              <w:t>监测计划一览表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719"/>
              <w:gridCol w:w="1271"/>
              <w:gridCol w:w="976"/>
              <w:gridCol w:w="1081"/>
              <w:gridCol w:w="2951"/>
            </w:tblGrid>
            <w:tr w14:paraId="7D36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58" w:type="pct"/>
                  <w:vAlign w:val="center"/>
                </w:tcPr>
                <w:p w14:paraId="7A02CD45">
                  <w:pPr>
                    <w:pStyle w:val="70"/>
                    <w:keepNext w:val="0"/>
                    <w:keepLines w:val="0"/>
                    <w:suppressLineNumbers w:val="0"/>
                    <w:spacing w:before="24" w:beforeAutospacing="0" w:after="24" w:afterAutospacing="0"/>
                    <w:ind w:left="0" w:right="0"/>
                    <w:rPr>
                      <w:rFonts w:hint="default" w:ascii="Times New Roman"/>
                      <w:color w:val="auto"/>
                    </w:rPr>
                  </w:pPr>
                  <w:r>
                    <w:rPr>
                      <w:rFonts w:hint="default" w:ascii="Times New Roman"/>
                      <w:color w:val="auto"/>
                    </w:rPr>
                    <w:t>序号</w:t>
                  </w:r>
                </w:p>
              </w:tc>
              <w:tc>
                <w:tcPr>
                  <w:tcW w:w="976" w:type="pct"/>
                  <w:vAlign w:val="center"/>
                </w:tcPr>
                <w:p w14:paraId="2CBA69DE">
                  <w:pPr>
                    <w:pStyle w:val="70"/>
                    <w:keepNext w:val="0"/>
                    <w:keepLines w:val="0"/>
                    <w:suppressLineNumbers w:val="0"/>
                    <w:spacing w:before="24" w:beforeAutospacing="0" w:after="24" w:afterAutospacing="0"/>
                    <w:ind w:left="0" w:right="0"/>
                    <w:rPr>
                      <w:rFonts w:hint="default" w:ascii="Times New Roman"/>
                      <w:color w:val="auto"/>
                    </w:rPr>
                  </w:pPr>
                  <w:r>
                    <w:rPr>
                      <w:rFonts w:hint="default" w:ascii="Times New Roman"/>
                      <w:color w:val="auto"/>
                    </w:rPr>
                    <w:t>监测点位</w:t>
                  </w:r>
                </w:p>
              </w:tc>
              <w:tc>
                <w:tcPr>
                  <w:tcW w:w="722" w:type="pct"/>
                  <w:vAlign w:val="center"/>
                </w:tcPr>
                <w:p w14:paraId="74E85A28">
                  <w:pPr>
                    <w:pStyle w:val="70"/>
                    <w:keepNext w:val="0"/>
                    <w:keepLines w:val="0"/>
                    <w:suppressLineNumbers w:val="0"/>
                    <w:spacing w:before="24" w:beforeAutospacing="0" w:after="24" w:afterAutospacing="0"/>
                    <w:ind w:left="0" w:right="0"/>
                    <w:rPr>
                      <w:rFonts w:hint="default" w:ascii="Times New Roman"/>
                      <w:color w:val="auto"/>
                    </w:rPr>
                  </w:pPr>
                  <w:r>
                    <w:rPr>
                      <w:rFonts w:hint="default" w:ascii="Times New Roman"/>
                      <w:color w:val="auto"/>
                    </w:rPr>
                    <w:t>监测项目</w:t>
                  </w:r>
                </w:p>
              </w:tc>
              <w:tc>
                <w:tcPr>
                  <w:tcW w:w="554" w:type="pct"/>
                  <w:vAlign w:val="center"/>
                </w:tcPr>
                <w:p w14:paraId="397C4456">
                  <w:pPr>
                    <w:pStyle w:val="70"/>
                    <w:keepNext w:val="0"/>
                    <w:keepLines w:val="0"/>
                    <w:suppressLineNumbers w:val="0"/>
                    <w:spacing w:before="24" w:beforeAutospacing="0" w:after="24" w:afterAutospacing="0"/>
                    <w:ind w:left="0" w:right="0"/>
                    <w:rPr>
                      <w:rFonts w:hint="default" w:ascii="Times New Roman"/>
                      <w:color w:val="auto"/>
                    </w:rPr>
                  </w:pPr>
                  <w:r>
                    <w:rPr>
                      <w:rFonts w:hint="default" w:ascii="Times New Roman"/>
                      <w:color w:val="auto"/>
                    </w:rPr>
                    <w:t>频率</w:t>
                  </w:r>
                </w:p>
              </w:tc>
              <w:tc>
                <w:tcPr>
                  <w:tcW w:w="614" w:type="pct"/>
                  <w:vAlign w:val="center"/>
                </w:tcPr>
                <w:p w14:paraId="41FBF31A">
                  <w:pPr>
                    <w:pStyle w:val="70"/>
                    <w:keepNext w:val="0"/>
                    <w:keepLines w:val="0"/>
                    <w:suppressLineNumbers w:val="0"/>
                    <w:spacing w:before="24" w:beforeAutospacing="0" w:after="24" w:afterAutospacing="0"/>
                    <w:ind w:left="0" w:right="0"/>
                    <w:rPr>
                      <w:rFonts w:hint="default" w:ascii="Times New Roman"/>
                      <w:color w:val="auto"/>
                    </w:rPr>
                  </w:pPr>
                  <w:r>
                    <w:rPr>
                      <w:rFonts w:hint="default" w:ascii="Times New Roman"/>
                      <w:color w:val="auto"/>
                    </w:rPr>
                    <w:t>实施单位</w:t>
                  </w:r>
                </w:p>
              </w:tc>
              <w:tc>
                <w:tcPr>
                  <w:tcW w:w="1676" w:type="pct"/>
                  <w:vAlign w:val="center"/>
                </w:tcPr>
                <w:p w14:paraId="68F5D275">
                  <w:pPr>
                    <w:pStyle w:val="70"/>
                    <w:keepNext w:val="0"/>
                    <w:keepLines w:val="0"/>
                    <w:suppressLineNumbers w:val="0"/>
                    <w:spacing w:before="24" w:beforeAutospacing="0" w:after="24" w:afterAutospacing="0"/>
                    <w:ind w:left="0" w:right="0"/>
                    <w:rPr>
                      <w:rFonts w:hint="default" w:ascii="Times New Roman"/>
                      <w:color w:val="auto"/>
                    </w:rPr>
                  </w:pPr>
                  <w:r>
                    <w:rPr>
                      <w:rFonts w:hint="default" w:ascii="Times New Roman"/>
                      <w:color w:val="auto"/>
                    </w:rPr>
                    <w:t>执行标准</w:t>
                  </w:r>
                </w:p>
              </w:tc>
            </w:tr>
            <w:tr w14:paraId="299A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58" w:type="pct"/>
                  <w:vAlign w:val="center"/>
                </w:tcPr>
                <w:p w14:paraId="5F75C68A">
                  <w:pPr>
                    <w:pStyle w:val="70"/>
                    <w:keepNext w:val="0"/>
                    <w:keepLines w:val="0"/>
                    <w:suppressLineNumbers w:val="0"/>
                    <w:spacing w:before="24" w:beforeAutospacing="0" w:after="24" w:afterAutospacing="0"/>
                    <w:ind w:left="0" w:right="0"/>
                    <w:rPr>
                      <w:rFonts w:hint="default" w:ascii="Times New Roman"/>
                      <w:bCs/>
                      <w:color w:val="auto"/>
                    </w:rPr>
                  </w:pPr>
                  <w:r>
                    <w:rPr>
                      <w:rFonts w:hint="default" w:ascii="Times New Roman"/>
                      <w:bCs/>
                      <w:color w:val="auto"/>
                    </w:rPr>
                    <w:t>1</w:t>
                  </w:r>
                </w:p>
              </w:tc>
              <w:tc>
                <w:tcPr>
                  <w:tcW w:w="976" w:type="pct"/>
                  <w:vAlign w:val="center"/>
                </w:tcPr>
                <w:p w14:paraId="7C1B4A97">
                  <w:pPr>
                    <w:pStyle w:val="70"/>
                    <w:keepNext w:val="0"/>
                    <w:keepLines w:val="0"/>
                    <w:suppressLineNumbers w:val="0"/>
                    <w:spacing w:before="24" w:beforeAutospacing="0" w:after="24" w:afterAutospacing="0"/>
                    <w:ind w:left="0" w:right="0"/>
                    <w:rPr>
                      <w:rStyle w:val="41"/>
                      <w:rFonts w:hint="default" w:ascii="Times New Roman"/>
                      <w:color w:val="auto"/>
                    </w:rPr>
                  </w:pPr>
                  <w:r>
                    <w:rPr>
                      <w:rStyle w:val="41"/>
                      <w:rFonts w:hint="eastAsia" w:ascii="Times New Roman"/>
                      <w:color w:val="auto"/>
                      <w:kern w:val="2"/>
                      <w:szCs w:val="24"/>
                      <w:lang w:val="en-US" w:eastAsia="zh-CN"/>
                    </w:rPr>
                    <w:t>厂房边界外1m</w:t>
                  </w:r>
                  <w:r>
                    <w:rPr>
                      <w:rStyle w:val="41"/>
                      <w:rFonts w:hint="default" w:ascii="Times New Roman"/>
                      <w:color w:val="auto"/>
                      <w:kern w:val="2"/>
                      <w:szCs w:val="24"/>
                    </w:rPr>
                    <w:t>东</w:t>
                  </w:r>
                  <w:r>
                    <w:rPr>
                      <w:rStyle w:val="41"/>
                      <w:rFonts w:hint="eastAsia" w:ascii="Times New Roman"/>
                      <w:color w:val="auto"/>
                      <w:kern w:val="2"/>
                      <w:szCs w:val="24"/>
                    </w:rPr>
                    <w:t>南</w:t>
                  </w:r>
                  <w:r>
                    <w:rPr>
                      <w:rStyle w:val="41"/>
                      <w:rFonts w:hint="default" w:ascii="Times New Roman"/>
                      <w:color w:val="auto"/>
                      <w:kern w:val="2"/>
                      <w:szCs w:val="24"/>
                    </w:rPr>
                    <w:t>西北</w:t>
                  </w:r>
                  <w:r>
                    <w:rPr>
                      <w:rStyle w:val="41"/>
                      <w:rFonts w:hint="eastAsia" w:ascii="Times New Roman"/>
                      <w:color w:val="auto"/>
                      <w:kern w:val="2"/>
                      <w:szCs w:val="24"/>
                      <w:lang w:val="en-US" w:eastAsia="zh-CN"/>
                    </w:rPr>
                    <w:t>侧</w:t>
                  </w:r>
                  <w:r>
                    <w:rPr>
                      <w:rStyle w:val="41"/>
                      <w:rFonts w:hint="default" w:ascii="Times New Roman"/>
                      <w:color w:val="auto"/>
                      <w:kern w:val="2"/>
                      <w:szCs w:val="24"/>
                    </w:rPr>
                    <w:t>各一个监测点</w:t>
                  </w:r>
                </w:p>
              </w:tc>
              <w:tc>
                <w:tcPr>
                  <w:tcW w:w="722" w:type="pct"/>
                  <w:vAlign w:val="center"/>
                </w:tcPr>
                <w:p w14:paraId="6E3ED976">
                  <w:pPr>
                    <w:pStyle w:val="70"/>
                    <w:keepNext w:val="0"/>
                    <w:keepLines w:val="0"/>
                    <w:suppressLineNumbers w:val="0"/>
                    <w:spacing w:before="24" w:beforeAutospacing="0" w:after="24" w:afterAutospacing="0"/>
                    <w:ind w:left="0" w:right="0"/>
                    <w:rPr>
                      <w:rFonts w:hint="default" w:ascii="Times New Roman"/>
                      <w:bCs/>
                      <w:color w:val="auto"/>
                    </w:rPr>
                  </w:pPr>
                  <w:r>
                    <w:rPr>
                      <w:rFonts w:hint="default" w:ascii="Times New Roman"/>
                      <w:bCs/>
                      <w:color w:val="auto"/>
                    </w:rPr>
                    <w:t>昼间厂界噪声</w:t>
                  </w:r>
                </w:p>
              </w:tc>
              <w:tc>
                <w:tcPr>
                  <w:tcW w:w="554" w:type="pct"/>
                  <w:vAlign w:val="center"/>
                </w:tcPr>
                <w:p w14:paraId="24EE9B65">
                  <w:pPr>
                    <w:pStyle w:val="70"/>
                    <w:keepNext w:val="0"/>
                    <w:keepLines w:val="0"/>
                    <w:suppressLineNumbers w:val="0"/>
                    <w:spacing w:before="24" w:beforeAutospacing="0" w:after="24" w:afterAutospacing="0"/>
                    <w:ind w:left="0" w:right="0"/>
                    <w:rPr>
                      <w:rFonts w:hint="eastAsia" w:ascii="Times New Roman" w:eastAsia="宋体"/>
                      <w:bCs/>
                      <w:color w:val="auto"/>
                      <w:lang w:val="en-US" w:eastAsia="zh-CN"/>
                    </w:rPr>
                  </w:pPr>
                  <w:r>
                    <w:rPr>
                      <w:rFonts w:hint="default" w:ascii="Times New Roman"/>
                      <w:bCs/>
                      <w:color w:val="auto"/>
                    </w:rPr>
                    <w:t>1次/</w:t>
                  </w:r>
                  <w:r>
                    <w:rPr>
                      <w:rFonts w:hint="eastAsia" w:ascii="Times New Roman"/>
                      <w:bCs/>
                      <w:color w:val="auto"/>
                      <w:lang w:val="en-US" w:eastAsia="zh-CN"/>
                    </w:rPr>
                    <w:t>季度</w:t>
                  </w:r>
                </w:p>
              </w:tc>
              <w:tc>
                <w:tcPr>
                  <w:tcW w:w="614" w:type="pct"/>
                  <w:vAlign w:val="center"/>
                </w:tcPr>
                <w:p w14:paraId="47CAD506">
                  <w:pPr>
                    <w:pStyle w:val="70"/>
                    <w:keepNext w:val="0"/>
                    <w:keepLines w:val="0"/>
                    <w:suppressLineNumbers w:val="0"/>
                    <w:spacing w:before="24" w:beforeAutospacing="0" w:after="24" w:afterAutospacing="0"/>
                    <w:ind w:left="0" w:right="0"/>
                    <w:rPr>
                      <w:rFonts w:hint="default" w:ascii="Times New Roman"/>
                      <w:bCs/>
                      <w:color w:val="auto"/>
                    </w:rPr>
                  </w:pPr>
                  <w:r>
                    <w:rPr>
                      <w:rFonts w:hint="default" w:ascii="Times New Roman"/>
                      <w:bCs/>
                      <w:color w:val="auto"/>
                    </w:rPr>
                    <w:t>有资质的监测单位</w:t>
                  </w:r>
                </w:p>
              </w:tc>
              <w:tc>
                <w:tcPr>
                  <w:tcW w:w="1676" w:type="pct"/>
                  <w:vAlign w:val="center"/>
                </w:tcPr>
                <w:p w14:paraId="17730D39">
                  <w:pPr>
                    <w:pStyle w:val="70"/>
                    <w:keepNext w:val="0"/>
                    <w:keepLines w:val="0"/>
                    <w:suppressLineNumbers w:val="0"/>
                    <w:spacing w:before="24" w:beforeAutospacing="0" w:after="24" w:afterAutospacing="0"/>
                    <w:ind w:left="0" w:right="0"/>
                    <w:rPr>
                      <w:rFonts w:hint="eastAsia" w:ascii="Times New Roman" w:eastAsia="宋体"/>
                      <w:bCs/>
                      <w:color w:val="auto"/>
                      <w:lang w:val="en-US" w:eastAsia="zh-CN"/>
                    </w:rPr>
                  </w:pPr>
                  <w:r>
                    <w:rPr>
                      <w:rFonts w:hint="default" w:ascii="Times New Roman"/>
                      <w:color w:val="auto"/>
                    </w:rPr>
                    <w:t>《工业企业厂界环境噪声排放标准》（GB</w:t>
                  </w:r>
                  <w:r>
                    <w:rPr>
                      <w:rFonts w:hint="eastAsia" w:ascii="Times New Roman"/>
                      <w:color w:val="auto"/>
                      <w:lang w:val="en-US" w:eastAsia="zh-CN"/>
                    </w:rPr>
                    <w:t>12348</w:t>
                  </w:r>
                  <w:r>
                    <w:rPr>
                      <w:rFonts w:hint="default" w:ascii="Times New Roman"/>
                      <w:color w:val="auto"/>
                    </w:rPr>
                    <w:t>-2008）</w:t>
                  </w:r>
                  <w:r>
                    <w:rPr>
                      <w:rFonts w:hint="eastAsia" w:ascii="Times New Roman"/>
                      <w:color w:val="auto"/>
                      <w:lang w:val="en-US" w:eastAsia="zh-CN"/>
                    </w:rPr>
                    <w:t>3</w:t>
                  </w:r>
                  <w:r>
                    <w:rPr>
                      <w:rFonts w:hint="default" w:ascii="Times New Roman"/>
                      <w:color w:val="auto"/>
                    </w:rPr>
                    <w:t>类</w:t>
                  </w:r>
                  <w:r>
                    <w:rPr>
                      <w:rFonts w:hint="eastAsia" w:ascii="Times New Roman"/>
                      <w:color w:val="auto"/>
                      <w:lang w:val="en-US" w:eastAsia="zh-CN"/>
                    </w:rPr>
                    <w:t>标准</w:t>
                  </w:r>
                </w:p>
              </w:tc>
            </w:tr>
          </w:tbl>
          <w:p w14:paraId="50291035">
            <w:pPr>
              <w:keepNext w:val="0"/>
              <w:keepLines w:val="0"/>
              <w:suppressLineNumbers w:val="0"/>
              <w:adjustRightInd w:val="0"/>
              <w:snapToGrid w:val="0"/>
              <w:spacing w:before="0" w:beforeAutospacing="0" w:after="0" w:afterAutospacing="0" w:line="360" w:lineRule="auto"/>
              <w:ind w:left="0" w:right="0"/>
              <w:rPr>
                <w:rFonts w:hint="default"/>
                <w:b/>
                <w:color w:val="auto"/>
                <w:sz w:val="24"/>
              </w:rPr>
            </w:pPr>
            <w:r>
              <w:rPr>
                <w:rFonts w:hint="default"/>
                <w:b/>
                <w:color w:val="auto"/>
                <w:sz w:val="24"/>
              </w:rPr>
              <w:t>4.4运营期固体废物影响分析</w:t>
            </w:r>
          </w:p>
          <w:p w14:paraId="1F160461">
            <w:pPr>
              <w:keepNext w:val="0"/>
              <w:keepLines w:val="0"/>
              <w:suppressLineNumbers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rPr>
              <w:t>1、固体废物产排污情况</w:t>
            </w:r>
          </w:p>
          <w:p w14:paraId="3FEE206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（1）生活垃圾</w:t>
            </w:r>
          </w:p>
          <w:p w14:paraId="64423C76">
            <w:pPr>
              <w:keepNext w:val="0"/>
              <w:keepLines w:val="0"/>
              <w:suppressLineNumbers w:val="0"/>
              <w:spacing w:before="0" w:beforeAutospacing="0" w:after="0" w:afterAutospacing="0" w:line="360" w:lineRule="auto"/>
              <w:ind w:left="0" w:right="0" w:firstLine="480" w:firstLineChars="200"/>
              <w:rPr>
                <w:rFonts w:hint="default"/>
                <w:color w:val="auto"/>
                <w:szCs w:val="21"/>
              </w:rPr>
            </w:pPr>
            <w:r>
              <w:rPr>
                <w:rFonts w:hint="default"/>
                <w:color w:val="auto"/>
                <w:sz w:val="24"/>
                <w:szCs w:val="20"/>
              </w:rPr>
              <w:t>本项目</w:t>
            </w:r>
            <w:r>
              <w:rPr>
                <w:rFonts w:hint="eastAsia"/>
                <w:color w:val="auto"/>
                <w:sz w:val="24"/>
                <w:szCs w:val="20"/>
              </w:rPr>
              <w:t>员工人数</w:t>
            </w:r>
            <w:r>
              <w:rPr>
                <w:rFonts w:hint="default"/>
                <w:color w:val="auto"/>
                <w:sz w:val="24"/>
                <w:szCs w:val="20"/>
              </w:rPr>
              <w:t>为</w:t>
            </w:r>
            <w:r>
              <w:rPr>
                <w:rFonts w:hint="eastAsia"/>
                <w:color w:val="auto"/>
                <w:sz w:val="24"/>
                <w:szCs w:val="20"/>
                <w:lang w:val="en-US" w:eastAsia="zh-CN"/>
              </w:rPr>
              <w:t>60</w:t>
            </w:r>
            <w:r>
              <w:rPr>
                <w:rFonts w:hint="default"/>
                <w:color w:val="auto"/>
                <w:sz w:val="24"/>
                <w:szCs w:val="20"/>
              </w:rPr>
              <w:t>人，员工生活垃圾按0.5kg/（人·d）计，工作日按</w:t>
            </w:r>
            <w:r>
              <w:rPr>
                <w:rFonts w:hint="eastAsia" w:ascii="Times New Roman" w:eastAsia="宋体"/>
                <w:color w:val="auto"/>
                <w:sz w:val="24"/>
                <w:szCs w:val="20"/>
                <w:lang w:val="en-US" w:eastAsia="zh-CN"/>
              </w:rPr>
              <w:t>300</w:t>
            </w:r>
            <w:r>
              <w:rPr>
                <w:rFonts w:hint="default"/>
                <w:color w:val="auto"/>
                <w:sz w:val="24"/>
                <w:szCs w:val="20"/>
              </w:rPr>
              <w:t>天计，则生活垃圾产生量约为</w:t>
            </w:r>
            <w:r>
              <w:rPr>
                <w:rFonts w:hint="eastAsia"/>
                <w:color w:val="auto"/>
                <w:sz w:val="24"/>
                <w:szCs w:val="20"/>
                <w:lang w:val="en-US" w:eastAsia="zh-CN"/>
              </w:rPr>
              <w:t>9t</w:t>
            </w:r>
            <w:r>
              <w:rPr>
                <w:rFonts w:hint="default"/>
                <w:color w:val="auto"/>
                <w:sz w:val="24"/>
                <w:szCs w:val="20"/>
              </w:rPr>
              <w:t>/a，</w:t>
            </w:r>
            <w:r>
              <w:rPr>
                <w:rFonts w:hint="eastAsia"/>
                <w:color w:val="auto"/>
                <w:sz w:val="24"/>
              </w:rPr>
              <w:t>产生的生活垃圾在厂区内通过垃圾桶等收集，最后</w:t>
            </w:r>
            <w:r>
              <w:rPr>
                <w:rFonts w:hint="default"/>
                <w:color w:val="auto"/>
                <w:sz w:val="24"/>
              </w:rPr>
              <w:t>全部</w:t>
            </w:r>
            <w:r>
              <w:rPr>
                <w:rFonts w:hint="eastAsia"/>
                <w:color w:val="auto"/>
                <w:sz w:val="24"/>
              </w:rPr>
              <w:t>委托</w:t>
            </w:r>
            <w:r>
              <w:rPr>
                <w:rFonts w:hint="default"/>
                <w:color w:val="auto"/>
                <w:sz w:val="24"/>
              </w:rPr>
              <w:t>环卫部门处理。</w:t>
            </w:r>
          </w:p>
          <w:p w14:paraId="194B594F">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（2）一般工业固体废弃物</w:t>
            </w:r>
          </w:p>
          <w:p w14:paraId="4A8E1F28">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本项目固体废物</w:t>
            </w:r>
            <w:r>
              <w:rPr>
                <w:rFonts w:hint="eastAsia"/>
                <w:color w:val="auto"/>
                <w:sz w:val="24"/>
                <w:lang w:val="en-US" w:eastAsia="zh-CN"/>
              </w:rPr>
              <w:t>主要</w:t>
            </w:r>
            <w:r>
              <w:rPr>
                <w:rFonts w:hint="default"/>
                <w:color w:val="auto"/>
                <w:sz w:val="24"/>
              </w:rPr>
              <w:t>有</w:t>
            </w:r>
            <w:r>
              <w:rPr>
                <w:rFonts w:hint="eastAsia"/>
                <w:color w:val="auto"/>
                <w:sz w:val="24"/>
                <w:lang w:val="en-US" w:eastAsia="zh-CN"/>
              </w:rPr>
              <w:t>废</w:t>
            </w:r>
            <w:r>
              <w:rPr>
                <w:rFonts w:hint="eastAsia"/>
                <w:color w:val="auto"/>
                <w:sz w:val="24"/>
              </w:rPr>
              <w:t>包装材料</w:t>
            </w:r>
            <w:r>
              <w:rPr>
                <w:rFonts w:hint="eastAsia"/>
                <w:color w:val="auto"/>
                <w:sz w:val="24"/>
                <w:lang w:eastAsia="zh-CN"/>
              </w:rPr>
              <w:t>、</w:t>
            </w:r>
            <w:r>
              <w:rPr>
                <w:rFonts w:hint="eastAsia"/>
                <w:color w:val="auto"/>
                <w:sz w:val="24"/>
                <w:lang w:val="en-US" w:eastAsia="zh-CN"/>
              </w:rPr>
              <w:t>不合格品、除尘器收集粉尘、废滤芯、污水站污泥</w:t>
            </w:r>
            <w:r>
              <w:rPr>
                <w:rFonts w:hint="eastAsia" w:eastAsia="宋体"/>
                <w:color w:val="auto"/>
                <w:sz w:val="24"/>
                <w:lang w:val="en-US" w:eastAsia="zh-CN"/>
              </w:rPr>
              <w:t>。</w:t>
            </w:r>
          </w:p>
          <w:p w14:paraId="21861CCF">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ascii="Times New Roman" w:hAnsi="Times New Roman" w:eastAsia="宋体" w:cs="Times New Roman"/>
                <w:color w:val="auto"/>
                <w:sz w:val="24"/>
                <w:lang w:val="en-US" w:eastAsia="zh-CN"/>
              </w:rPr>
              <w:t>①</w:t>
            </w:r>
            <w:r>
              <w:rPr>
                <w:rFonts w:hint="eastAsia" w:ascii="Calibri" w:hAnsi="Calibri" w:cs="Calibri"/>
                <w:color w:val="auto"/>
                <w:sz w:val="24"/>
              </w:rPr>
              <w:t>废包装材料</w:t>
            </w:r>
          </w:p>
          <w:p w14:paraId="048B2E8B">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项目</w:t>
            </w:r>
            <w:r>
              <w:rPr>
                <w:rFonts w:hint="eastAsia" w:ascii="Times New Roman" w:eastAsia="宋体"/>
                <w:color w:val="auto"/>
                <w:sz w:val="24"/>
                <w:lang w:val="en-US" w:eastAsia="zh-CN"/>
              </w:rPr>
              <w:t>原材料包装和</w:t>
            </w:r>
            <w:r>
              <w:rPr>
                <w:rFonts w:hint="eastAsia"/>
                <w:color w:val="auto"/>
                <w:sz w:val="24"/>
              </w:rPr>
              <w:t>成品进行包装时会产生废包装材料，其主要为废纸箱、废包装袋等，根据业主提供的资料，项目年产生废包装材料约</w:t>
            </w:r>
            <w:r>
              <w:rPr>
                <w:rFonts w:hint="eastAsia"/>
                <w:color w:val="auto"/>
                <w:sz w:val="24"/>
                <w:lang w:val="en-US" w:eastAsia="zh-CN"/>
              </w:rPr>
              <w:t>1</w:t>
            </w:r>
            <w:r>
              <w:rPr>
                <w:rFonts w:hint="eastAsia" w:ascii="Times New Roman" w:eastAsia="宋体"/>
                <w:color w:val="auto"/>
                <w:sz w:val="24"/>
                <w:lang w:val="en-US" w:eastAsia="zh-CN"/>
              </w:rPr>
              <w:t>.5</w:t>
            </w:r>
            <w:r>
              <w:rPr>
                <w:rFonts w:hint="eastAsia"/>
                <w:color w:val="auto"/>
                <w:sz w:val="24"/>
                <w:highlight w:val="none"/>
              </w:rPr>
              <w:t>t/a</w:t>
            </w:r>
            <w:r>
              <w:rPr>
                <w:rFonts w:hint="eastAsia"/>
                <w:color w:val="auto"/>
                <w:sz w:val="24"/>
              </w:rPr>
              <w:t>，废包装材料经集中收集后外售给物资回收公司</w:t>
            </w:r>
            <w:r>
              <w:rPr>
                <w:rFonts w:hint="default"/>
                <w:color w:val="auto"/>
                <w:sz w:val="24"/>
              </w:rPr>
              <w:t>。</w:t>
            </w:r>
          </w:p>
          <w:p w14:paraId="66550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lang w:val="en-US" w:eastAsia="zh-CN"/>
              </w:rPr>
            </w:pPr>
            <w:r>
              <w:rPr>
                <w:rFonts w:hint="eastAsia" w:ascii="宋体" w:hAnsi="宋体" w:cs="宋体"/>
                <w:color w:val="auto"/>
                <w:sz w:val="24"/>
                <w:lang w:val="en-US" w:eastAsia="zh-CN"/>
              </w:rPr>
              <w:t>②</w:t>
            </w:r>
            <w:r>
              <w:rPr>
                <w:rFonts w:hint="eastAsia"/>
                <w:color w:val="auto"/>
                <w:sz w:val="24"/>
                <w:lang w:val="en-US" w:eastAsia="zh-CN"/>
              </w:rPr>
              <w:t>除尘器收集粉尘</w:t>
            </w:r>
          </w:p>
          <w:p w14:paraId="5980BA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olor w:val="auto"/>
                <w:sz w:val="24"/>
                <w:highlight w:val="none"/>
                <w:lang w:eastAsia="zh-CN"/>
              </w:rPr>
            </w:pPr>
            <w:r>
              <w:rPr>
                <w:rFonts w:hint="default"/>
                <w:color w:val="auto"/>
                <w:sz w:val="24"/>
                <w:lang w:val="en-US" w:eastAsia="zh-CN"/>
              </w:rPr>
              <w:t>项目</w:t>
            </w:r>
            <w:r>
              <w:rPr>
                <w:rFonts w:hint="eastAsia"/>
                <w:color w:val="auto"/>
                <w:sz w:val="24"/>
                <w:lang w:val="en-US" w:eastAsia="zh-CN"/>
              </w:rPr>
              <w:t>投料混合</w:t>
            </w:r>
            <w:r>
              <w:rPr>
                <w:rFonts w:hint="default"/>
                <w:color w:val="auto"/>
                <w:sz w:val="24"/>
                <w:lang w:val="en-US" w:eastAsia="zh-CN"/>
              </w:rPr>
              <w:t>工序会有</w:t>
            </w:r>
            <w:r>
              <w:rPr>
                <w:rFonts w:hint="eastAsia"/>
                <w:color w:val="auto"/>
                <w:sz w:val="24"/>
                <w:lang w:val="en-US" w:eastAsia="zh-CN"/>
              </w:rPr>
              <w:t>食品粉尘</w:t>
            </w:r>
            <w:r>
              <w:rPr>
                <w:rFonts w:hint="default"/>
                <w:color w:val="auto"/>
                <w:sz w:val="24"/>
                <w:lang w:val="en-US" w:eastAsia="zh-CN"/>
              </w:rPr>
              <w:t>产生，采用布袋除尘器进行处理，根据物料平衡，除尘系统收集粉尘量约为</w:t>
            </w:r>
            <w:r>
              <w:rPr>
                <w:rFonts w:hint="eastAsia"/>
                <w:color w:val="auto"/>
                <w:sz w:val="24"/>
                <w:lang w:val="en-US" w:eastAsia="zh-CN"/>
              </w:rPr>
              <w:t>3.3</w:t>
            </w:r>
            <w:r>
              <w:rPr>
                <w:rFonts w:hint="default"/>
                <w:color w:val="auto"/>
                <w:sz w:val="24"/>
                <w:lang w:val="en-US" w:eastAsia="zh-CN"/>
              </w:rPr>
              <w:t>t/a，收集后</w:t>
            </w:r>
            <w:r>
              <w:rPr>
                <w:rFonts w:hint="eastAsia"/>
                <w:color w:val="auto"/>
                <w:sz w:val="24"/>
              </w:rPr>
              <w:t>外售给物资回收公司</w:t>
            </w:r>
            <w:r>
              <w:rPr>
                <w:rFonts w:hint="default"/>
                <w:color w:val="auto"/>
                <w:sz w:val="24"/>
                <w:lang w:val="en-US" w:eastAsia="zh-CN"/>
              </w:rPr>
              <w:t>。</w:t>
            </w:r>
          </w:p>
          <w:p w14:paraId="7126B5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highlight w:val="none"/>
                <w:lang w:val="en-US" w:eastAsia="zh-CN"/>
              </w:rPr>
            </w:pPr>
            <w:r>
              <w:rPr>
                <w:rFonts w:hint="eastAsia"/>
                <w:color w:val="auto"/>
                <w:sz w:val="24"/>
                <w:lang w:val="en-US" w:eastAsia="zh-CN"/>
              </w:rPr>
              <w:t>③</w:t>
            </w:r>
            <w:r>
              <w:rPr>
                <w:rFonts w:hint="eastAsia" w:cs="Times New Roman"/>
                <w:color w:val="auto"/>
                <w:sz w:val="24"/>
                <w:szCs w:val="24"/>
                <w:lang w:val="en-US" w:eastAsia="zh-CN"/>
              </w:rPr>
              <w:t>金</w:t>
            </w:r>
            <w:r>
              <w:rPr>
                <w:rFonts w:hint="eastAsia" w:cs="Times New Roman"/>
                <w:color w:val="auto"/>
                <w:sz w:val="24"/>
                <w:szCs w:val="24"/>
                <w:highlight w:val="none"/>
                <w:lang w:val="en-US" w:eastAsia="zh-CN"/>
              </w:rPr>
              <w:t>检不合格品</w:t>
            </w:r>
          </w:p>
          <w:p w14:paraId="1984F5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highlight w:val="none"/>
                <w:lang w:val="en-US" w:eastAsia="zh-CN"/>
              </w:rPr>
              <w:t>本项目产品生产中金探环节会产生</w:t>
            </w:r>
            <w:r>
              <w:rPr>
                <w:rFonts w:hint="eastAsia" w:ascii="Times New Roman" w:hAnsi="Times New Roman" w:eastAsia="宋体" w:cs="Times New Roman"/>
                <w:i w:val="0"/>
                <w:iCs w:val="0"/>
                <w:color w:val="auto"/>
                <w:sz w:val="24"/>
                <w:highlight w:val="none"/>
                <w:lang w:val="en-US" w:eastAsia="zh-CN"/>
              </w:rPr>
              <w:t>不合格品</w:t>
            </w:r>
            <w:r>
              <w:rPr>
                <w:rFonts w:hint="eastAsia" w:ascii="Times New Roman" w:hAnsi="Times New Roman" w:eastAsia="宋体" w:cs="Times New Roman"/>
                <w:color w:val="auto"/>
                <w:sz w:val="24"/>
                <w:highlight w:val="none"/>
                <w:lang w:val="en-US" w:eastAsia="zh-CN"/>
              </w:rPr>
              <w:t>（含</w:t>
            </w:r>
            <w:r>
              <w:rPr>
                <w:rFonts w:hint="eastAsia" w:ascii="Times New Roman" w:hAnsi="Times New Roman" w:eastAsia="宋体" w:cs="Times New Roman"/>
                <w:color w:val="auto"/>
                <w:sz w:val="24"/>
                <w:lang w:val="en-US" w:eastAsia="zh-CN"/>
              </w:rPr>
              <w:t>废金属杂质），产生量约为产品产量的0.01%，则不合格品（含废金属杂质）产生量为0.41t/a，经收集后交由回收公司处理。</w:t>
            </w:r>
          </w:p>
          <w:p w14:paraId="6A2542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lang w:val="en-US" w:eastAsia="zh-CN"/>
              </w:rPr>
            </w:pPr>
            <w:r>
              <w:rPr>
                <w:rFonts w:hint="eastAsia"/>
                <w:color w:val="auto"/>
                <w:sz w:val="24"/>
                <w:lang w:val="en-US" w:eastAsia="zh-CN"/>
              </w:rPr>
              <w:t>④包装不合格品</w:t>
            </w:r>
          </w:p>
          <w:p w14:paraId="2F108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color w:val="auto"/>
                <w:sz w:val="24"/>
                <w:lang w:val="en-US" w:eastAsia="zh-CN"/>
              </w:rPr>
            </w:pPr>
            <w:r>
              <w:rPr>
                <w:rFonts w:hint="eastAsia" w:eastAsia="宋体"/>
                <w:color w:val="auto"/>
                <w:sz w:val="24"/>
                <w:lang w:val="en-US" w:eastAsia="zh-CN"/>
              </w:rPr>
              <w:t>成品检验过程中会产生少量不合格品，包括充填重量不合格、充填漏气、包材不合格等，产生量约占产量的0.05%，则产生量为2.05t/a</w:t>
            </w:r>
            <w:r>
              <w:rPr>
                <w:rFonts w:hint="eastAsia"/>
                <w:color w:val="auto"/>
                <w:sz w:val="24"/>
                <w:lang w:val="en-US" w:eastAsia="zh-CN"/>
              </w:rPr>
              <w:t>。</w:t>
            </w:r>
            <w:r>
              <w:rPr>
                <w:rFonts w:hint="eastAsia"/>
                <w:color w:val="auto"/>
                <w:sz w:val="24"/>
                <w:lang w:val="en-US" w:eastAsia="zh-CN"/>
              </w:rPr>
              <w:t>其中粉状类产品</w:t>
            </w:r>
            <w:r>
              <w:rPr>
                <w:rFonts w:hint="eastAsia" w:eastAsia="宋体"/>
                <w:color w:val="auto"/>
                <w:sz w:val="24"/>
                <w:lang w:val="en-US" w:eastAsia="zh-CN"/>
              </w:rPr>
              <w:t>回用于生产工序</w:t>
            </w:r>
            <w:r>
              <w:rPr>
                <w:rFonts w:hint="eastAsia"/>
                <w:color w:val="auto"/>
                <w:sz w:val="24"/>
                <w:lang w:val="en-US" w:eastAsia="zh-CN"/>
              </w:rPr>
              <w:t>，饮品和果冻类产品集中收集后</w:t>
            </w:r>
            <w:r>
              <w:rPr>
                <w:rFonts w:hint="eastAsia" w:ascii="Times New Roman" w:hAnsi="Times New Roman" w:eastAsia="宋体" w:cs="Times New Roman"/>
                <w:color w:val="auto"/>
                <w:sz w:val="24"/>
                <w:lang w:val="en-US" w:eastAsia="zh-CN"/>
              </w:rPr>
              <w:t>交由回收公司处理</w:t>
            </w:r>
            <w:r>
              <w:rPr>
                <w:rFonts w:hint="eastAsia"/>
                <w:color w:val="auto"/>
                <w:sz w:val="24"/>
                <w:lang w:val="en-US" w:eastAsia="zh-CN"/>
              </w:rPr>
              <w:t>。</w:t>
            </w:r>
          </w:p>
          <w:p w14:paraId="1D6E2A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⑤废滤芯</w:t>
            </w:r>
          </w:p>
          <w:p w14:paraId="35AA01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olor w:val="auto"/>
                <w:sz w:val="24"/>
                <w:lang w:val="en-US" w:eastAsia="zh-CN"/>
              </w:rPr>
            </w:pPr>
            <w:r>
              <w:rPr>
                <w:rFonts w:hint="default" w:eastAsia="宋体"/>
                <w:color w:val="auto"/>
                <w:sz w:val="24"/>
                <w:lang w:val="en-US" w:eastAsia="zh-CN"/>
              </w:rPr>
              <w:t>本项目在生产过程中需要使用纯水，纯水制备过程中废滤芯的产生量约为</w:t>
            </w:r>
            <w:r>
              <w:rPr>
                <w:rFonts w:hint="eastAsia" w:eastAsia="宋体"/>
                <w:color w:val="auto"/>
                <w:sz w:val="24"/>
                <w:lang w:val="en-US" w:eastAsia="zh-CN"/>
              </w:rPr>
              <w:t>1.5</w:t>
            </w:r>
            <w:r>
              <w:rPr>
                <w:rFonts w:hint="default" w:eastAsia="宋体"/>
                <w:color w:val="auto"/>
                <w:sz w:val="24"/>
                <w:lang w:val="en-US" w:eastAsia="zh-CN"/>
              </w:rPr>
              <w:t>t/a，属于一般固废，统一收集后，由厂家回收处理</w:t>
            </w:r>
            <w:r>
              <w:rPr>
                <w:rFonts w:hint="eastAsia" w:eastAsia="宋体"/>
                <w:color w:val="auto"/>
                <w:sz w:val="24"/>
                <w:lang w:val="en-US" w:eastAsia="zh-CN"/>
              </w:rPr>
              <w:t>。</w:t>
            </w:r>
          </w:p>
          <w:p w14:paraId="47C05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lang w:val="en-US" w:eastAsia="zh-CN"/>
              </w:rPr>
            </w:pPr>
            <w:r>
              <w:rPr>
                <w:rFonts w:hint="eastAsia"/>
                <w:color w:val="auto"/>
                <w:sz w:val="24"/>
                <w:lang w:val="en-US" w:eastAsia="zh-CN"/>
              </w:rPr>
              <w:t>⑥污水站污泥</w:t>
            </w:r>
          </w:p>
          <w:p w14:paraId="641770F3">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lang w:val="en-US" w:eastAsia="zh-CN"/>
              </w:rPr>
              <w:t>物化干污泥计算公式为X=（进水SS浓度-出水SS浓度）×0.35×0.3×水量/1000000/0.4（0.35、0.3为BOD折算系数），其中污水</w:t>
            </w:r>
            <w:r>
              <w:rPr>
                <w:rFonts w:hint="eastAsia" w:cs="Times New Roman"/>
                <w:color w:val="auto"/>
                <w:sz w:val="24"/>
                <w:lang w:val="en-US" w:eastAsia="zh-CN"/>
              </w:rPr>
              <w:t>处理设施</w:t>
            </w:r>
            <w:r>
              <w:rPr>
                <w:rFonts w:hint="eastAsia" w:ascii="Times New Roman" w:hAnsi="Times New Roman" w:cs="Times New Roman"/>
                <w:color w:val="auto"/>
                <w:sz w:val="24"/>
                <w:lang w:val="en-US" w:eastAsia="zh-CN"/>
              </w:rPr>
              <w:t>进水、出水SS浓度分别为600</w:t>
            </w:r>
            <w:r>
              <w:rPr>
                <w:rFonts w:hint="eastAsia" w:ascii="Times New Roman" w:hAnsi="Times New Roman" w:eastAsia="宋体" w:cs="Times New Roman"/>
                <w:color w:val="auto"/>
                <w:kern w:val="0"/>
                <w:szCs w:val="21"/>
                <w:highlight w:val="none"/>
                <w:lang w:val="en-US" w:eastAsia="zh-CN"/>
              </w:rPr>
              <w:t>mg/L、</w:t>
            </w:r>
            <w:r>
              <w:rPr>
                <w:rFonts w:hint="eastAsia" w:ascii="Times New Roman" w:hAnsi="Times New Roman" w:cs="Times New Roman"/>
                <w:color w:val="auto"/>
                <w:sz w:val="24"/>
                <w:lang w:val="en-US" w:eastAsia="zh-CN"/>
              </w:rPr>
              <w:t>30</w:t>
            </w:r>
            <w:r>
              <w:rPr>
                <w:rFonts w:hint="eastAsia" w:ascii="Times New Roman" w:hAnsi="Times New Roman" w:eastAsia="宋体" w:cs="Times New Roman"/>
                <w:color w:val="auto"/>
                <w:kern w:val="0"/>
                <w:szCs w:val="21"/>
                <w:highlight w:val="none"/>
                <w:lang w:val="en-US" w:eastAsia="zh-CN"/>
              </w:rPr>
              <w:t>mg/L，</w:t>
            </w:r>
            <w:r>
              <w:rPr>
                <w:rFonts w:hint="eastAsia" w:ascii="Times New Roman" w:hAnsi="Times New Roman" w:cs="Times New Roman"/>
                <w:color w:val="auto"/>
                <w:kern w:val="0"/>
                <w:sz w:val="24"/>
                <w:szCs w:val="24"/>
                <w:highlight w:val="none"/>
                <w:lang w:val="en-US" w:eastAsia="zh-CN"/>
              </w:rPr>
              <w:t>水量为534</w:t>
            </w:r>
            <w:r>
              <w:rPr>
                <w:rFonts w:hint="eastAsia"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lang w:val="en-US" w:eastAsia="zh-CN"/>
              </w:rPr>
              <w:t>则物化干污泥为0.08t/a。经板框压滤机脱水后，污泥含水率约60%，则污泥产生量约为</w:t>
            </w:r>
            <w:r>
              <w:rPr>
                <w:rFonts w:hint="eastAsia" w:ascii="Times New Roman" w:hAnsi="Times New Roman" w:cs="Times New Roman"/>
                <w:color w:val="auto"/>
                <w:sz w:val="24"/>
                <w:highlight w:val="none"/>
                <w:lang w:val="en-US" w:eastAsia="zh-CN"/>
              </w:rPr>
              <w:t>0.2t/a</w:t>
            </w:r>
            <w:r>
              <w:rPr>
                <w:rFonts w:hint="eastAsia" w:ascii="Times New Roman" w:hAnsi="Times New Roman" w:cs="Times New Roman"/>
                <w:color w:val="auto"/>
                <w:sz w:val="24"/>
                <w:lang w:val="en-US" w:eastAsia="zh-CN"/>
              </w:rPr>
              <w:t>。</w:t>
            </w:r>
            <w:r>
              <w:rPr>
                <w:rFonts w:hint="eastAsia" w:ascii="Times New Roman" w:hAnsi="Times New Roman" w:cs="Times New Roman"/>
                <w:color w:val="auto"/>
                <w:sz w:val="24"/>
                <w:highlight w:val="none"/>
                <w:lang w:val="en-US" w:eastAsia="zh-CN"/>
              </w:rPr>
              <w:t>污水站污泥收集后暂存在一般固废暂存间，委托处置。</w:t>
            </w:r>
          </w:p>
          <w:p w14:paraId="43DAC389">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lang w:val="en-US" w:eastAsia="zh-CN"/>
              </w:rPr>
              <w:t>3</w:t>
            </w:r>
            <w:r>
              <w:rPr>
                <w:rFonts w:hint="default"/>
                <w:color w:val="auto"/>
                <w:sz w:val="24"/>
              </w:rPr>
              <w:t>）</w:t>
            </w:r>
            <w:r>
              <w:rPr>
                <w:rFonts w:hint="eastAsia"/>
                <w:color w:val="auto"/>
                <w:sz w:val="24"/>
                <w:lang w:val="en-US" w:eastAsia="zh-CN"/>
              </w:rPr>
              <w:t>危险废</w:t>
            </w:r>
            <w:r>
              <w:rPr>
                <w:rFonts w:hint="default"/>
                <w:color w:val="auto"/>
                <w:sz w:val="24"/>
              </w:rPr>
              <w:t>物</w:t>
            </w:r>
          </w:p>
          <w:p w14:paraId="1D2A4F39">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实验室废液：根据业主提供资料，实验室使用酸碱溶液，会产生废液，产生量为0.1t/a，废液倒入废液桶后委托有资质单位处置。</w:t>
            </w:r>
          </w:p>
          <w:p w14:paraId="406AE74B">
            <w:pPr>
              <w:pStyle w:val="42"/>
              <w:keepNext w:val="0"/>
              <w:keepLines w:val="0"/>
              <w:numPr>
                <w:ilvl w:val="1"/>
                <w:numId w:val="0"/>
              </w:numPr>
              <w:suppressLineNumbers w:val="0"/>
              <w:spacing w:before="0" w:beforeAutospacing="0" w:after="0" w:afterAutospacing="0" w:line="360" w:lineRule="auto"/>
              <w:ind w:left="420" w:leftChars="200" w:right="0"/>
              <w:rPr>
                <w:rFonts w:hint="default" w:ascii="Times New Roman" w:hAnsi="Times New Roman" w:cs="Times New Roman"/>
                <w:bCs/>
                <w:color w:val="auto"/>
                <w:szCs w:val="21"/>
              </w:rPr>
            </w:pPr>
            <w:r>
              <w:rPr>
                <w:rFonts w:hint="default" w:ascii="Times New Roman" w:hAnsi="Times New Roman" w:cs="Times New Roman"/>
                <w:b w:val="0"/>
                <w:bCs w:val="0"/>
                <w:color w:val="auto"/>
                <w:szCs w:val="21"/>
              </w:rPr>
              <w:t>对照《固体废物鉴别标准通则》（GB34330-20</w:t>
            </w:r>
            <w:r>
              <w:rPr>
                <w:rFonts w:hint="eastAsia" w:ascii="Times New Roman" w:hAnsi="Times New Roman" w:cs="Times New Roman"/>
                <w:b w:val="0"/>
                <w:bCs w:val="0"/>
                <w:color w:val="auto"/>
                <w:szCs w:val="21"/>
                <w:lang w:val="en-US" w:eastAsia="zh-CN"/>
              </w:rPr>
              <w:t>25</w:t>
            </w:r>
            <w:r>
              <w:rPr>
                <w:rFonts w:hint="default" w:ascii="Times New Roman" w:hAnsi="Times New Roman" w:cs="Times New Roman"/>
                <w:b w:val="0"/>
                <w:bCs w:val="0"/>
                <w:color w:val="auto"/>
                <w:szCs w:val="21"/>
              </w:rPr>
              <w:t>），项目固废鉴别结果</w:t>
            </w:r>
            <w:r>
              <w:rPr>
                <w:rFonts w:hint="eastAsia" w:ascii="Times New Roman" w:hAnsi="Times New Roman" w:cs="Times New Roman"/>
                <w:b w:val="0"/>
                <w:bCs w:val="0"/>
                <w:color w:val="auto"/>
                <w:szCs w:val="21"/>
              </w:rPr>
              <w:t>如下</w:t>
            </w:r>
            <w:r>
              <w:rPr>
                <w:rFonts w:hint="default" w:ascii="Times New Roman" w:hAnsi="Times New Roman" w:cs="Times New Roman"/>
                <w:b w:val="0"/>
                <w:bCs w:val="0"/>
                <w:color w:val="auto"/>
                <w:szCs w:val="21"/>
              </w:rPr>
              <w:t>。</w:t>
            </w:r>
          </w:p>
          <w:p w14:paraId="4ED45524">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项目固废产生情况及属性判定表</w:t>
            </w:r>
          </w:p>
          <w:tbl>
            <w:tblPr>
              <w:tblStyle w:val="35"/>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938"/>
              <w:gridCol w:w="1212"/>
              <w:gridCol w:w="1108"/>
              <w:gridCol w:w="1731"/>
              <w:gridCol w:w="726"/>
              <w:gridCol w:w="1613"/>
            </w:tblGrid>
            <w:tr w14:paraId="0190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14:paraId="7007BC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序号</w:t>
                  </w:r>
                </w:p>
              </w:tc>
              <w:tc>
                <w:tcPr>
                  <w:tcW w:w="1106" w:type="pct"/>
                  <w:vAlign w:val="center"/>
                </w:tcPr>
                <w:p w14:paraId="1B7E59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固废名称</w:t>
                  </w:r>
                </w:p>
              </w:tc>
              <w:tc>
                <w:tcPr>
                  <w:tcW w:w="691" w:type="pct"/>
                  <w:vAlign w:val="center"/>
                </w:tcPr>
                <w:p w14:paraId="1A150C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产生工序</w:t>
                  </w:r>
                </w:p>
              </w:tc>
              <w:tc>
                <w:tcPr>
                  <w:tcW w:w="632" w:type="pct"/>
                  <w:vAlign w:val="center"/>
                </w:tcPr>
                <w:p w14:paraId="140688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形态</w:t>
                  </w:r>
                </w:p>
              </w:tc>
              <w:tc>
                <w:tcPr>
                  <w:tcW w:w="988" w:type="pct"/>
                  <w:vAlign w:val="center"/>
                </w:tcPr>
                <w:p w14:paraId="3C9C2A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主要成分</w:t>
                  </w:r>
                </w:p>
              </w:tc>
              <w:tc>
                <w:tcPr>
                  <w:tcW w:w="414" w:type="pct"/>
                  <w:vAlign w:val="center"/>
                </w:tcPr>
                <w:p w14:paraId="5681D3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是否属于固废</w:t>
                  </w:r>
                </w:p>
              </w:tc>
              <w:tc>
                <w:tcPr>
                  <w:tcW w:w="920" w:type="pct"/>
                  <w:vAlign w:val="center"/>
                </w:tcPr>
                <w:p w14:paraId="33687567">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r>
                    <w:rPr>
                      <w:rFonts w:hint="default"/>
                      <w:bCs/>
                      <w:color w:val="auto"/>
                      <w:szCs w:val="21"/>
                    </w:rPr>
                    <w:t>判定依据</w:t>
                  </w:r>
                </w:p>
              </w:tc>
            </w:tr>
            <w:tr w14:paraId="12B6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14:paraId="4D0F4185">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64CF54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rPr>
                  </w:pPr>
                  <w:r>
                    <w:rPr>
                      <w:rFonts w:hint="default"/>
                      <w:color w:val="auto"/>
                      <w:szCs w:val="21"/>
                    </w:rPr>
                    <w:t>生活垃圾</w:t>
                  </w:r>
                </w:p>
              </w:tc>
              <w:tc>
                <w:tcPr>
                  <w:tcW w:w="691" w:type="pct"/>
                  <w:vAlign w:val="center"/>
                </w:tcPr>
                <w:p w14:paraId="0A837C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Cs w:val="21"/>
                    </w:rPr>
                  </w:pPr>
                  <w:r>
                    <w:rPr>
                      <w:rFonts w:hint="default"/>
                      <w:color w:val="auto"/>
                      <w:szCs w:val="21"/>
                    </w:rPr>
                    <w:t>职工生活</w:t>
                  </w:r>
                </w:p>
              </w:tc>
              <w:tc>
                <w:tcPr>
                  <w:tcW w:w="632" w:type="pct"/>
                  <w:vAlign w:val="center"/>
                </w:tcPr>
                <w:p w14:paraId="7A2F13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固态</w:t>
                  </w:r>
                </w:p>
              </w:tc>
              <w:tc>
                <w:tcPr>
                  <w:tcW w:w="988" w:type="pct"/>
                  <w:vAlign w:val="center"/>
                </w:tcPr>
                <w:p w14:paraId="2B16E917">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textAlignment w:val="auto"/>
                    <w:rPr>
                      <w:rFonts w:hint="default" w:eastAsia="宋体"/>
                      <w:color w:val="auto"/>
                      <w:lang w:val="en-US" w:eastAsia="zh-CN"/>
                    </w:rPr>
                  </w:pPr>
                  <w:r>
                    <w:rPr>
                      <w:rFonts w:hint="eastAsia"/>
                      <w:color w:val="auto"/>
                      <w:lang w:val="en-US" w:eastAsia="zh-CN"/>
                    </w:rPr>
                    <w:t>果皮纸屑纸张等</w:t>
                  </w:r>
                </w:p>
              </w:tc>
              <w:tc>
                <w:tcPr>
                  <w:tcW w:w="414" w:type="pct"/>
                  <w:vAlign w:val="center"/>
                </w:tcPr>
                <w:p w14:paraId="6CC7C6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是</w:t>
                  </w:r>
                </w:p>
              </w:tc>
              <w:tc>
                <w:tcPr>
                  <w:tcW w:w="920" w:type="pct"/>
                  <w:vMerge w:val="restart"/>
                  <w:vAlign w:val="center"/>
                </w:tcPr>
                <w:p w14:paraId="77DACCA3">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r>
                    <w:rPr>
                      <w:rFonts w:hint="default"/>
                      <w:bCs/>
                      <w:color w:val="auto"/>
                      <w:szCs w:val="21"/>
                    </w:rPr>
                    <w:t>《固体废物鉴别标准通则》(GB34330-20</w:t>
                  </w:r>
                  <w:r>
                    <w:rPr>
                      <w:rFonts w:hint="eastAsia"/>
                      <w:bCs/>
                      <w:color w:val="auto"/>
                      <w:szCs w:val="21"/>
                      <w:lang w:val="en-US" w:eastAsia="zh-CN"/>
                    </w:rPr>
                    <w:t>25</w:t>
                  </w:r>
                  <w:r>
                    <w:rPr>
                      <w:rFonts w:hint="default"/>
                      <w:bCs/>
                      <w:color w:val="auto"/>
                      <w:szCs w:val="21"/>
                    </w:rPr>
                    <w:t>)</w:t>
                  </w:r>
                </w:p>
              </w:tc>
            </w:tr>
            <w:tr w14:paraId="3B0F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46" w:type="pct"/>
                  <w:vAlign w:val="center"/>
                </w:tcPr>
                <w:p w14:paraId="7006574D">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3DB4D9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 w:val="21"/>
                      <w:szCs w:val="21"/>
                      <w:lang w:val="zh-CN"/>
                    </w:rPr>
                  </w:pPr>
                  <w:r>
                    <w:rPr>
                      <w:rFonts w:hint="eastAsia" w:ascii="Calibri" w:hAnsi="Calibri" w:cs="Calibri"/>
                      <w:color w:val="auto"/>
                      <w:sz w:val="21"/>
                      <w:szCs w:val="21"/>
                    </w:rPr>
                    <w:t>废包装材料</w:t>
                  </w:r>
                </w:p>
              </w:tc>
              <w:tc>
                <w:tcPr>
                  <w:tcW w:w="691" w:type="pct"/>
                  <w:vAlign w:val="center"/>
                </w:tcPr>
                <w:p w14:paraId="6CD85A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Cs w:val="21"/>
                    </w:rPr>
                  </w:pPr>
                  <w:r>
                    <w:rPr>
                      <w:rFonts w:hint="eastAsia"/>
                      <w:color w:val="auto"/>
                      <w:szCs w:val="21"/>
                    </w:rPr>
                    <w:t>包装过程</w:t>
                  </w:r>
                </w:p>
              </w:tc>
              <w:tc>
                <w:tcPr>
                  <w:tcW w:w="632" w:type="pct"/>
                  <w:vAlign w:val="center"/>
                </w:tcPr>
                <w:p w14:paraId="2E14C9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固态</w:t>
                  </w:r>
                </w:p>
              </w:tc>
              <w:tc>
                <w:tcPr>
                  <w:tcW w:w="988" w:type="pct"/>
                  <w:vAlign w:val="center"/>
                </w:tcPr>
                <w:p w14:paraId="617D5612">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textAlignment w:val="auto"/>
                    <w:rPr>
                      <w:rFonts w:hint="eastAsia" w:eastAsia="宋体"/>
                      <w:color w:val="auto"/>
                      <w:lang w:val="en-US" w:eastAsia="zh-CN"/>
                    </w:rPr>
                  </w:pPr>
                  <w:r>
                    <w:rPr>
                      <w:rFonts w:hint="default"/>
                      <w:color w:val="auto"/>
                      <w:kern w:val="0"/>
                      <w:szCs w:val="21"/>
                    </w:rPr>
                    <w:t>纸壳、塑料膜、塑料袋</w:t>
                  </w:r>
                  <w:r>
                    <w:rPr>
                      <w:rFonts w:hint="eastAsia"/>
                      <w:color w:val="auto"/>
                      <w:kern w:val="0"/>
                      <w:szCs w:val="21"/>
                      <w:lang w:val="en-US" w:eastAsia="zh-CN"/>
                    </w:rPr>
                    <w:t>等</w:t>
                  </w:r>
                </w:p>
              </w:tc>
              <w:tc>
                <w:tcPr>
                  <w:tcW w:w="414" w:type="pct"/>
                  <w:vAlign w:val="center"/>
                </w:tcPr>
                <w:p w14:paraId="76F9A4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是</w:t>
                  </w:r>
                </w:p>
              </w:tc>
              <w:tc>
                <w:tcPr>
                  <w:tcW w:w="920" w:type="pct"/>
                  <w:vMerge w:val="continue"/>
                  <w:vAlign w:val="center"/>
                </w:tcPr>
                <w:p w14:paraId="501745A7">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r w14:paraId="360C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14:paraId="2727635C">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69F485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除尘器收集粉尘</w:t>
                  </w:r>
                </w:p>
              </w:tc>
              <w:tc>
                <w:tcPr>
                  <w:tcW w:w="691" w:type="pct"/>
                  <w:vAlign w:val="center"/>
                </w:tcPr>
                <w:p w14:paraId="3F6AC7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eastAsia="宋体"/>
                      <w:color w:val="auto"/>
                      <w:szCs w:val="21"/>
                      <w:lang w:val="en-US" w:eastAsia="zh-CN"/>
                    </w:rPr>
                  </w:pPr>
                  <w:r>
                    <w:rPr>
                      <w:rFonts w:hint="eastAsia"/>
                      <w:color w:val="auto"/>
                      <w:szCs w:val="21"/>
                      <w:lang w:val="en-US" w:eastAsia="zh-CN"/>
                    </w:rPr>
                    <w:t>除尘装置</w:t>
                  </w:r>
                </w:p>
              </w:tc>
              <w:tc>
                <w:tcPr>
                  <w:tcW w:w="632" w:type="pct"/>
                  <w:vAlign w:val="center"/>
                </w:tcPr>
                <w:p w14:paraId="2E71FB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eastAsia" w:eastAsia="宋体"/>
                      <w:bCs/>
                      <w:color w:val="auto"/>
                      <w:szCs w:val="21"/>
                      <w:lang w:val="en-US" w:eastAsia="zh-CN"/>
                    </w:rPr>
                  </w:pPr>
                  <w:r>
                    <w:rPr>
                      <w:rFonts w:hint="eastAsia"/>
                      <w:bCs/>
                      <w:color w:val="auto"/>
                      <w:szCs w:val="21"/>
                      <w:lang w:val="en-US" w:eastAsia="zh-CN"/>
                    </w:rPr>
                    <w:t>固态</w:t>
                  </w:r>
                </w:p>
              </w:tc>
              <w:tc>
                <w:tcPr>
                  <w:tcW w:w="988" w:type="pct"/>
                  <w:vAlign w:val="center"/>
                </w:tcPr>
                <w:p w14:paraId="3DAD9FFA">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textAlignment w:val="auto"/>
                    <w:rPr>
                      <w:rFonts w:hint="default"/>
                      <w:bCs/>
                      <w:color w:val="auto"/>
                      <w:szCs w:val="21"/>
                      <w:lang w:val="en-US" w:eastAsia="zh-CN"/>
                    </w:rPr>
                  </w:pPr>
                  <w:r>
                    <w:rPr>
                      <w:rFonts w:hint="eastAsia"/>
                      <w:bCs/>
                      <w:color w:val="auto"/>
                      <w:szCs w:val="21"/>
                      <w:lang w:val="en-US" w:eastAsia="zh-CN"/>
                    </w:rPr>
                    <w:t>粉尘</w:t>
                  </w:r>
                </w:p>
              </w:tc>
              <w:tc>
                <w:tcPr>
                  <w:tcW w:w="414" w:type="pct"/>
                  <w:vAlign w:val="center"/>
                </w:tcPr>
                <w:p w14:paraId="7E3D65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eastAsia"/>
                      <w:bCs/>
                      <w:color w:val="auto"/>
                      <w:szCs w:val="21"/>
                      <w:lang w:val="en-US" w:eastAsia="zh-CN"/>
                    </w:rPr>
                  </w:pPr>
                  <w:r>
                    <w:rPr>
                      <w:rFonts w:hint="eastAsia"/>
                      <w:bCs/>
                      <w:color w:val="auto"/>
                      <w:szCs w:val="21"/>
                      <w:lang w:val="en-US" w:eastAsia="zh-CN"/>
                    </w:rPr>
                    <w:t>是</w:t>
                  </w:r>
                </w:p>
              </w:tc>
              <w:tc>
                <w:tcPr>
                  <w:tcW w:w="920" w:type="pct"/>
                  <w:vMerge w:val="continue"/>
                  <w:vAlign w:val="center"/>
                </w:tcPr>
                <w:p w14:paraId="4B19D7BE">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r w14:paraId="0CC9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14:paraId="366EA6CE">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11DD37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金检不合格品</w:t>
                  </w:r>
                </w:p>
              </w:tc>
              <w:tc>
                <w:tcPr>
                  <w:tcW w:w="691" w:type="pct"/>
                  <w:vAlign w:val="center"/>
                </w:tcPr>
                <w:p w14:paraId="71638A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Cs w:val="21"/>
                      <w:lang w:val="en-US" w:eastAsia="zh-CN"/>
                    </w:rPr>
                  </w:pPr>
                  <w:r>
                    <w:rPr>
                      <w:rFonts w:hint="eastAsia"/>
                      <w:color w:val="auto"/>
                      <w:szCs w:val="21"/>
                      <w:lang w:val="en-US" w:eastAsia="zh-CN"/>
                    </w:rPr>
                    <w:t>检验</w:t>
                  </w:r>
                  <w:r>
                    <w:rPr>
                      <w:rFonts w:hint="eastAsia"/>
                      <w:color w:val="auto"/>
                      <w:szCs w:val="21"/>
                    </w:rPr>
                    <w:t>过程</w:t>
                  </w:r>
                </w:p>
              </w:tc>
              <w:tc>
                <w:tcPr>
                  <w:tcW w:w="632" w:type="pct"/>
                  <w:vAlign w:val="center"/>
                </w:tcPr>
                <w:p w14:paraId="55FC54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lang w:val="en-US" w:eastAsia="zh-CN"/>
                    </w:rPr>
                  </w:pPr>
                  <w:r>
                    <w:rPr>
                      <w:rFonts w:hint="eastAsia"/>
                      <w:bCs/>
                      <w:color w:val="auto"/>
                      <w:szCs w:val="21"/>
                      <w:lang w:val="en-US" w:eastAsia="zh-CN"/>
                    </w:rPr>
                    <w:t>固态</w:t>
                  </w:r>
                </w:p>
              </w:tc>
              <w:tc>
                <w:tcPr>
                  <w:tcW w:w="988" w:type="pct"/>
                  <w:vAlign w:val="center"/>
                </w:tcPr>
                <w:p w14:paraId="6BE86A2D">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textAlignment w:val="auto"/>
                    <w:rPr>
                      <w:rFonts w:hint="default"/>
                      <w:bCs/>
                      <w:color w:val="auto"/>
                      <w:szCs w:val="21"/>
                      <w:lang w:val="en-US" w:eastAsia="zh-CN"/>
                    </w:rPr>
                  </w:pPr>
                  <w:r>
                    <w:rPr>
                      <w:rFonts w:hint="eastAsia"/>
                      <w:bCs/>
                      <w:color w:val="auto"/>
                      <w:szCs w:val="21"/>
                      <w:lang w:val="en-US" w:eastAsia="zh-CN"/>
                    </w:rPr>
                    <w:t>不合格食品</w:t>
                  </w:r>
                </w:p>
              </w:tc>
              <w:tc>
                <w:tcPr>
                  <w:tcW w:w="414" w:type="pct"/>
                  <w:vAlign w:val="center"/>
                </w:tcPr>
                <w:p w14:paraId="7873EC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lang w:val="en-US" w:eastAsia="zh-CN"/>
                    </w:rPr>
                  </w:pPr>
                  <w:r>
                    <w:rPr>
                      <w:rFonts w:hint="eastAsia"/>
                      <w:bCs/>
                      <w:color w:val="auto"/>
                      <w:szCs w:val="21"/>
                      <w:lang w:val="en-US" w:eastAsia="zh-CN"/>
                    </w:rPr>
                    <w:t>是</w:t>
                  </w:r>
                </w:p>
              </w:tc>
              <w:tc>
                <w:tcPr>
                  <w:tcW w:w="920" w:type="pct"/>
                  <w:vMerge w:val="continue"/>
                  <w:vAlign w:val="center"/>
                </w:tcPr>
                <w:p w14:paraId="2151BC86">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r w14:paraId="3A43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14:paraId="1623CAD5">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27CDAE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包装不合格品</w:t>
                  </w:r>
                </w:p>
              </w:tc>
              <w:tc>
                <w:tcPr>
                  <w:tcW w:w="691" w:type="pct"/>
                  <w:shd w:val="clear" w:color="auto" w:fill="auto"/>
                  <w:vAlign w:val="center"/>
                </w:tcPr>
                <w:p w14:paraId="2F2E70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检验</w:t>
                  </w:r>
                  <w:r>
                    <w:rPr>
                      <w:rFonts w:hint="eastAsia"/>
                      <w:color w:val="auto"/>
                      <w:szCs w:val="21"/>
                    </w:rPr>
                    <w:t>过程</w:t>
                  </w:r>
                </w:p>
              </w:tc>
              <w:tc>
                <w:tcPr>
                  <w:tcW w:w="632" w:type="pct"/>
                  <w:shd w:val="clear" w:color="auto" w:fill="auto"/>
                  <w:vAlign w:val="center"/>
                </w:tcPr>
                <w:p w14:paraId="174543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固态</w:t>
                  </w:r>
                </w:p>
              </w:tc>
              <w:tc>
                <w:tcPr>
                  <w:tcW w:w="988" w:type="pct"/>
                  <w:shd w:val="clear" w:color="auto" w:fill="auto"/>
                  <w:vAlign w:val="center"/>
                </w:tcPr>
                <w:p w14:paraId="1AD1223D">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textAlignment w:val="auto"/>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不合格食品</w:t>
                  </w:r>
                </w:p>
              </w:tc>
              <w:tc>
                <w:tcPr>
                  <w:tcW w:w="414" w:type="pct"/>
                  <w:shd w:val="clear" w:color="auto" w:fill="auto"/>
                  <w:vAlign w:val="center"/>
                </w:tcPr>
                <w:p w14:paraId="7D3830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是</w:t>
                  </w:r>
                </w:p>
              </w:tc>
              <w:tc>
                <w:tcPr>
                  <w:tcW w:w="920" w:type="pct"/>
                  <w:vMerge w:val="continue"/>
                  <w:vAlign w:val="center"/>
                </w:tcPr>
                <w:p w14:paraId="5A83395A">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r w14:paraId="6DEA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vAlign w:val="center"/>
                </w:tcPr>
                <w:p w14:paraId="680B59D5">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38316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lang w:val="en-US"/>
                    </w:rPr>
                  </w:pPr>
                  <w:r>
                    <w:rPr>
                      <w:rFonts w:hint="eastAsia"/>
                      <w:color w:val="auto"/>
                      <w:sz w:val="21"/>
                      <w:szCs w:val="21"/>
                      <w:lang w:val="en-US" w:eastAsia="zh-CN"/>
                    </w:rPr>
                    <w:t>废滤芯</w:t>
                  </w:r>
                </w:p>
              </w:tc>
              <w:tc>
                <w:tcPr>
                  <w:tcW w:w="691" w:type="pct"/>
                  <w:vAlign w:val="center"/>
                </w:tcPr>
                <w:p w14:paraId="11E98B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Cs w:val="21"/>
                      <w:lang w:val="en-US" w:eastAsia="zh-CN"/>
                    </w:rPr>
                  </w:pPr>
                  <w:r>
                    <w:rPr>
                      <w:rFonts w:hint="eastAsia"/>
                      <w:color w:val="auto"/>
                      <w:szCs w:val="21"/>
                      <w:lang w:val="en-US" w:eastAsia="zh-CN"/>
                    </w:rPr>
                    <w:t>纯水制备</w:t>
                  </w:r>
                </w:p>
              </w:tc>
              <w:tc>
                <w:tcPr>
                  <w:tcW w:w="632" w:type="pct"/>
                  <w:vAlign w:val="center"/>
                </w:tcPr>
                <w:p w14:paraId="40CBD2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jc w:val="center"/>
                    <w:textAlignment w:val="auto"/>
                    <w:rPr>
                      <w:rFonts w:hint="eastAsia"/>
                      <w:bCs/>
                      <w:color w:val="auto"/>
                      <w:szCs w:val="21"/>
                    </w:rPr>
                  </w:pPr>
                  <w:r>
                    <w:rPr>
                      <w:rFonts w:hint="default"/>
                      <w:bCs/>
                      <w:color w:val="auto"/>
                      <w:szCs w:val="21"/>
                    </w:rPr>
                    <w:t>固态</w:t>
                  </w:r>
                </w:p>
              </w:tc>
              <w:tc>
                <w:tcPr>
                  <w:tcW w:w="988" w:type="pct"/>
                  <w:vAlign w:val="center"/>
                </w:tcPr>
                <w:p w14:paraId="47B7EB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jc w:val="center"/>
                    <w:textAlignment w:val="auto"/>
                    <w:rPr>
                      <w:rFonts w:hint="default" w:eastAsia="宋体"/>
                      <w:color w:val="auto"/>
                      <w:szCs w:val="21"/>
                      <w:lang w:val="en-US" w:eastAsia="zh-CN"/>
                    </w:rPr>
                  </w:pPr>
                  <w:r>
                    <w:rPr>
                      <w:rFonts w:hint="eastAsia"/>
                      <w:color w:val="auto"/>
                      <w:sz w:val="21"/>
                      <w:szCs w:val="21"/>
                      <w:lang w:val="en-US" w:eastAsia="zh-CN"/>
                    </w:rPr>
                    <w:t>废滤芯</w:t>
                  </w:r>
                </w:p>
              </w:tc>
              <w:tc>
                <w:tcPr>
                  <w:tcW w:w="414" w:type="pct"/>
                  <w:vAlign w:val="center"/>
                </w:tcPr>
                <w:p w14:paraId="79B47C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eastAsia"/>
                      <w:bCs/>
                      <w:color w:val="auto"/>
                      <w:szCs w:val="21"/>
                    </w:rPr>
                  </w:pPr>
                  <w:r>
                    <w:rPr>
                      <w:rFonts w:hint="default"/>
                      <w:bCs/>
                      <w:color w:val="auto"/>
                      <w:szCs w:val="21"/>
                    </w:rPr>
                    <w:t>是</w:t>
                  </w:r>
                </w:p>
              </w:tc>
              <w:tc>
                <w:tcPr>
                  <w:tcW w:w="920" w:type="pct"/>
                  <w:vMerge w:val="continue"/>
                  <w:vAlign w:val="center"/>
                </w:tcPr>
                <w:p w14:paraId="3D29906B">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r w14:paraId="0680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vAlign w:val="center"/>
                </w:tcPr>
                <w:p w14:paraId="1F46C2BC">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1AA6C5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污水站污泥</w:t>
                  </w:r>
                </w:p>
              </w:tc>
              <w:tc>
                <w:tcPr>
                  <w:tcW w:w="691" w:type="pct"/>
                  <w:vAlign w:val="center"/>
                </w:tcPr>
                <w:p w14:paraId="05999B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污水处理</w:t>
                  </w:r>
                </w:p>
              </w:tc>
              <w:tc>
                <w:tcPr>
                  <w:tcW w:w="632" w:type="pct"/>
                  <w:vAlign w:val="center"/>
                </w:tcPr>
                <w:p w14:paraId="2BA04E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jc w:val="center"/>
                    <w:textAlignment w:val="auto"/>
                    <w:rPr>
                      <w:rFonts w:hint="default"/>
                      <w:bCs/>
                      <w:color w:val="auto"/>
                      <w:szCs w:val="21"/>
                    </w:rPr>
                  </w:pPr>
                  <w:r>
                    <w:rPr>
                      <w:rFonts w:hint="eastAsia"/>
                      <w:bCs/>
                      <w:color w:val="auto"/>
                      <w:szCs w:val="21"/>
                      <w:lang w:val="en-US" w:eastAsia="zh-CN"/>
                    </w:rPr>
                    <w:t>半固态</w:t>
                  </w:r>
                </w:p>
              </w:tc>
              <w:tc>
                <w:tcPr>
                  <w:tcW w:w="988" w:type="pct"/>
                  <w:vAlign w:val="center"/>
                </w:tcPr>
                <w:p w14:paraId="3A44A837">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textAlignment w:val="auto"/>
                    <w:rPr>
                      <w:rFonts w:hint="eastAsia"/>
                      <w:color w:val="auto"/>
                      <w:sz w:val="21"/>
                      <w:szCs w:val="21"/>
                      <w:lang w:val="en-US" w:eastAsia="zh-CN"/>
                    </w:rPr>
                  </w:pPr>
                  <w:r>
                    <w:rPr>
                      <w:rFonts w:hint="default"/>
                      <w:color w:val="auto"/>
                      <w:sz w:val="21"/>
                      <w:szCs w:val="21"/>
                      <w:lang w:val="en-US" w:eastAsia="zh-CN"/>
                    </w:rPr>
                    <w:t>水、有机物、不溶物</w:t>
                  </w:r>
                </w:p>
              </w:tc>
              <w:tc>
                <w:tcPr>
                  <w:tcW w:w="414" w:type="pct"/>
                  <w:vAlign w:val="center"/>
                </w:tcPr>
                <w:p w14:paraId="098D4B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eastAsia"/>
                      <w:bCs/>
                      <w:color w:val="auto"/>
                      <w:szCs w:val="21"/>
                      <w:lang w:val="en-US" w:eastAsia="zh-CN"/>
                    </w:rPr>
                    <w:t>是</w:t>
                  </w:r>
                </w:p>
              </w:tc>
              <w:tc>
                <w:tcPr>
                  <w:tcW w:w="920" w:type="pct"/>
                  <w:vMerge w:val="continue"/>
                  <w:vAlign w:val="center"/>
                </w:tcPr>
                <w:p w14:paraId="013B43D9">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r w14:paraId="1108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vAlign w:val="center"/>
                </w:tcPr>
                <w:p w14:paraId="103FA231">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707F91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实验室废液</w:t>
                  </w:r>
                </w:p>
              </w:tc>
              <w:tc>
                <w:tcPr>
                  <w:tcW w:w="691" w:type="pct"/>
                  <w:vAlign w:val="center"/>
                </w:tcPr>
                <w:p w14:paraId="705E66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实验室</w:t>
                  </w:r>
                </w:p>
              </w:tc>
              <w:tc>
                <w:tcPr>
                  <w:tcW w:w="632" w:type="pct"/>
                  <w:vAlign w:val="center"/>
                </w:tcPr>
                <w:p w14:paraId="301018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jc w:val="center"/>
                    <w:textAlignment w:val="auto"/>
                    <w:rPr>
                      <w:rFonts w:hint="default"/>
                      <w:bCs/>
                      <w:color w:val="auto"/>
                      <w:szCs w:val="21"/>
                      <w:lang w:val="en-US" w:eastAsia="zh-CN"/>
                    </w:rPr>
                  </w:pPr>
                  <w:r>
                    <w:rPr>
                      <w:rFonts w:hint="eastAsia"/>
                      <w:bCs/>
                      <w:color w:val="auto"/>
                      <w:szCs w:val="21"/>
                      <w:lang w:val="en-US" w:eastAsia="zh-CN"/>
                    </w:rPr>
                    <w:t>液态</w:t>
                  </w:r>
                </w:p>
              </w:tc>
              <w:tc>
                <w:tcPr>
                  <w:tcW w:w="988" w:type="pct"/>
                  <w:vAlign w:val="center"/>
                </w:tcPr>
                <w:p w14:paraId="011BDBFD">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textAlignment w:val="auto"/>
                    <w:rPr>
                      <w:rFonts w:hint="default"/>
                      <w:color w:val="auto"/>
                      <w:sz w:val="21"/>
                      <w:szCs w:val="21"/>
                      <w:lang w:val="en-US" w:eastAsia="zh-CN"/>
                    </w:rPr>
                  </w:pPr>
                  <w:r>
                    <w:rPr>
                      <w:rFonts w:hint="eastAsia"/>
                      <w:color w:val="auto"/>
                      <w:sz w:val="21"/>
                      <w:szCs w:val="21"/>
                      <w:lang w:val="en-US" w:eastAsia="zh-CN"/>
                    </w:rPr>
                    <w:t>酸、碱</w:t>
                  </w:r>
                </w:p>
              </w:tc>
              <w:tc>
                <w:tcPr>
                  <w:tcW w:w="414" w:type="pct"/>
                  <w:vAlign w:val="center"/>
                </w:tcPr>
                <w:p w14:paraId="09CD53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lang w:val="en-US" w:eastAsia="zh-CN"/>
                    </w:rPr>
                  </w:pPr>
                  <w:r>
                    <w:rPr>
                      <w:rFonts w:hint="eastAsia"/>
                      <w:bCs/>
                      <w:color w:val="auto"/>
                      <w:szCs w:val="21"/>
                      <w:lang w:val="en-US" w:eastAsia="zh-CN"/>
                    </w:rPr>
                    <w:t>是</w:t>
                  </w:r>
                </w:p>
              </w:tc>
              <w:tc>
                <w:tcPr>
                  <w:tcW w:w="920" w:type="pct"/>
                  <w:vMerge w:val="continue"/>
                  <w:vAlign w:val="center"/>
                </w:tcPr>
                <w:p w14:paraId="448AA56D">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bl>
          <w:p w14:paraId="0C2E79BD">
            <w:pPr>
              <w:keepNext w:val="0"/>
              <w:keepLines w:val="0"/>
              <w:suppressLineNumbers w:val="0"/>
              <w:spacing w:before="0" w:beforeAutospacing="0" w:after="0" w:afterAutospacing="0" w:line="360" w:lineRule="auto"/>
              <w:ind w:left="0" w:right="0" w:firstLine="482"/>
              <w:rPr>
                <w:rFonts w:hint="default"/>
                <w:color w:val="auto"/>
                <w:sz w:val="24"/>
              </w:rPr>
            </w:pPr>
            <w:r>
              <w:rPr>
                <w:rFonts w:hint="default"/>
                <w:color w:val="auto"/>
                <w:sz w:val="24"/>
              </w:rPr>
              <w:t>项目一般固废产生和处置情况详见下表：</w:t>
            </w:r>
          </w:p>
          <w:p w14:paraId="31DCACD4">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项目一般固体废物产生及处置一览表</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026"/>
              <w:gridCol w:w="1073"/>
              <w:gridCol w:w="1496"/>
              <w:gridCol w:w="1091"/>
              <w:gridCol w:w="2410"/>
            </w:tblGrid>
            <w:tr w14:paraId="054C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01" w:type="pct"/>
                  <w:vAlign w:val="center"/>
                </w:tcPr>
                <w:p w14:paraId="58C6A2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序号</w:t>
                  </w:r>
                </w:p>
              </w:tc>
              <w:tc>
                <w:tcPr>
                  <w:tcW w:w="1150" w:type="pct"/>
                  <w:vAlign w:val="center"/>
                </w:tcPr>
                <w:p w14:paraId="7EACB8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固体废物种类</w:t>
                  </w:r>
                </w:p>
              </w:tc>
              <w:tc>
                <w:tcPr>
                  <w:tcW w:w="609" w:type="pct"/>
                  <w:vAlign w:val="center"/>
                </w:tcPr>
                <w:p w14:paraId="07065B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状态</w:t>
                  </w:r>
                </w:p>
              </w:tc>
              <w:tc>
                <w:tcPr>
                  <w:tcW w:w="849" w:type="pct"/>
                  <w:vAlign w:val="center"/>
                </w:tcPr>
                <w:p w14:paraId="485D87C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产生工序</w:t>
                  </w:r>
                </w:p>
              </w:tc>
              <w:tc>
                <w:tcPr>
                  <w:tcW w:w="619" w:type="pct"/>
                  <w:vAlign w:val="center"/>
                </w:tcPr>
                <w:p w14:paraId="10FEB10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产生量（t/a）</w:t>
                  </w:r>
                </w:p>
              </w:tc>
              <w:tc>
                <w:tcPr>
                  <w:tcW w:w="1369" w:type="pct"/>
                  <w:vAlign w:val="center"/>
                </w:tcPr>
                <w:p w14:paraId="05A8494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处置方式</w:t>
                  </w:r>
                </w:p>
              </w:tc>
            </w:tr>
            <w:tr w14:paraId="205A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2423F91B">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eastAsia="宋体" w:cs="Times New Roman"/>
                      <w:color w:val="auto"/>
                      <w:kern w:val="2"/>
                      <w:sz w:val="21"/>
                      <w:szCs w:val="21"/>
                      <w:lang w:val="en-US" w:eastAsia="zh-CN" w:bidi="ar-SA"/>
                    </w:rPr>
                  </w:pPr>
                </w:p>
              </w:tc>
              <w:tc>
                <w:tcPr>
                  <w:tcW w:w="1150" w:type="pct"/>
                  <w:vAlign w:val="center"/>
                </w:tcPr>
                <w:p w14:paraId="35106A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609" w:type="pct"/>
                  <w:vAlign w:val="center"/>
                </w:tcPr>
                <w:p w14:paraId="0091D2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ascii="Times New Roman" w:hAnsi="Times New Roman" w:cs="Times New Roman"/>
                      <w:color w:val="auto"/>
                    </w:rPr>
                  </w:pPr>
                  <w:r>
                    <w:rPr>
                      <w:rFonts w:hint="default" w:ascii="Times New Roman" w:hAnsi="Times New Roman" w:cs="Times New Roman"/>
                      <w:bCs/>
                      <w:color w:val="auto"/>
                      <w:szCs w:val="21"/>
                    </w:rPr>
                    <w:t>固态</w:t>
                  </w:r>
                </w:p>
              </w:tc>
              <w:tc>
                <w:tcPr>
                  <w:tcW w:w="849" w:type="pct"/>
                  <w:vAlign w:val="center"/>
                </w:tcPr>
                <w:p w14:paraId="417E40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职工生活</w:t>
                  </w:r>
                </w:p>
              </w:tc>
              <w:tc>
                <w:tcPr>
                  <w:tcW w:w="619" w:type="pct"/>
                  <w:vAlign w:val="center"/>
                </w:tcPr>
                <w:p w14:paraId="488D81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w:t>
                  </w:r>
                </w:p>
              </w:tc>
              <w:tc>
                <w:tcPr>
                  <w:tcW w:w="1369" w:type="pct"/>
                  <w:vAlign w:val="center"/>
                </w:tcPr>
                <w:p w14:paraId="5A29CB8B">
                  <w:pPr>
                    <w:keepNext w:val="0"/>
                    <w:keepLines w:val="0"/>
                    <w:suppressLineNumbers w:val="0"/>
                    <w:snapToGrid w:val="0"/>
                    <w:spacing w:before="0" w:beforeAutospacing="0" w:after="0" w:afterAutospacing="0" w:line="276"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委托环卫部门清运</w:t>
                  </w:r>
                </w:p>
              </w:tc>
            </w:tr>
            <w:tr w14:paraId="4C5F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65101820">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eastAsia="宋体" w:cs="Times New Roman"/>
                      <w:color w:val="auto"/>
                      <w:kern w:val="2"/>
                      <w:sz w:val="21"/>
                      <w:szCs w:val="21"/>
                      <w:lang w:val="en-US" w:eastAsia="zh-CN" w:bidi="ar-SA"/>
                    </w:rPr>
                  </w:pPr>
                </w:p>
              </w:tc>
              <w:tc>
                <w:tcPr>
                  <w:tcW w:w="1150" w:type="pct"/>
                  <w:shd w:val="clear" w:color="auto" w:fill="auto"/>
                  <w:vAlign w:val="center"/>
                </w:tcPr>
                <w:p w14:paraId="181FCB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废包装材料</w:t>
                  </w:r>
                </w:p>
              </w:tc>
              <w:tc>
                <w:tcPr>
                  <w:tcW w:w="609" w:type="pct"/>
                  <w:vAlign w:val="center"/>
                </w:tcPr>
                <w:p w14:paraId="14D4FC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ascii="Times New Roman" w:hAnsi="Times New Roman" w:cs="Times New Roman"/>
                      <w:color w:val="auto"/>
                    </w:rPr>
                  </w:pPr>
                  <w:r>
                    <w:rPr>
                      <w:rFonts w:hint="default" w:ascii="Times New Roman" w:hAnsi="Times New Roman" w:cs="Times New Roman"/>
                      <w:bCs/>
                      <w:color w:val="auto"/>
                      <w:szCs w:val="21"/>
                    </w:rPr>
                    <w:t>固态</w:t>
                  </w:r>
                </w:p>
              </w:tc>
              <w:tc>
                <w:tcPr>
                  <w:tcW w:w="849" w:type="pct"/>
                  <w:vAlign w:val="center"/>
                </w:tcPr>
                <w:p w14:paraId="21DA64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包装过程</w:t>
                  </w:r>
                </w:p>
              </w:tc>
              <w:tc>
                <w:tcPr>
                  <w:tcW w:w="619" w:type="pct"/>
                  <w:vAlign w:val="center"/>
                </w:tcPr>
                <w:p w14:paraId="3934FF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1.5</w:t>
                  </w:r>
                </w:p>
              </w:tc>
              <w:tc>
                <w:tcPr>
                  <w:tcW w:w="1369" w:type="pct"/>
                  <w:vMerge w:val="restart"/>
                  <w:vAlign w:val="center"/>
                </w:tcPr>
                <w:p w14:paraId="16D71912">
                  <w:pPr>
                    <w:keepNext w:val="0"/>
                    <w:keepLines w:val="0"/>
                    <w:suppressLineNumbers w:val="0"/>
                    <w:snapToGrid w:val="0"/>
                    <w:spacing w:before="0" w:beforeAutospacing="0" w:after="0" w:afterAutospacing="0" w:line="276"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收集后外售给物资回收公司</w:t>
                  </w:r>
                </w:p>
              </w:tc>
            </w:tr>
            <w:tr w14:paraId="50C5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7692CCAA">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eastAsia="宋体" w:cs="Times New Roman"/>
                      <w:color w:val="auto"/>
                      <w:kern w:val="2"/>
                      <w:sz w:val="21"/>
                      <w:szCs w:val="21"/>
                      <w:lang w:val="en-US" w:eastAsia="zh-CN" w:bidi="ar-SA"/>
                    </w:rPr>
                  </w:pPr>
                </w:p>
              </w:tc>
              <w:tc>
                <w:tcPr>
                  <w:tcW w:w="1150" w:type="pct"/>
                  <w:shd w:val="clear" w:color="auto" w:fill="auto"/>
                  <w:vAlign w:val="center"/>
                </w:tcPr>
                <w:p w14:paraId="04BA2B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除尘器收集粉尘</w:t>
                  </w:r>
                </w:p>
              </w:tc>
              <w:tc>
                <w:tcPr>
                  <w:tcW w:w="609" w:type="pct"/>
                  <w:vAlign w:val="center"/>
                </w:tcPr>
                <w:p w14:paraId="382D62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固态</w:t>
                  </w:r>
                </w:p>
              </w:tc>
              <w:tc>
                <w:tcPr>
                  <w:tcW w:w="849" w:type="pct"/>
                  <w:vAlign w:val="center"/>
                </w:tcPr>
                <w:p w14:paraId="38B74A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除尘装置</w:t>
                  </w:r>
                </w:p>
              </w:tc>
              <w:tc>
                <w:tcPr>
                  <w:tcW w:w="619" w:type="pct"/>
                  <w:vAlign w:val="center"/>
                </w:tcPr>
                <w:p w14:paraId="7BD81F6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3.3</w:t>
                  </w:r>
                </w:p>
              </w:tc>
              <w:tc>
                <w:tcPr>
                  <w:tcW w:w="1369" w:type="pct"/>
                  <w:vMerge w:val="continue"/>
                  <w:vAlign w:val="center"/>
                </w:tcPr>
                <w:p w14:paraId="7D955BFA">
                  <w:pPr>
                    <w:keepNext w:val="0"/>
                    <w:keepLines w:val="0"/>
                    <w:suppressLineNumbers w:val="0"/>
                    <w:snapToGrid w:val="0"/>
                    <w:spacing w:before="0" w:beforeAutospacing="0" w:after="0" w:afterAutospacing="0" w:line="276" w:lineRule="auto"/>
                    <w:ind w:left="0" w:right="0"/>
                    <w:jc w:val="center"/>
                    <w:rPr>
                      <w:rFonts w:hint="default" w:ascii="Times New Roman" w:hAnsi="Times New Roman" w:cs="Times New Roman"/>
                      <w:color w:val="auto"/>
                      <w:szCs w:val="21"/>
                    </w:rPr>
                  </w:pPr>
                </w:p>
              </w:tc>
            </w:tr>
            <w:tr w14:paraId="7366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6B47CCF7">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cs="Times New Roman"/>
                      <w:color w:val="auto"/>
                      <w:lang w:val="en-US" w:eastAsia="zh-CN"/>
                    </w:rPr>
                  </w:pPr>
                </w:p>
              </w:tc>
              <w:tc>
                <w:tcPr>
                  <w:tcW w:w="1150" w:type="pct"/>
                  <w:shd w:val="clear" w:color="auto" w:fill="auto"/>
                  <w:vAlign w:val="center"/>
                </w:tcPr>
                <w:p w14:paraId="5D601B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Calibri" w:hAnsi="Calibri" w:eastAsia="宋体" w:cs="Calibri"/>
                      <w:color w:val="auto"/>
                      <w:kern w:val="2"/>
                      <w:sz w:val="21"/>
                      <w:szCs w:val="21"/>
                      <w:lang w:val="en-US" w:eastAsia="zh-CN" w:bidi="ar-SA"/>
                    </w:rPr>
                  </w:pPr>
                  <w:r>
                    <w:rPr>
                      <w:rFonts w:hint="eastAsia" w:ascii="Calibri" w:hAnsi="Calibri" w:cs="Calibri"/>
                      <w:color w:val="auto"/>
                      <w:sz w:val="21"/>
                      <w:szCs w:val="21"/>
                      <w:lang w:val="en-US" w:eastAsia="zh-CN"/>
                    </w:rPr>
                    <w:t>金检不合格品</w:t>
                  </w:r>
                </w:p>
              </w:tc>
              <w:tc>
                <w:tcPr>
                  <w:tcW w:w="609" w:type="pct"/>
                  <w:vAlign w:val="center"/>
                </w:tcPr>
                <w:p w14:paraId="03B324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ascii="Times New Roman" w:hAnsi="Times New Roman" w:cs="Times New Roman"/>
                      <w:bCs/>
                      <w:color w:val="auto"/>
                      <w:szCs w:val="21"/>
                    </w:rPr>
                  </w:pPr>
                  <w:r>
                    <w:rPr>
                      <w:rFonts w:hint="eastAsia"/>
                      <w:bCs/>
                      <w:color w:val="auto"/>
                      <w:szCs w:val="21"/>
                      <w:lang w:val="en-US" w:eastAsia="zh-CN"/>
                    </w:rPr>
                    <w:t>固态</w:t>
                  </w:r>
                </w:p>
              </w:tc>
              <w:tc>
                <w:tcPr>
                  <w:tcW w:w="849" w:type="pct"/>
                  <w:vAlign w:val="center"/>
                </w:tcPr>
                <w:p w14:paraId="5E317C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Cs w:val="21"/>
                      <w:lang w:val="en-US" w:eastAsia="zh-CN"/>
                    </w:rPr>
                  </w:pPr>
                  <w:r>
                    <w:rPr>
                      <w:rFonts w:hint="eastAsia"/>
                      <w:color w:val="auto"/>
                      <w:szCs w:val="21"/>
                      <w:lang w:val="en-US" w:eastAsia="zh-CN"/>
                    </w:rPr>
                    <w:t>检验</w:t>
                  </w:r>
                  <w:r>
                    <w:rPr>
                      <w:rFonts w:hint="eastAsia"/>
                      <w:color w:val="auto"/>
                      <w:szCs w:val="21"/>
                    </w:rPr>
                    <w:t>过程</w:t>
                  </w:r>
                </w:p>
              </w:tc>
              <w:tc>
                <w:tcPr>
                  <w:tcW w:w="619" w:type="pct"/>
                  <w:vAlign w:val="center"/>
                </w:tcPr>
                <w:p w14:paraId="57EE662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0.41</w:t>
                  </w:r>
                </w:p>
              </w:tc>
              <w:tc>
                <w:tcPr>
                  <w:tcW w:w="1369" w:type="pct"/>
                  <w:vAlign w:val="center"/>
                </w:tcPr>
                <w:p w14:paraId="2B5700E1">
                  <w:pPr>
                    <w:keepNext w:val="0"/>
                    <w:keepLines w:val="0"/>
                    <w:suppressLineNumbers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收集由回收公司处理</w:t>
                  </w:r>
                </w:p>
              </w:tc>
            </w:tr>
            <w:tr w14:paraId="668F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7CAAEB0C">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eastAsia="宋体" w:cs="Times New Roman"/>
                      <w:color w:val="auto"/>
                      <w:kern w:val="2"/>
                      <w:sz w:val="21"/>
                      <w:szCs w:val="21"/>
                      <w:lang w:val="en-US" w:eastAsia="zh-CN" w:bidi="ar-SA"/>
                    </w:rPr>
                  </w:pPr>
                </w:p>
              </w:tc>
              <w:tc>
                <w:tcPr>
                  <w:tcW w:w="1150" w:type="pct"/>
                  <w:shd w:val="clear" w:color="auto" w:fill="auto"/>
                  <w:vAlign w:val="center"/>
                </w:tcPr>
                <w:p w14:paraId="1B1196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Calibri" w:hAnsi="Calibri" w:eastAsia="宋体" w:cs="Calibri"/>
                      <w:color w:val="auto"/>
                      <w:kern w:val="2"/>
                      <w:sz w:val="21"/>
                      <w:szCs w:val="21"/>
                      <w:lang w:val="en-US" w:eastAsia="zh-CN" w:bidi="ar-SA"/>
                    </w:rPr>
                  </w:pPr>
                  <w:r>
                    <w:rPr>
                      <w:rFonts w:hint="eastAsia" w:ascii="Calibri" w:hAnsi="Calibri" w:cs="Calibri"/>
                      <w:color w:val="auto"/>
                      <w:sz w:val="21"/>
                      <w:szCs w:val="21"/>
                      <w:lang w:val="en-US" w:eastAsia="zh-CN"/>
                    </w:rPr>
                    <w:t>包装不合格品</w:t>
                  </w:r>
                </w:p>
              </w:tc>
              <w:tc>
                <w:tcPr>
                  <w:tcW w:w="609" w:type="pct"/>
                  <w:vAlign w:val="center"/>
                </w:tcPr>
                <w:p w14:paraId="088980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ascii="Times New Roman" w:hAnsi="Times New Roman" w:cs="Times New Roman"/>
                      <w:bCs/>
                      <w:color w:val="auto"/>
                      <w:szCs w:val="21"/>
                    </w:rPr>
                  </w:pPr>
                  <w:r>
                    <w:rPr>
                      <w:rFonts w:hint="eastAsia"/>
                      <w:bCs/>
                      <w:color w:val="auto"/>
                      <w:szCs w:val="21"/>
                      <w:lang w:val="en-US" w:eastAsia="zh-CN"/>
                    </w:rPr>
                    <w:t>固态</w:t>
                  </w:r>
                </w:p>
              </w:tc>
              <w:tc>
                <w:tcPr>
                  <w:tcW w:w="849" w:type="pct"/>
                  <w:vAlign w:val="center"/>
                </w:tcPr>
                <w:p w14:paraId="59E861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Cs w:val="21"/>
                    </w:rPr>
                  </w:pPr>
                  <w:r>
                    <w:rPr>
                      <w:rFonts w:hint="eastAsia"/>
                      <w:color w:val="auto"/>
                      <w:szCs w:val="21"/>
                      <w:lang w:val="en-US" w:eastAsia="zh-CN"/>
                    </w:rPr>
                    <w:t>检验</w:t>
                  </w:r>
                  <w:r>
                    <w:rPr>
                      <w:rFonts w:hint="eastAsia"/>
                      <w:color w:val="auto"/>
                      <w:szCs w:val="21"/>
                    </w:rPr>
                    <w:t>过程</w:t>
                  </w:r>
                </w:p>
              </w:tc>
              <w:tc>
                <w:tcPr>
                  <w:tcW w:w="619" w:type="pct"/>
                  <w:vAlign w:val="center"/>
                </w:tcPr>
                <w:p w14:paraId="1ADFA8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2.05</w:t>
                  </w:r>
                </w:p>
              </w:tc>
              <w:tc>
                <w:tcPr>
                  <w:tcW w:w="1369" w:type="pct"/>
                  <w:vAlign w:val="center"/>
                </w:tcPr>
                <w:p w14:paraId="5CE41087">
                  <w:pPr>
                    <w:keepNext w:val="0"/>
                    <w:keepLines w:val="0"/>
                    <w:suppressLineNumbers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粉状类包装不合格品回用于生产工序，饮品及果冻类产品集中收集后交由回收公司处理</w:t>
                  </w:r>
                </w:p>
              </w:tc>
            </w:tr>
            <w:tr w14:paraId="7B11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0FE3B9BB">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eastAsia="宋体" w:cs="Times New Roman"/>
                      <w:color w:val="auto"/>
                      <w:kern w:val="2"/>
                      <w:sz w:val="21"/>
                      <w:szCs w:val="21"/>
                      <w:lang w:val="en-US" w:eastAsia="zh-CN" w:bidi="ar-SA"/>
                    </w:rPr>
                  </w:pPr>
                </w:p>
              </w:tc>
              <w:tc>
                <w:tcPr>
                  <w:tcW w:w="1150" w:type="pct"/>
                  <w:shd w:val="clear" w:color="auto" w:fill="auto"/>
                  <w:vAlign w:val="center"/>
                </w:tcPr>
                <w:p w14:paraId="4231AF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废滤芯</w:t>
                  </w:r>
                </w:p>
              </w:tc>
              <w:tc>
                <w:tcPr>
                  <w:tcW w:w="609" w:type="pct"/>
                  <w:vAlign w:val="center"/>
                </w:tcPr>
                <w:p w14:paraId="6F06EA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固态</w:t>
                  </w:r>
                </w:p>
              </w:tc>
              <w:tc>
                <w:tcPr>
                  <w:tcW w:w="849" w:type="pct"/>
                  <w:vAlign w:val="center"/>
                </w:tcPr>
                <w:p w14:paraId="010F53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纯水制备</w:t>
                  </w:r>
                </w:p>
              </w:tc>
              <w:tc>
                <w:tcPr>
                  <w:tcW w:w="619" w:type="pct"/>
                  <w:vAlign w:val="center"/>
                </w:tcPr>
                <w:p w14:paraId="63DC778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1.5</w:t>
                  </w:r>
                </w:p>
              </w:tc>
              <w:tc>
                <w:tcPr>
                  <w:tcW w:w="1369" w:type="pct"/>
                  <w:vAlign w:val="center"/>
                </w:tcPr>
                <w:p w14:paraId="1321CD1C">
                  <w:pPr>
                    <w:keepNext w:val="0"/>
                    <w:keepLines w:val="0"/>
                    <w:suppressLineNumbers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厂家回收利用</w:t>
                  </w:r>
                </w:p>
              </w:tc>
            </w:tr>
            <w:tr w14:paraId="71BC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7ADCD7F6">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cs="Times New Roman"/>
                      <w:color w:val="auto"/>
                      <w:lang w:val="en-US" w:eastAsia="zh-CN"/>
                    </w:rPr>
                  </w:pPr>
                </w:p>
              </w:tc>
              <w:tc>
                <w:tcPr>
                  <w:tcW w:w="1150" w:type="pct"/>
                  <w:shd w:val="clear" w:color="auto" w:fill="auto"/>
                  <w:vAlign w:val="center"/>
                </w:tcPr>
                <w:p w14:paraId="105999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污水站污泥</w:t>
                  </w:r>
                </w:p>
              </w:tc>
              <w:tc>
                <w:tcPr>
                  <w:tcW w:w="609" w:type="pct"/>
                  <w:vAlign w:val="center"/>
                </w:tcPr>
                <w:p w14:paraId="131B84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半固态</w:t>
                  </w:r>
                </w:p>
              </w:tc>
              <w:tc>
                <w:tcPr>
                  <w:tcW w:w="849" w:type="pct"/>
                  <w:vAlign w:val="center"/>
                </w:tcPr>
                <w:p w14:paraId="53A141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污水处理</w:t>
                  </w:r>
                </w:p>
              </w:tc>
              <w:tc>
                <w:tcPr>
                  <w:tcW w:w="619" w:type="pct"/>
                  <w:vAlign w:val="center"/>
                </w:tcPr>
                <w:p w14:paraId="0CAC472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0.2</w:t>
                  </w:r>
                </w:p>
              </w:tc>
              <w:tc>
                <w:tcPr>
                  <w:tcW w:w="1369" w:type="pct"/>
                  <w:vAlign w:val="center"/>
                </w:tcPr>
                <w:p w14:paraId="1BB24A7E">
                  <w:pPr>
                    <w:keepNext w:val="0"/>
                    <w:keepLines w:val="0"/>
                    <w:suppressLineNumbers w:val="0"/>
                    <w:snapToGrid w:val="0"/>
                    <w:spacing w:before="0" w:beforeAutospacing="0" w:after="0" w:afterAutospacing="0" w:line="276" w:lineRule="auto"/>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委托处置</w:t>
                  </w:r>
                </w:p>
              </w:tc>
            </w:tr>
          </w:tbl>
          <w:p w14:paraId="5E6A93B2">
            <w:pPr>
              <w:pStyle w:val="4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对照《固体废物鉴别标准 通则》（GB34330-20</w:t>
            </w:r>
            <w:r>
              <w:rPr>
                <w:rFonts w:hint="eastAsia" w:ascii="Times New Roman" w:hAnsi="Times New Roman" w:cs="Times New Roman"/>
                <w:bCs/>
                <w:color w:val="auto"/>
                <w:sz w:val="24"/>
                <w:lang w:val="en-US" w:eastAsia="zh-CN"/>
              </w:rPr>
              <w:t>25</w:t>
            </w:r>
            <w:r>
              <w:rPr>
                <w:rFonts w:hint="default" w:ascii="Times New Roman" w:hAnsi="Times New Roman" w:cs="Times New Roman"/>
                <w:bCs/>
                <w:color w:val="auto"/>
                <w:sz w:val="24"/>
              </w:rPr>
              <w:t>）、《国家危险废物名录》（202</w:t>
            </w:r>
            <w:r>
              <w:rPr>
                <w:rFonts w:hint="eastAsia" w:ascii="Times New Roman" w:hAnsi="Times New Roman" w:cs="Times New Roman"/>
                <w:bCs/>
                <w:color w:val="auto"/>
                <w:sz w:val="24"/>
                <w:lang w:val="en-US" w:eastAsia="zh-CN"/>
              </w:rPr>
              <w:t>5</w:t>
            </w:r>
            <w:r>
              <w:rPr>
                <w:rFonts w:hint="default" w:ascii="Times New Roman" w:hAnsi="Times New Roman" w:cs="Times New Roman"/>
                <w:bCs/>
                <w:color w:val="auto"/>
                <w:sz w:val="24"/>
              </w:rPr>
              <w:t>版）等相关文件判定，汇总本项目危险废物如下。</w:t>
            </w:r>
          </w:p>
          <w:p w14:paraId="3FB92344">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项目危险废物汇总表</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03"/>
              <w:gridCol w:w="962"/>
              <w:gridCol w:w="1175"/>
              <w:gridCol w:w="658"/>
              <w:gridCol w:w="761"/>
              <w:gridCol w:w="405"/>
              <w:gridCol w:w="831"/>
              <w:gridCol w:w="697"/>
              <w:gridCol w:w="568"/>
              <w:gridCol w:w="611"/>
              <w:gridCol w:w="776"/>
            </w:tblGrid>
            <w:tr w14:paraId="189D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58" w:type="pct"/>
                  <w:noWrap w:val="0"/>
                  <w:vAlign w:val="center"/>
                </w:tcPr>
                <w:p w14:paraId="141CE40A">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序号</w:t>
                  </w:r>
                </w:p>
              </w:tc>
              <w:tc>
                <w:tcPr>
                  <w:tcW w:w="512" w:type="pct"/>
                  <w:noWrap w:val="0"/>
                  <w:vAlign w:val="center"/>
                </w:tcPr>
                <w:p w14:paraId="036388A7">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危险废物</w:t>
                  </w:r>
                </w:p>
                <w:p w14:paraId="0F556ADC">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名称</w:t>
                  </w:r>
                </w:p>
              </w:tc>
              <w:tc>
                <w:tcPr>
                  <w:tcW w:w="546" w:type="pct"/>
                  <w:noWrap w:val="0"/>
                  <w:vAlign w:val="center"/>
                </w:tcPr>
                <w:p w14:paraId="78BD6C07">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危险废物类别</w:t>
                  </w:r>
                </w:p>
              </w:tc>
              <w:tc>
                <w:tcPr>
                  <w:tcW w:w="667" w:type="pct"/>
                  <w:noWrap w:val="0"/>
                  <w:vAlign w:val="center"/>
                </w:tcPr>
                <w:p w14:paraId="390B5EE6">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危险废物</w:t>
                  </w:r>
                </w:p>
                <w:p w14:paraId="57CFAF52">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代码</w:t>
                  </w:r>
                </w:p>
              </w:tc>
              <w:tc>
                <w:tcPr>
                  <w:tcW w:w="373" w:type="pct"/>
                  <w:noWrap w:val="0"/>
                  <w:vAlign w:val="center"/>
                </w:tcPr>
                <w:p w14:paraId="1BD840F8">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产生量（t/a）</w:t>
                  </w:r>
                </w:p>
              </w:tc>
              <w:tc>
                <w:tcPr>
                  <w:tcW w:w="432" w:type="pct"/>
                  <w:noWrap w:val="0"/>
                  <w:vAlign w:val="center"/>
                </w:tcPr>
                <w:p w14:paraId="495440EC">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产生工序及装置</w:t>
                  </w:r>
                </w:p>
              </w:tc>
              <w:tc>
                <w:tcPr>
                  <w:tcW w:w="230" w:type="pct"/>
                  <w:noWrap w:val="0"/>
                  <w:vAlign w:val="center"/>
                </w:tcPr>
                <w:p w14:paraId="316F2CED">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形态</w:t>
                  </w:r>
                </w:p>
              </w:tc>
              <w:tc>
                <w:tcPr>
                  <w:tcW w:w="472" w:type="pct"/>
                  <w:noWrap w:val="0"/>
                  <w:vAlign w:val="center"/>
                </w:tcPr>
                <w:p w14:paraId="24132030">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主要成分</w:t>
                  </w:r>
                </w:p>
              </w:tc>
              <w:tc>
                <w:tcPr>
                  <w:tcW w:w="395" w:type="pct"/>
                  <w:noWrap w:val="0"/>
                  <w:vAlign w:val="center"/>
                </w:tcPr>
                <w:p w14:paraId="3E8FBA5D">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有害成分</w:t>
                  </w:r>
                </w:p>
              </w:tc>
              <w:tc>
                <w:tcPr>
                  <w:tcW w:w="322" w:type="pct"/>
                  <w:noWrap w:val="0"/>
                  <w:vAlign w:val="center"/>
                </w:tcPr>
                <w:p w14:paraId="0D308590">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产废周期</w:t>
                  </w:r>
                </w:p>
              </w:tc>
              <w:tc>
                <w:tcPr>
                  <w:tcW w:w="347" w:type="pct"/>
                  <w:noWrap w:val="0"/>
                  <w:vAlign w:val="center"/>
                </w:tcPr>
                <w:p w14:paraId="68B652CB">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危险</w:t>
                  </w:r>
                </w:p>
                <w:p w14:paraId="4B5E5ED8">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特性</w:t>
                  </w:r>
                </w:p>
              </w:tc>
              <w:tc>
                <w:tcPr>
                  <w:tcW w:w="440" w:type="pct"/>
                  <w:noWrap w:val="0"/>
                  <w:vAlign w:val="center"/>
                </w:tcPr>
                <w:p w14:paraId="0C194147">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污染防治措施</w:t>
                  </w:r>
                </w:p>
              </w:tc>
            </w:tr>
            <w:tr w14:paraId="7778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 w:type="pct"/>
                  <w:noWrap w:val="0"/>
                  <w:vAlign w:val="center"/>
                </w:tcPr>
                <w:p w14:paraId="24CD10F6">
                  <w:pPr>
                    <w:keepNext w:val="0"/>
                    <w:keepLines w:val="0"/>
                    <w:widowControl/>
                    <w:numPr>
                      <w:ilvl w:val="0"/>
                      <w:numId w:val="20"/>
                    </w:numPr>
                    <w:suppressLineNumbers w:val="0"/>
                    <w:spacing w:before="0" w:beforeAutospacing="0" w:after="0" w:afterAutospacing="0"/>
                    <w:ind w:right="0"/>
                    <w:jc w:val="center"/>
                    <w:textAlignment w:val="center"/>
                    <w:rPr>
                      <w:rFonts w:hint="default"/>
                      <w:color w:val="auto"/>
                      <w:kern w:val="0"/>
                      <w:szCs w:val="21"/>
                      <w:highlight w:val="none"/>
                    </w:rPr>
                  </w:pPr>
                </w:p>
              </w:tc>
              <w:tc>
                <w:tcPr>
                  <w:tcW w:w="512" w:type="pct"/>
                  <w:noWrap w:val="0"/>
                  <w:vAlign w:val="center"/>
                </w:tcPr>
                <w:p w14:paraId="2D04B8E8">
                  <w:pPr>
                    <w:keepNext w:val="0"/>
                    <w:keepLines w:val="0"/>
                    <w:suppressLineNumbers w:val="0"/>
                    <w:adjustRightInd w:val="0"/>
                    <w:spacing w:before="0" w:beforeAutospacing="0" w:after="0" w:afterAutospacing="0" w:line="276" w:lineRule="auto"/>
                    <w:ind w:left="0" w:right="0"/>
                    <w:jc w:val="center"/>
                    <w:rPr>
                      <w:rFonts w:hint="default" w:eastAsia="宋体"/>
                      <w:color w:val="auto"/>
                      <w:szCs w:val="21"/>
                      <w:highlight w:val="none"/>
                      <w:lang w:val="en-US" w:eastAsia="zh-CN"/>
                    </w:rPr>
                  </w:pPr>
                  <w:r>
                    <w:rPr>
                      <w:rFonts w:hint="eastAsia"/>
                      <w:bCs/>
                      <w:color w:val="auto"/>
                      <w:highlight w:val="none"/>
                      <w:lang w:val="en-US" w:eastAsia="zh-CN"/>
                    </w:rPr>
                    <w:t>实验室废液</w:t>
                  </w:r>
                </w:p>
              </w:tc>
              <w:tc>
                <w:tcPr>
                  <w:tcW w:w="546" w:type="pct"/>
                  <w:noWrap w:val="0"/>
                  <w:vAlign w:val="center"/>
                </w:tcPr>
                <w:p w14:paraId="43C84527">
                  <w:pPr>
                    <w:keepNext w:val="0"/>
                    <w:keepLines w:val="0"/>
                    <w:suppressLineNumbers w:val="0"/>
                    <w:spacing w:before="0" w:beforeAutospacing="0" w:after="0" w:afterAutospacing="0"/>
                    <w:ind w:left="-84" w:leftChars="-40" w:right="-84" w:rightChars="-40"/>
                    <w:jc w:val="center"/>
                    <w:rPr>
                      <w:rFonts w:hint="default"/>
                      <w:color w:val="auto"/>
                      <w:szCs w:val="21"/>
                      <w:highlight w:val="none"/>
                    </w:rPr>
                  </w:pPr>
                  <w:r>
                    <w:rPr>
                      <w:rFonts w:hint="default"/>
                      <w:color w:val="auto"/>
                      <w:szCs w:val="21"/>
                      <w:highlight w:val="none"/>
                    </w:rPr>
                    <w:t>HW49其他废物</w:t>
                  </w:r>
                </w:p>
              </w:tc>
              <w:tc>
                <w:tcPr>
                  <w:tcW w:w="667" w:type="pct"/>
                  <w:noWrap w:val="0"/>
                  <w:vAlign w:val="center"/>
                </w:tcPr>
                <w:p w14:paraId="514A1FC4">
                  <w:pPr>
                    <w:keepNext w:val="0"/>
                    <w:keepLines w:val="0"/>
                    <w:suppressLineNumbers w:val="0"/>
                    <w:spacing w:before="0" w:beforeAutospacing="0" w:after="0" w:afterAutospacing="0"/>
                    <w:ind w:left="-84" w:leftChars="-40" w:right="-84" w:rightChars="-40"/>
                    <w:jc w:val="center"/>
                    <w:rPr>
                      <w:rFonts w:hint="default" w:eastAsia="宋体"/>
                      <w:color w:val="auto"/>
                      <w:szCs w:val="21"/>
                      <w:highlight w:val="none"/>
                      <w:lang w:val="en-US" w:eastAsia="zh-CN"/>
                    </w:rPr>
                  </w:pPr>
                  <w:r>
                    <w:rPr>
                      <w:rFonts w:hint="default"/>
                      <w:color w:val="auto"/>
                      <w:szCs w:val="21"/>
                      <w:highlight w:val="none"/>
                    </w:rPr>
                    <w:t>900-04</w:t>
                  </w:r>
                  <w:r>
                    <w:rPr>
                      <w:rFonts w:hint="eastAsia"/>
                      <w:color w:val="auto"/>
                      <w:szCs w:val="21"/>
                      <w:highlight w:val="none"/>
                      <w:lang w:val="en-US" w:eastAsia="zh-CN"/>
                    </w:rPr>
                    <w:t>7-49</w:t>
                  </w:r>
                </w:p>
              </w:tc>
              <w:tc>
                <w:tcPr>
                  <w:tcW w:w="373" w:type="pct"/>
                  <w:noWrap w:val="0"/>
                  <w:vAlign w:val="center"/>
                </w:tcPr>
                <w:p w14:paraId="04007D3A">
                  <w:pPr>
                    <w:keepNext w:val="0"/>
                    <w:keepLines w:val="0"/>
                    <w:suppressLineNumbers w:val="0"/>
                    <w:spacing w:before="0" w:beforeAutospacing="0" w:after="0" w:afterAutospacing="0"/>
                    <w:ind w:left="-84" w:leftChars="-40" w:right="-84" w:rightChars="-40"/>
                    <w:jc w:val="center"/>
                    <w:rPr>
                      <w:rFonts w:hint="eastAsia" w:eastAsia="宋体"/>
                      <w:color w:val="auto"/>
                      <w:szCs w:val="21"/>
                      <w:highlight w:val="none"/>
                      <w:lang w:eastAsia="zh-CN"/>
                    </w:rPr>
                  </w:pPr>
                  <w:r>
                    <w:rPr>
                      <w:rFonts w:hint="eastAsia"/>
                      <w:color w:val="auto"/>
                      <w:szCs w:val="21"/>
                      <w:highlight w:val="none"/>
                    </w:rPr>
                    <w:t>0.</w:t>
                  </w:r>
                  <w:r>
                    <w:rPr>
                      <w:rFonts w:hint="eastAsia"/>
                      <w:color w:val="auto"/>
                      <w:szCs w:val="21"/>
                      <w:highlight w:val="none"/>
                      <w:lang w:val="en-US" w:eastAsia="zh-CN"/>
                    </w:rPr>
                    <w:t>1</w:t>
                  </w:r>
                </w:p>
              </w:tc>
              <w:tc>
                <w:tcPr>
                  <w:tcW w:w="432" w:type="pct"/>
                  <w:noWrap w:val="0"/>
                  <w:vAlign w:val="center"/>
                </w:tcPr>
                <w:p w14:paraId="5AADF186">
                  <w:pPr>
                    <w:keepNext w:val="0"/>
                    <w:keepLines w:val="0"/>
                    <w:suppressLineNumbers w:val="0"/>
                    <w:topLinePunct/>
                    <w:adjustRightInd w:val="0"/>
                    <w:snapToGrid w:val="0"/>
                    <w:spacing w:before="0" w:beforeAutospacing="0" w:after="0" w:afterAutospacing="0"/>
                    <w:ind w:left="-84" w:leftChars="-40" w:right="-84" w:rightChars="-40"/>
                    <w:jc w:val="center"/>
                    <w:rPr>
                      <w:rFonts w:hint="eastAsia" w:eastAsia="宋体"/>
                      <w:color w:val="auto"/>
                      <w:szCs w:val="21"/>
                      <w:highlight w:val="none"/>
                      <w:lang w:eastAsia="zh-CN"/>
                    </w:rPr>
                  </w:pPr>
                  <w:r>
                    <w:rPr>
                      <w:rFonts w:hint="eastAsia"/>
                      <w:color w:val="auto"/>
                      <w:szCs w:val="21"/>
                      <w:highlight w:val="none"/>
                      <w:lang w:val="en-US" w:eastAsia="zh-CN"/>
                    </w:rPr>
                    <w:t>实验室</w:t>
                  </w:r>
                </w:p>
              </w:tc>
              <w:tc>
                <w:tcPr>
                  <w:tcW w:w="230" w:type="pct"/>
                  <w:noWrap w:val="0"/>
                  <w:vAlign w:val="center"/>
                </w:tcPr>
                <w:p w14:paraId="6C854B61">
                  <w:pPr>
                    <w:keepNext w:val="0"/>
                    <w:keepLines w:val="0"/>
                    <w:suppressLineNumbers w:val="0"/>
                    <w:topLinePunct/>
                    <w:adjustRightInd w:val="0"/>
                    <w:snapToGrid w:val="0"/>
                    <w:spacing w:before="0" w:beforeAutospacing="0" w:after="0" w:afterAutospacing="0"/>
                    <w:ind w:left="-84" w:leftChars="-40" w:right="-84" w:rightChars="-40"/>
                    <w:jc w:val="center"/>
                    <w:rPr>
                      <w:rFonts w:hint="default"/>
                      <w:color w:val="auto"/>
                      <w:szCs w:val="21"/>
                      <w:highlight w:val="none"/>
                    </w:rPr>
                  </w:pPr>
                  <w:r>
                    <w:rPr>
                      <w:rFonts w:hint="eastAsia"/>
                      <w:color w:val="auto"/>
                      <w:szCs w:val="21"/>
                      <w:highlight w:val="none"/>
                      <w:lang w:val="en-US" w:eastAsia="zh-CN"/>
                    </w:rPr>
                    <w:t>液</w:t>
                  </w:r>
                  <w:r>
                    <w:rPr>
                      <w:rFonts w:hint="default"/>
                      <w:color w:val="auto"/>
                      <w:szCs w:val="21"/>
                      <w:highlight w:val="none"/>
                    </w:rPr>
                    <w:t>态</w:t>
                  </w:r>
                </w:p>
              </w:tc>
              <w:tc>
                <w:tcPr>
                  <w:tcW w:w="472" w:type="pct"/>
                  <w:noWrap w:val="0"/>
                  <w:vAlign w:val="center"/>
                </w:tcPr>
                <w:p w14:paraId="38196C63">
                  <w:pPr>
                    <w:keepNext w:val="0"/>
                    <w:keepLines w:val="0"/>
                    <w:suppressLineNumbers w:val="0"/>
                    <w:topLinePunct/>
                    <w:adjustRightInd w:val="0"/>
                    <w:snapToGrid w:val="0"/>
                    <w:spacing w:before="0" w:beforeAutospacing="0" w:after="0" w:afterAutospacing="0"/>
                    <w:ind w:left="-84" w:leftChars="-40" w:right="-84" w:rightChars="-40"/>
                    <w:jc w:val="center"/>
                    <w:rPr>
                      <w:rFonts w:hint="default" w:eastAsia="宋体"/>
                      <w:color w:val="auto"/>
                      <w:szCs w:val="21"/>
                      <w:highlight w:val="none"/>
                      <w:lang w:val="en-US" w:eastAsia="zh-CN"/>
                    </w:rPr>
                  </w:pPr>
                  <w:r>
                    <w:rPr>
                      <w:rFonts w:hint="eastAsia"/>
                      <w:color w:val="auto"/>
                      <w:szCs w:val="21"/>
                      <w:highlight w:val="none"/>
                      <w:lang w:val="en-US" w:eastAsia="zh-CN"/>
                    </w:rPr>
                    <w:t>酸、碱</w:t>
                  </w:r>
                </w:p>
              </w:tc>
              <w:tc>
                <w:tcPr>
                  <w:tcW w:w="697" w:type="dxa"/>
                  <w:noWrap w:val="0"/>
                  <w:vAlign w:val="center"/>
                </w:tcPr>
                <w:p w14:paraId="70E53100">
                  <w:pPr>
                    <w:keepNext w:val="0"/>
                    <w:keepLines w:val="0"/>
                    <w:suppressLineNumbers w:val="0"/>
                    <w:topLinePunct/>
                    <w:adjustRightInd w:val="0"/>
                    <w:snapToGrid w:val="0"/>
                    <w:spacing w:before="0" w:beforeAutospacing="0" w:after="0" w:afterAutospacing="0"/>
                    <w:ind w:left="-84" w:leftChars="-40" w:right="-84" w:rightChars="-40"/>
                    <w:jc w:val="center"/>
                    <w:rPr>
                      <w:rFonts w:hint="default"/>
                      <w:color w:val="auto"/>
                      <w:szCs w:val="21"/>
                      <w:highlight w:val="none"/>
                      <w:lang w:val="zh-CN"/>
                    </w:rPr>
                  </w:pPr>
                  <w:r>
                    <w:rPr>
                      <w:rFonts w:hint="eastAsia"/>
                      <w:color w:val="auto"/>
                      <w:szCs w:val="21"/>
                      <w:highlight w:val="none"/>
                      <w:lang w:val="en-US" w:eastAsia="zh-CN"/>
                    </w:rPr>
                    <w:t>酸、碱</w:t>
                  </w:r>
                </w:p>
              </w:tc>
              <w:tc>
                <w:tcPr>
                  <w:tcW w:w="322" w:type="pct"/>
                  <w:noWrap w:val="0"/>
                  <w:vAlign w:val="center"/>
                </w:tcPr>
                <w:p w14:paraId="17A93E47">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szCs w:val="21"/>
                      <w:highlight w:val="none"/>
                      <w:shd w:val="clear" w:color="auto" w:fill="FFFFFF"/>
                    </w:rPr>
                  </w:pPr>
                  <w:r>
                    <w:rPr>
                      <w:rFonts w:hint="eastAsia"/>
                      <w:bCs/>
                      <w:color w:val="auto"/>
                      <w:szCs w:val="21"/>
                      <w:highlight w:val="none"/>
                      <w:shd w:val="clear" w:color="auto" w:fill="FFFFFF"/>
                    </w:rPr>
                    <w:t>1</w:t>
                  </w:r>
                  <w:r>
                    <w:rPr>
                      <w:rFonts w:hint="default"/>
                      <w:bCs/>
                      <w:color w:val="auto"/>
                      <w:szCs w:val="21"/>
                      <w:highlight w:val="none"/>
                      <w:shd w:val="clear" w:color="auto" w:fill="FFFFFF"/>
                    </w:rPr>
                    <w:t>个月</w:t>
                  </w:r>
                </w:p>
              </w:tc>
              <w:tc>
                <w:tcPr>
                  <w:tcW w:w="347" w:type="pct"/>
                  <w:noWrap w:val="0"/>
                  <w:vAlign w:val="center"/>
                </w:tcPr>
                <w:p w14:paraId="682C948C">
                  <w:pPr>
                    <w:keepNext w:val="0"/>
                    <w:keepLines w:val="0"/>
                    <w:suppressLineNumbers w:val="0"/>
                    <w:spacing w:before="0" w:beforeAutospacing="0" w:after="0" w:afterAutospacing="0" w:line="276" w:lineRule="auto"/>
                    <w:ind w:left="0" w:right="0"/>
                    <w:jc w:val="center"/>
                    <w:rPr>
                      <w:rFonts w:hint="default"/>
                      <w:color w:val="auto"/>
                      <w:szCs w:val="21"/>
                      <w:highlight w:val="none"/>
                    </w:rPr>
                  </w:pPr>
                  <w:r>
                    <w:rPr>
                      <w:rFonts w:hint="default"/>
                      <w:color w:val="auto"/>
                      <w:szCs w:val="21"/>
                      <w:highlight w:val="none"/>
                    </w:rPr>
                    <w:t>T/C/I/R</w:t>
                  </w:r>
                </w:p>
              </w:tc>
              <w:tc>
                <w:tcPr>
                  <w:tcW w:w="440" w:type="pct"/>
                  <w:noWrap w:val="0"/>
                  <w:vAlign w:val="center"/>
                </w:tcPr>
                <w:p w14:paraId="49D6F59B">
                  <w:pPr>
                    <w:keepNext w:val="0"/>
                    <w:keepLines w:val="0"/>
                    <w:widowControl/>
                    <w:suppressLineNumbers w:val="0"/>
                    <w:spacing w:before="0" w:beforeAutospacing="0" w:after="0" w:afterAutospacing="0"/>
                    <w:ind w:left="-84" w:leftChars="-40" w:right="-84" w:rightChars="-40"/>
                    <w:jc w:val="center"/>
                    <w:rPr>
                      <w:rFonts w:hint="default" w:eastAsia="宋体"/>
                      <w:color w:val="auto"/>
                      <w:szCs w:val="21"/>
                      <w:highlight w:val="none"/>
                      <w:lang w:val="en-US" w:eastAsia="zh-CN"/>
                    </w:rPr>
                  </w:pPr>
                  <w:r>
                    <w:rPr>
                      <w:rFonts w:hint="eastAsia"/>
                      <w:color w:val="auto"/>
                      <w:szCs w:val="21"/>
                      <w:highlight w:val="none"/>
                      <w:lang w:val="en-US" w:eastAsia="zh-CN"/>
                    </w:rPr>
                    <w:t>厂区暂存，委托有资质单位处置</w:t>
                  </w:r>
                </w:p>
              </w:tc>
            </w:tr>
          </w:tbl>
          <w:p w14:paraId="088EFF00">
            <w:pPr>
              <w:keepNext w:val="0"/>
              <w:keepLines w:val="0"/>
              <w:suppressLineNumbers w:val="0"/>
              <w:spacing w:before="0" w:beforeAutospacing="0" w:after="0" w:afterAutospacing="0" w:line="300" w:lineRule="exact"/>
              <w:ind w:left="0" w:right="0"/>
              <w:rPr>
                <w:rFonts w:hint="eastAsia" w:eastAsia="宋体"/>
                <w:color w:val="auto"/>
                <w:lang w:eastAsia="zh-CN"/>
              </w:rPr>
            </w:pPr>
            <w:r>
              <w:rPr>
                <w:rFonts w:hint="default"/>
                <w:color w:val="auto"/>
              </w:rPr>
              <w:t>备注：毒性（Toxicity, T）、腐蚀性（Corrosivity,C）、易燃性（Ignitability, I）、反应性（Reactivity, R）</w:t>
            </w:r>
            <w:r>
              <w:rPr>
                <w:rFonts w:hint="eastAsia"/>
                <w:color w:val="auto"/>
                <w:lang w:eastAsia="zh-CN"/>
              </w:rPr>
              <w:t>。</w:t>
            </w:r>
          </w:p>
          <w:p w14:paraId="34ECFE5E">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2、危险废物贮存场所（设施）环境影响分析</w:t>
            </w:r>
          </w:p>
          <w:p w14:paraId="4E3CAB4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根据《危险废物贮存污染控制标准》（GB18597-20</w:t>
            </w:r>
            <w:r>
              <w:rPr>
                <w:rFonts w:hint="eastAsia" w:ascii="Times New Roman" w:hAnsi="Times New Roman" w:eastAsia="宋体" w:cs="Times New Roman"/>
                <w:color w:val="auto"/>
                <w:sz w:val="24"/>
                <w:highlight w:val="none"/>
              </w:rPr>
              <w:t>23</w:t>
            </w:r>
            <w:r>
              <w:rPr>
                <w:rFonts w:hint="default" w:ascii="Times New Roman" w:hAnsi="Times New Roman" w:eastAsia="宋体" w:cs="Times New Roman"/>
                <w:color w:val="auto"/>
                <w:sz w:val="24"/>
                <w:highlight w:val="none"/>
              </w:rPr>
              <w:t>），本项目危险废物贮存场所选址相符性见下表。</w:t>
            </w:r>
          </w:p>
          <w:p w14:paraId="5AA2FBD3">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危废暂存场选址符合性分析</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6"/>
              <w:gridCol w:w="1911"/>
            </w:tblGrid>
            <w:tr w14:paraId="2174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4" w:type="pct"/>
                  <w:noWrap w:val="0"/>
                  <w:vAlign w:val="center"/>
                </w:tcPr>
                <w:p w14:paraId="506D3D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GB18597-2023</w:t>
                  </w:r>
                  <w:r>
                    <w:rPr>
                      <w:rFonts w:hint="default" w:ascii="Times New Roman" w:hAnsi="Times New Roman" w:eastAsia="宋体" w:cs="Times New Roman"/>
                      <w:color w:val="auto"/>
                      <w:szCs w:val="21"/>
                      <w:highlight w:val="none"/>
                    </w:rPr>
                    <w:t>中要求</w:t>
                  </w:r>
                </w:p>
              </w:tc>
              <w:tc>
                <w:tcPr>
                  <w:tcW w:w="1085" w:type="pct"/>
                  <w:noWrap w:val="0"/>
                  <w:vAlign w:val="center"/>
                </w:tcPr>
                <w:p w14:paraId="7D57BC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相符性分析</w:t>
                  </w:r>
                </w:p>
              </w:tc>
            </w:tr>
            <w:tr w14:paraId="3911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914" w:type="pct"/>
                  <w:noWrap w:val="0"/>
                  <w:vAlign w:val="center"/>
                </w:tcPr>
                <w:p w14:paraId="3B33B0C8">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①贮存设施选址应满足生态环境保护法律法规、规划和"三线一单"生态环境分区管控的要求，建设项目应依法进行环境影响评价。</w:t>
                  </w:r>
                </w:p>
                <w:p w14:paraId="1E8C0D14">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②集中贮存设施不应选在生态保护红线区域、永久基本农田和其他需要特别保护的区域内，不应建在溶洞区或易遭受洪水、滑坡、泥石流、潮汐等严重自然灾害影响的地区。</w:t>
                  </w:r>
                </w:p>
                <w:p w14:paraId="2792C53D">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③贮存设施不应选在江河、湖泊、运河、渠道、水库及其最高水位线以下的滩地和岸坡，以及法律法规规定禁止贮存危险废物的其他地点。</w:t>
                  </w:r>
                </w:p>
                <w:p w14:paraId="43E1D461">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④贮存设施场址的位置以及其与周围环境敏感目标的距离应依据环境影响评价文件确定。</w:t>
                  </w:r>
                </w:p>
              </w:tc>
              <w:tc>
                <w:tcPr>
                  <w:tcW w:w="1085" w:type="pct"/>
                  <w:noWrap w:val="0"/>
                  <w:vAlign w:val="center"/>
                </w:tcPr>
                <w:p w14:paraId="126C79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本项目选址能够达到《危险废物贮存污染控制标准》（GB18597-20</w:t>
                  </w:r>
                  <w:r>
                    <w:rPr>
                      <w:rFonts w:hint="eastAsia" w:ascii="Times New Roman" w:hAnsi="Times New Roman" w:eastAsia="宋体" w:cs="Times New Roman"/>
                      <w:color w:val="auto"/>
                      <w:szCs w:val="21"/>
                      <w:highlight w:val="none"/>
                    </w:rPr>
                    <w:t>23</w:t>
                  </w:r>
                  <w:r>
                    <w:rPr>
                      <w:rFonts w:hint="default" w:ascii="Times New Roman" w:hAnsi="Times New Roman" w:eastAsia="宋体" w:cs="Times New Roman"/>
                      <w:color w:val="auto"/>
                      <w:szCs w:val="21"/>
                      <w:highlight w:val="none"/>
                    </w:rPr>
                    <w:t>）中相关要求。</w:t>
                  </w:r>
                </w:p>
              </w:tc>
            </w:tr>
          </w:tbl>
          <w:p w14:paraId="697599C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val="en-US" w:eastAsia="zh-CN"/>
              </w:rPr>
              <w:t>设置1个5m</w:t>
            </w:r>
            <w:r>
              <w:rPr>
                <w:rFonts w:hint="eastAsia"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rPr>
              <w:t>危废暂存间，公司定期将危废交由有资质的单位处理处置，危废暂存间容积能够满足暂存需求。危废暂存间铺设防渗材料，危废不会进入地下水和土壤中，不会对项目周围地下水和土壤产生影响。</w:t>
            </w:r>
          </w:p>
          <w:p w14:paraId="47E39958">
            <w:pPr>
              <w:keepNext w:val="0"/>
              <w:keepLines w:val="0"/>
              <w:suppressLineNumbers w:val="0"/>
              <w:spacing w:before="0" w:beforeAutospacing="0" w:after="0" w:afterAutospacing="0" w:line="348" w:lineRule="auto"/>
              <w:ind w:left="0" w:right="0" w:firstLine="482"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3、污染防治措施</w:t>
            </w:r>
          </w:p>
          <w:p w14:paraId="2102C5F6">
            <w:pPr>
              <w:keepNext w:val="0"/>
              <w:keepLines w:val="0"/>
              <w:suppressLineNumbers w:val="0"/>
              <w:spacing w:before="0" w:beforeAutospacing="0" w:after="0" w:afterAutospacing="0" w:line="348"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①贮存场所（设施）污染防治措施</w:t>
            </w:r>
          </w:p>
          <w:p w14:paraId="630E944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按《危险废物识别标志设置技术规范》（HJ1276-2022）要求设置危险废物贮存设施或场所标志、危险废物贮存分区标志和危险废物标签等危险废物识别标志。容器和包装物材质、内衬应与盛装的危险废物兼容。针对不同类别、形态、物理化学性质的危险废物，容器和包装物应满足相应防渗、防漏、防腐和强度要求。贮存场所严格采取防风、防雨、防晒和防止危险废物流失、扬散等措施，及时清运贮存的危险废物。</w:t>
            </w:r>
          </w:p>
          <w:p w14:paraId="1336EBC3">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建设项目危险废物贮存场所（设施）基本情况表</w:t>
            </w:r>
          </w:p>
          <w:tbl>
            <w:tblPr>
              <w:tblStyle w:val="3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
              <w:gridCol w:w="1320"/>
              <w:gridCol w:w="1269"/>
              <w:gridCol w:w="1188"/>
              <w:gridCol w:w="1083"/>
              <w:gridCol w:w="948"/>
              <w:gridCol w:w="690"/>
              <w:gridCol w:w="662"/>
              <w:gridCol w:w="653"/>
              <w:gridCol w:w="656"/>
            </w:tblGrid>
            <w:tr w14:paraId="6DBF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188" w:type="pct"/>
                  <w:noWrap w:val="0"/>
                  <w:vAlign w:val="center"/>
                </w:tcPr>
                <w:p w14:paraId="41D7C946">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序号</w:t>
                  </w:r>
                </w:p>
              </w:tc>
              <w:tc>
                <w:tcPr>
                  <w:tcW w:w="750" w:type="pct"/>
                  <w:noWrap w:val="0"/>
                  <w:vAlign w:val="center"/>
                </w:tcPr>
                <w:p w14:paraId="58585FB4">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贮存场所(设施)名称</w:t>
                  </w:r>
                </w:p>
              </w:tc>
              <w:tc>
                <w:tcPr>
                  <w:tcW w:w="721" w:type="pct"/>
                  <w:noWrap w:val="0"/>
                  <w:vAlign w:val="center"/>
                </w:tcPr>
                <w:p w14:paraId="2490958D">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危险废物</w:t>
                  </w:r>
                </w:p>
                <w:p w14:paraId="2146998D">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名称</w:t>
                  </w:r>
                </w:p>
              </w:tc>
              <w:tc>
                <w:tcPr>
                  <w:tcW w:w="675" w:type="pct"/>
                  <w:noWrap w:val="0"/>
                  <w:vAlign w:val="center"/>
                </w:tcPr>
                <w:p w14:paraId="1B1C5610">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危险废物</w:t>
                  </w:r>
                </w:p>
                <w:p w14:paraId="712A3BB7">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类别</w:t>
                  </w:r>
                </w:p>
              </w:tc>
              <w:tc>
                <w:tcPr>
                  <w:tcW w:w="615" w:type="pct"/>
                  <w:noWrap w:val="0"/>
                  <w:vAlign w:val="center"/>
                </w:tcPr>
                <w:p w14:paraId="7897DAB1">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危险废物</w:t>
                  </w:r>
                </w:p>
                <w:p w14:paraId="298643B9">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代码</w:t>
                  </w:r>
                </w:p>
              </w:tc>
              <w:tc>
                <w:tcPr>
                  <w:tcW w:w="538" w:type="pct"/>
                  <w:noWrap w:val="0"/>
                  <w:vAlign w:val="center"/>
                </w:tcPr>
                <w:p w14:paraId="701ADCA2">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位置</w:t>
                  </w:r>
                </w:p>
              </w:tc>
              <w:tc>
                <w:tcPr>
                  <w:tcW w:w="392" w:type="pct"/>
                  <w:noWrap w:val="0"/>
                  <w:vAlign w:val="center"/>
                </w:tcPr>
                <w:p w14:paraId="7080E223">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占地</w:t>
                  </w:r>
                </w:p>
                <w:p w14:paraId="4A83C8DB">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面积</w:t>
                  </w:r>
                </w:p>
              </w:tc>
              <w:tc>
                <w:tcPr>
                  <w:tcW w:w="376" w:type="pct"/>
                  <w:noWrap w:val="0"/>
                  <w:vAlign w:val="center"/>
                </w:tcPr>
                <w:p w14:paraId="4A4F2533">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贮存</w:t>
                  </w:r>
                </w:p>
                <w:p w14:paraId="548F354A">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方式</w:t>
                  </w:r>
                </w:p>
              </w:tc>
              <w:tc>
                <w:tcPr>
                  <w:tcW w:w="371" w:type="pct"/>
                  <w:noWrap w:val="0"/>
                  <w:vAlign w:val="center"/>
                </w:tcPr>
                <w:p w14:paraId="173DD9FE">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贮存</w:t>
                  </w:r>
                </w:p>
                <w:p w14:paraId="6F2EFF7C">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能力</w:t>
                  </w:r>
                </w:p>
              </w:tc>
              <w:tc>
                <w:tcPr>
                  <w:tcW w:w="372" w:type="pct"/>
                  <w:noWrap w:val="0"/>
                  <w:vAlign w:val="center"/>
                </w:tcPr>
                <w:p w14:paraId="7E569317">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贮存</w:t>
                  </w:r>
                </w:p>
                <w:p w14:paraId="3283682A">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周期</w:t>
                  </w:r>
                </w:p>
              </w:tc>
            </w:tr>
            <w:tr w14:paraId="2C7C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88" w:type="pct"/>
                  <w:noWrap w:val="0"/>
                  <w:vAlign w:val="center"/>
                </w:tcPr>
                <w:p w14:paraId="19F6E4A4">
                  <w:pPr>
                    <w:keepNext w:val="0"/>
                    <w:keepLines w:val="0"/>
                    <w:numPr>
                      <w:ilvl w:val="0"/>
                      <w:numId w:val="21"/>
                    </w:numPr>
                    <w:suppressLineNumbers w:val="0"/>
                    <w:tabs>
                      <w:tab w:val="clear" w:pos="0"/>
                    </w:tabs>
                    <w:spacing w:before="0" w:beforeAutospacing="0" w:after="0" w:afterAutospacing="0"/>
                    <w:ind w:left="0" w:right="0"/>
                    <w:jc w:val="center"/>
                    <w:rPr>
                      <w:rFonts w:hint="default"/>
                      <w:color w:val="auto"/>
                      <w:szCs w:val="21"/>
                      <w:highlight w:val="none"/>
                    </w:rPr>
                  </w:pPr>
                </w:p>
              </w:tc>
              <w:tc>
                <w:tcPr>
                  <w:tcW w:w="750" w:type="pct"/>
                  <w:noWrap w:val="0"/>
                  <w:vAlign w:val="center"/>
                </w:tcPr>
                <w:p w14:paraId="615A4936">
                  <w:pPr>
                    <w:keepNext w:val="0"/>
                    <w:keepLines w:val="0"/>
                    <w:suppressLineNumbers w:val="0"/>
                    <w:spacing w:before="0" w:beforeAutospacing="0" w:after="0" w:afterAutospacing="0"/>
                    <w:ind w:left="-84" w:leftChars="-40" w:right="-84" w:rightChars="-40"/>
                    <w:jc w:val="center"/>
                    <w:rPr>
                      <w:rFonts w:hint="default"/>
                      <w:bCs/>
                      <w:color w:val="auto"/>
                      <w:szCs w:val="21"/>
                      <w:highlight w:val="none"/>
                    </w:rPr>
                  </w:pPr>
                  <w:r>
                    <w:rPr>
                      <w:rFonts w:hint="default"/>
                      <w:color w:val="auto"/>
                      <w:kern w:val="0"/>
                      <w:szCs w:val="21"/>
                      <w:highlight w:val="none"/>
                    </w:rPr>
                    <w:t>危废暂存间</w:t>
                  </w:r>
                </w:p>
              </w:tc>
              <w:tc>
                <w:tcPr>
                  <w:tcW w:w="721" w:type="pct"/>
                  <w:noWrap w:val="0"/>
                  <w:vAlign w:val="center"/>
                </w:tcPr>
                <w:p w14:paraId="300ACB04">
                  <w:pPr>
                    <w:keepNext w:val="0"/>
                    <w:keepLines w:val="0"/>
                    <w:suppressLineNumbers w:val="0"/>
                    <w:topLinePunct/>
                    <w:adjustRightInd w:val="0"/>
                    <w:snapToGrid w:val="0"/>
                    <w:spacing w:before="0" w:beforeAutospacing="0" w:after="0" w:afterAutospacing="0"/>
                    <w:ind w:left="-84" w:leftChars="-40" w:right="-84" w:rightChars="-40"/>
                    <w:jc w:val="center"/>
                    <w:rPr>
                      <w:rFonts w:hint="default" w:eastAsia="宋体"/>
                      <w:color w:val="auto"/>
                      <w:szCs w:val="21"/>
                      <w:highlight w:val="none"/>
                      <w:lang w:val="en-US" w:eastAsia="zh-CN"/>
                    </w:rPr>
                  </w:pPr>
                  <w:r>
                    <w:rPr>
                      <w:rFonts w:hint="eastAsia" w:eastAsia="宋体"/>
                      <w:color w:val="auto"/>
                      <w:szCs w:val="21"/>
                      <w:highlight w:val="none"/>
                      <w:lang w:val="en-US" w:eastAsia="zh-CN"/>
                    </w:rPr>
                    <w:t>实验室废液</w:t>
                  </w:r>
                </w:p>
              </w:tc>
              <w:tc>
                <w:tcPr>
                  <w:tcW w:w="675" w:type="pct"/>
                  <w:noWrap w:val="0"/>
                  <w:vAlign w:val="center"/>
                </w:tcPr>
                <w:p w14:paraId="4073B5F4">
                  <w:pPr>
                    <w:keepNext w:val="0"/>
                    <w:keepLines w:val="0"/>
                    <w:suppressLineNumbers w:val="0"/>
                    <w:spacing w:before="0" w:beforeAutospacing="0" w:after="0" w:afterAutospacing="0"/>
                    <w:ind w:left="-84" w:leftChars="-40" w:right="-84" w:rightChars="-40"/>
                    <w:jc w:val="center"/>
                    <w:rPr>
                      <w:rFonts w:hint="eastAsia" w:eastAsia="宋体"/>
                      <w:color w:val="auto"/>
                      <w:szCs w:val="21"/>
                      <w:highlight w:val="none"/>
                      <w:lang w:val="en-US" w:eastAsia="zh-CN"/>
                    </w:rPr>
                  </w:pPr>
                  <w:r>
                    <w:rPr>
                      <w:rFonts w:hint="default"/>
                      <w:color w:val="auto"/>
                      <w:szCs w:val="21"/>
                      <w:highlight w:val="none"/>
                    </w:rPr>
                    <w:t>HW49其他废物</w:t>
                  </w:r>
                </w:p>
              </w:tc>
              <w:tc>
                <w:tcPr>
                  <w:tcW w:w="615" w:type="pct"/>
                  <w:noWrap w:val="0"/>
                  <w:vAlign w:val="center"/>
                </w:tcPr>
                <w:p w14:paraId="44E6AB72">
                  <w:pPr>
                    <w:keepNext w:val="0"/>
                    <w:keepLines w:val="0"/>
                    <w:suppressLineNumbers w:val="0"/>
                    <w:spacing w:before="0" w:beforeAutospacing="0" w:after="0" w:afterAutospacing="0"/>
                    <w:ind w:left="-84" w:leftChars="-40" w:right="-84" w:rightChars="-40"/>
                    <w:jc w:val="center"/>
                    <w:rPr>
                      <w:rFonts w:hint="eastAsia" w:eastAsia="宋体"/>
                      <w:color w:val="auto"/>
                      <w:szCs w:val="21"/>
                      <w:highlight w:val="none"/>
                      <w:lang w:val="en-US" w:eastAsia="zh-CN"/>
                    </w:rPr>
                  </w:pPr>
                  <w:r>
                    <w:rPr>
                      <w:rFonts w:hint="default"/>
                      <w:color w:val="auto"/>
                      <w:szCs w:val="21"/>
                      <w:highlight w:val="none"/>
                    </w:rPr>
                    <w:t>900-04</w:t>
                  </w:r>
                  <w:r>
                    <w:rPr>
                      <w:rFonts w:hint="eastAsia"/>
                      <w:color w:val="auto"/>
                      <w:szCs w:val="21"/>
                      <w:highlight w:val="none"/>
                      <w:lang w:val="en-US" w:eastAsia="zh-CN"/>
                    </w:rPr>
                    <w:t>7-49</w:t>
                  </w:r>
                </w:p>
              </w:tc>
              <w:tc>
                <w:tcPr>
                  <w:tcW w:w="538" w:type="pct"/>
                  <w:noWrap w:val="0"/>
                  <w:vAlign w:val="center"/>
                </w:tcPr>
                <w:p w14:paraId="3F105457">
                  <w:pPr>
                    <w:keepNext w:val="0"/>
                    <w:keepLines w:val="0"/>
                    <w:suppressLineNumbers w:val="0"/>
                    <w:spacing w:before="0" w:beforeAutospacing="0" w:after="0" w:afterAutospacing="0"/>
                    <w:ind w:left="-84" w:leftChars="-40" w:right="-84" w:rightChars="-40"/>
                    <w:jc w:val="center"/>
                    <w:rPr>
                      <w:rFonts w:hint="default"/>
                      <w:bCs/>
                      <w:color w:val="auto"/>
                      <w:szCs w:val="21"/>
                      <w:highlight w:val="none"/>
                    </w:rPr>
                  </w:pPr>
                  <w:r>
                    <w:rPr>
                      <w:rFonts w:hint="default"/>
                      <w:color w:val="auto"/>
                      <w:kern w:val="0"/>
                      <w:szCs w:val="21"/>
                      <w:highlight w:val="none"/>
                    </w:rPr>
                    <w:t>危废暂存间</w:t>
                  </w:r>
                </w:p>
              </w:tc>
              <w:tc>
                <w:tcPr>
                  <w:tcW w:w="392" w:type="pct"/>
                  <w:noWrap w:val="0"/>
                  <w:vAlign w:val="center"/>
                </w:tcPr>
                <w:p w14:paraId="700BB3DE">
                  <w:pPr>
                    <w:keepNext w:val="0"/>
                    <w:keepLines w:val="0"/>
                    <w:widowControl/>
                    <w:suppressLineNumbers w:val="0"/>
                    <w:spacing w:before="0" w:beforeAutospacing="0" w:after="0" w:afterAutospacing="0"/>
                    <w:ind w:left="0" w:right="0"/>
                    <w:jc w:val="center"/>
                    <w:textAlignment w:val="center"/>
                    <w:rPr>
                      <w:rFonts w:hint="default"/>
                      <w:color w:val="auto"/>
                      <w:kern w:val="0"/>
                      <w:szCs w:val="21"/>
                      <w:highlight w:val="none"/>
                    </w:rPr>
                  </w:pPr>
                  <w:r>
                    <w:rPr>
                      <w:rFonts w:hint="eastAsia"/>
                      <w:color w:val="auto"/>
                      <w:kern w:val="0"/>
                      <w:szCs w:val="21"/>
                      <w:highlight w:val="none"/>
                      <w:lang w:val="en-US" w:eastAsia="zh-CN" w:bidi="ar"/>
                    </w:rPr>
                    <w:t>5</w:t>
                  </w:r>
                  <w:r>
                    <w:rPr>
                      <w:rFonts w:hint="default"/>
                      <w:color w:val="auto"/>
                      <w:kern w:val="0"/>
                      <w:szCs w:val="21"/>
                      <w:highlight w:val="none"/>
                      <w:lang w:bidi="ar"/>
                    </w:rPr>
                    <w:t>m</w:t>
                  </w:r>
                  <w:r>
                    <w:rPr>
                      <w:rFonts w:hint="default"/>
                      <w:color w:val="auto"/>
                      <w:kern w:val="0"/>
                      <w:szCs w:val="21"/>
                      <w:highlight w:val="none"/>
                      <w:vertAlign w:val="superscript"/>
                      <w:lang w:bidi="ar"/>
                    </w:rPr>
                    <w:t>2</w:t>
                  </w:r>
                </w:p>
              </w:tc>
              <w:tc>
                <w:tcPr>
                  <w:tcW w:w="376" w:type="pct"/>
                  <w:noWrap w:val="0"/>
                  <w:vAlign w:val="center"/>
                </w:tcPr>
                <w:p w14:paraId="540D41EA">
                  <w:pPr>
                    <w:keepNext w:val="0"/>
                    <w:keepLines w:val="0"/>
                    <w:suppressLineNumbers w:val="0"/>
                    <w:spacing w:before="0" w:beforeAutospacing="0" w:after="0" w:afterAutospacing="0"/>
                    <w:ind w:left="-84" w:leftChars="-40" w:right="-84" w:rightChars="-40"/>
                    <w:jc w:val="center"/>
                    <w:rPr>
                      <w:rFonts w:hint="default"/>
                      <w:bCs/>
                      <w:color w:val="auto"/>
                      <w:szCs w:val="21"/>
                      <w:highlight w:val="none"/>
                    </w:rPr>
                  </w:pPr>
                  <w:r>
                    <w:rPr>
                      <w:rFonts w:hint="default"/>
                      <w:bCs/>
                      <w:color w:val="auto"/>
                      <w:szCs w:val="21"/>
                      <w:highlight w:val="none"/>
                    </w:rPr>
                    <w:t>桶装</w:t>
                  </w:r>
                </w:p>
              </w:tc>
              <w:tc>
                <w:tcPr>
                  <w:tcW w:w="371" w:type="pct"/>
                  <w:noWrap w:val="0"/>
                  <w:vAlign w:val="center"/>
                </w:tcPr>
                <w:p w14:paraId="552FED21">
                  <w:pPr>
                    <w:keepNext w:val="0"/>
                    <w:keepLines w:val="0"/>
                    <w:suppressLineNumbers w:val="0"/>
                    <w:spacing w:before="0" w:beforeAutospacing="0" w:after="0" w:afterAutospacing="0"/>
                    <w:ind w:left="-84" w:leftChars="-40" w:right="-84" w:rightChars="-40"/>
                    <w:jc w:val="center"/>
                    <w:rPr>
                      <w:rFonts w:hint="default"/>
                      <w:bCs/>
                      <w:color w:val="auto"/>
                      <w:szCs w:val="21"/>
                      <w:highlight w:val="none"/>
                    </w:rPr>
                  </w:pPr>
                  <w:r>
                    <w:rPr>
                      <w:rFonts w:hint="eastAsia"/>
                      <w:color w:val="auto"/>
                      <w:szCs w:val="21"/>
                      <w:highlight w:val="none"/>
                      <w:lang w:val="en-US" w:eastAsia="zh-CN"/>
                    </w:rPr>
                    <w:t>2.5</w:t>
                  </w:r>
                  <w:r>
                    <w:rPr>
                      <w:rFonts w:hint="default"/>
                      <w:color w:val="auto"/>
                      <w:szCs w:val="21"/>
                      <w:highlight w:val="none"/>
                    </w:rPr>
                    <w:t>t</w:t>
                  </w:r>
                </w:p>
              </w:tc>
              <w:tc>
                <w:tcPr>
                  <w:tcW w:w="372" w:type="pct"/>
                  <w:noWrap w:val="0"/>
                  <w:vAlign w:val="center"/>
                </w:tcPr>
                <w:p w14:paraId="72873250">
                  <w:pPr>
                    <w:keepNext w:val="0"/>
                    <w:keepLines w:val="0"/>
                    <w:suppressLineNumbers w:val="0"/>
                    <w:spacing w:before="0" w:beforeAutospacing="0" w:after="0" w:afterAutospacing="0"/>
                    <w:ind w:left="-84" w:leftChars="-40" w:right="-84" w:rightChars="-40"/>
                    <w:jc w:val="center"/>
                    <w:rPr>
                      <w:rFonts w:hint="default"/>
                      <w:bCs/>
                      <w:color w:val="auto"/>
                      <w:szCs w:val="21"/>
                      <w:highlight w:val="none"/>
                    </w:rPr>
                  </w:pPr>
                  <w:r>
                    <w:rPr>
                      <w:rFonts w:hint="eastAsia"/>
                      <w:bCs/>
                      <w:color w:val="auto"/>
                      <w:szCs w:val="21"/>
                      <w:highlight w:val="none"/>
                      <w:lang w:val="en-US" w:eastAsia="zh-CN"/>
                    </w:rPr>
                    <w:t>6</w:t>
                  </w:r>
                  <w:r>
                    <w:rPr>
                      <w:rFonts w:hint="default"/>
                      <w:bCs/>
                      <w:color w:val="auto"/>
                      <w:szCs w:val="21"/>
                      <w:highlight w:val="none"/>
                    </w:rPr>
                    <w:t>个月</w:t>
                  </w:r>
                </w:p>
              </w:tc>
            </w:tr>
          </w:tbl>
          <w:p w14:paraId="357A358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②运输过程的污染防治措施</w:t>
            </w:r>
          </w:p>
          <w:p w14:paraId="4E5483C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应与有相应危废处置资质的单位签订危废处置合同。所处理的危险废物采用专门的车辆，密闭运输，严格禁止抛洒滴漏，杜绝在运输过程中造成环境的二次污染。在危险废物的运输中执行《危险废物转移联单管理办法》中有关的规定和要求。</w:t>
            </w:r>
          </w:p>
          <w:p w14:paraId="7C591DD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③危险废物管理</w:t>
            </w:r>
          </w:p>
          <w:p w14:paraId="398D5503">
            <w:pPr>
              <w:keepNext w:val="0"/>
              <w:keepLines w:val="0"/>
              <w:suppressLineNumbers w:val="0"/>
              <w:autoSpaceDE w:val="0"/>
              <w:autoSpaceDN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企业可参照《危险废物管理计划和管理台账制定技术导则》（HJ1259-2022）做好危废管理计划及管理台账制定。危险废物管理计划内容参照导则要求可包括减少危险废物产生量和降低危险废物危害性的措施以及危险废物贮存、利用、处置措施；日常项目运行中应按照危险废物管理台账如实记录危险废物的种类、产生量、流向、贮存、利用、处置等有关信息。</w:t>
            </w:r>
          </w:p>
          <w:p w14:paraId="219BD4F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综上所述，拟建项目产生的固废经分类收集、分类妥善处理、处置后，可以实现零排放，对周围环境及人体不会造成影响，亦不会对环境产生二次污染，所采取的处置措施是可行的。</w:t>
            </w:r>
          </w:p>
          <w:p w14:paraId="463EE019">
            <w:pPr>
              <w:keepNext w:val="0"/>
              <w:keepLines w:val="0"/>
              <w:suppressLineNumbers w:val="0"/>
              <w:spacing w:before="0" w:beforeAutospacing="0" w:after="0" w:afterAutospacing="0" w:line="360" w:lineRule="auto"/>
              <w:ind w:left="0" w:right="0"/>
              <w:rPr>
                <w:rFonts w:hint="default"/>
                <w:b/>
                <w:color w:val="auto"/>
                <w:sz w:val="24"/>
              </w:rPr>
            </w:pPr>
            <w:r>
              <w:rPr>
                <w:rFonts w:hint="default"/>
                <w:b/>
                <w:color w:val="auto"/>
                <w:sz w:val="24"/>
              </w:rPr>
              <w:t>4.5地下水、土壤环境影响和保护措施</w:t>
            </w:r>
          </w:p>
          <w:p w14:paraId="1C4CE87E">
            <w:pPr>
              <w:keepNext w:val="0"/>
              <w:keepLines w:val="0"/>
              <w:numPr>
                <w:ilvl w:val="0"/>
                <w:numId w:val="22"/>
              </w:numPr>
              <w:suppressLineNumbers w:val="0"/>
              <w:spacing w:before="0" w:beforeAutospacing="0" w:after="0" w:afterAutospacing="0" w:line="360" w:lineRule="auto"/>
              <w:ind w:left="0" w:right="0" w:firstLine="480"/>
              <w:rPr>
                <w:rFonts w:hint="eastAsia" w:ascii="宋体" w:hAnsi="宋体" w:cs="宋体"/>
                <w:b/>
                <w:bCs/>
                <w:color w:val="auto"/>
                <w:sz w:val="24"/>
                <w:lang w:val="en-US" w:eastAsia="zh-CN"/>
              </w:rPr>
            </w:pPr>
            <w:r>
              <w:rPr>
                <w:rFonts w:hint="eastAsia" w:ascii="宋体" w:hAnsi="宋体" w:cs="宋体"/>
                <w:b/>
                <w:bCs/>
                <w:color w:val="auto"/>
                <w:sz w:val="24"/>
                <w:lang w:val="en-US" w:eastAsia="zh-CN"/>
              </w:rPr>
              <w:t>地下水、土壤污染途径</w:t>
            </w:r>
          </w:p>
          <w:p w14:paraId="0B982607">
            <w:pPr>
              <w:pStyle w:val="31"/>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bCs/>
                <w:color w:val="auto"/>
                <w:kern w:val="2"/>
                <w:sz w:val="24"/>
                <w:szCs w:val="24"/>
                <w:lang w:val="en-US" w:eastAsia="zh-CN"/>
              </w:rPr>
              <w:t>本项目废气污染物主要为颗粒物、SO</w:t>
            </w:r>
            <w:r>
              <w:rPr>
                <w:rFonts w:hint="default" w:ascii="Times New Roman" w:hAnsi="Times New Roman" w:eastAsia="宋体" w:cs="Times New Roman"/>
                <w:bCs/>
                <w:color w:val="auto"/>
                <w:kern w:val="2"/>
                <w:sz w:val="24"/>
                <w:szCs w:val="24"/>
                <w:vertAlign w:val="subscript"/>
                <w:lang w:val="en-US" w:eastAsia="zh-CN"/>
              </w:rPr>
              <w:t>2</w:t>
            </w:r>
            <w:r>
              <w:rPr>
                <w:rFonts w:hint="default" w:ascii="Times New Roman" w:hAnsi="Times New Roman" w:eastAsia="宋体" w:cs="Times New Roman"/>
                <w:bCs/>
                <w:color w:val="auto"/>
                <w:kern w:val="2"/>
                <w:sz w:val="24"/>
                <w:szCs w:val="24"/>
                <w:lang w:val="en-US" w:eastAsia="zh-CN"/>
              </w:rPr>
              <w:t>、NO</w:t>
            </w:r>
            <w:r>
              <w:rPr>
                <w:rFonts w:hint="default" w:ascii="Times New Roman" w:hAnsi="Times New Roman" w:eastAsia="宋体" w:cs="Times New Roman"/>
                <w:bCs/>
                <w:color w:val="auto"/>
                <w:kern w:val="2"/>
                <w:sz w:val="24"/>
                <w:szCs w:val="24"/>
                <w:vertAlign w:val="subscript"/>
                <w:lang w:val="en-US" w:eastAsia="zh-CN"/>
              </w:rPr>
              <w:t>x</w:t>
            </w:r>
            <w:r>
              <w:rPr>
                <w:rFonts w:hint="default" w:ascii="Times New Roman" w:hAnsi="Times New Roman" w:eastAsia="宋体" w:cs="Times New Roman"/>
                <w:bCs/>
                <w:color w:val="auto"/>
                <w:kern w:val="2"/>
                <w:sz w:val="24"/>
                <w:szCs w:val="24"/>
                <w:lang w:val="en-US" w:eastAsia="zh-CN"/>
              </w:rPr>
              <w:t>，可能通过大气沉降的方式污染土壤和地下水环境。</w:t>
            </w:r>
          </w:p>
          <w:p w14:paraId="4438EA3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本</w:t>
            </w:r>
            <w:r>
              <w:rPr>
                <w:rFonts w:hint="default" w:ascii="Times New Roman" w:hAnsi="Times New Roman" w:cs="Times New Roman"/>
                <w:color w:val="auto"/>
                <w:sz w:val="24"/>
              </w:rPr>
              <w:t>项目废水主要为生活污水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CIP设备清洗废水、</w:t>
            </w:r>
            <w:r>
              <w:rPr>
                <w:rFonts w:hint="eastAsia" w:cs="Times New Roman"/>
                <w:color w:val="auto"/>
                <w:sz w:val="24"/>
                <w:lang w:val="en-US" w:eastAsia="zh-CN"/>
              </w:rPr>
              <w:t>保洁废水、</w:t>
            </w:r>
            <w:r>
              <w:rPr>
                <w:rFonts w:hint="default" w:ascii="Times New Roman" w:hAnsi="Times New Roman" w:cs="Times New Roman"/>
                <w:color w:val="auto"/>
                <w:sz w:val="24"/>
                <w:lang w:val="en-US" w:eastAsia="zh-CN"/>
              </w:rPr>
              <w:t>纯水制备系统废水</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实验室</w:t>
            </w:r>
            <w:r>
              <w:rPr>
                <w:rFonts w:hint="eastAsia" w:cs="Times New Roman"/>
                <w:color w:val="auto"/>
                <w:sz w:val="24"/>
                <w:lang w:val="en-US" w:eastAsia="zh-CN"/>
              </w:rPr>
              <w:t>清洗</w:t>
            </w:r>
            <w:r>
              <w:rPr>
                <w:rFonts w:hint="eastAsia" w:ascii="Times New Roman" w:hAnsi="Times New Roman" w:cs="Times New Roman"/>
                <w:color w:val="auto"/>
                <w:sz w:val="24"/>
                <w:lang w:val="en-US" w:eastAsia="zh-CN"/>
              </w:rPr>
              <w:t>废水</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CIP设备清洗废水、</w:t>
            </w:r>
            <w:r>
              <w:rPr>
                <w:rFonts w:hint="eastAsia" w:ascii="Times New Roman" w:hAnsi="Times New Roman" w:cs="Times New Roman"/>
                <w:color w:val="auto"/>
                <w:sz w:val="24"/>
                <w:lang w:val="en-US" w:eastAsia="zh-CN"/>
              </w:rPr>
              <w:t>保洁废水、实验室</w:t>
            </w:r>
            <w:r>
              <w:rPr>
                <w:rFonts w:hint="eastAsia" w:cs="Times New Roman"/>
                <w:color w:val="auto"/>
                <w:sz w:val="24"/>
                <w:lang w:val="en-US" w:eastAsia="zh-CN"/>
              </w:rPr>
              <w:t>清洗</w:t>
            </w:r>
            <w:r>
              <w:rPr>
                <w:rFonts w:hint="eastAsia" w:ascii="Times New Roman" w:hAnsi="Times New Roman" w:cs="Times New Roman"/>
                <w:color w:val="auto"/>
                <w:sz w:val="24"/>
                <w:lang w:val="en-US" w:eastAsia="zh-CN"/>
              </w:rPr>
              <w:t>废水经</w:t>
            </w:r>
            <w:r>
              <w:rPr>
                <w:rFonts w:hint="eastAsia" w:cs="Times New Roman"/>
                <w:color w:val="auto"/>
                <w:sz w:val="24"/>
                <w:lang w:val="en-US" w:eastAsia="zh-CN"/>
              </w:rPr>
              <w:t>废水处理设施处置，</w:t>
            </w:r>
            <w:r>
              <w:rPr>
                <w:rFonts w:hint="default" w:ascii="Times New Roman" w:hAnsi="Times New Roman" w:eastAsia="宋体" w:cs="Times New Roman"/>
                <w:color w:val="auto"/>
                <w:kern w:val="2"/>
                <w:sz w:val="24"/>
                <w:szCs w:val="24"/>
                <w:lang w:val="en-US" w:eastAsia="zh-CN"/>
              </w:rPr>
              <w:t>生活污水经隔油池、化粪池处理，</w:t>
            </w:r>
            <w:r>
              <w:rPr>
                <w:rFonts w:hint="default" w:ascii="Times New Roman" w:hAnsi="Times New Roman" w:cs="Times New Roman"/>
                <w:color w:val="auto"/>
                <w:sz w:val="24"/>
              </w:rPr>
              <w:t>如</w:t>
            </w:r>
            <w:r>
              <w:rPr>
                <w:rFonts w:hint="eastAsia" w:ascii="Times New Roman" w:hAnsi="Times New Roman" w:cs="Times New Roman"/>
                <w:color w:val="auto"/>
                <w:sz w:val="24"/>
                <w:lang w:val="en-US" w:eastAsia="zh-CN"/>
              </w:rPr>
              <w:t>处理设施和</w:t>
            </w:r>
            <w:r>
              <w:rPr>
                <w:rFonts w:hint="default" w:ascii="Times New Roman" w:hAnsi="Times New Roman" w:cs="Times New Roman"/>
                <w:color w:val="auto"/>
                <w:sz w:val="24"/>
                <w:lang w:val="en-US" w:eastAsia="zh-CN"/>
              </w:rPr>
              <w:t>污水</w:t>
            </w:r>
            <w:r>
              <w:rPr>
                <w:rFonts w:hint="default" w:ascii="Times New Roman" w:hAnsi="Times New Roman" w:cs="Times New Roman"/>
                <w:color w:val="auto"/>
                <w:sz w:val="24"/>
              </w:rPr>
              <w:t>管网发生破损，废水将发生泄漏进而污染土壤和地下水环境</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因此应做好防渗工作。</w:t>
            </w:r>
          </w:p>
          <w:p w14:paraId="405AF0A9">
            <w:pPr>
              <w:keepNext w:val="0"/>
              <w:keepLines w:val="0"/>
              <w:widowControl w:val="0"/>
              <w:suppressLineNumbers w:val="0"/>
              <w:adjustRightInd w:val="0"/>
              <w:snapToGrid w:val="0"/>
              <w:spacing w:before="0" w:beforeAutospacing="0" w:after="0" w:afterAutospacing="0" w:line="360" w:lineRule="auto"/>
              <w:ind w:left="0" w:right="0" w:firstLine="482" w:firstLineChars="200"/>
              <w:jc w:val="left"/>
              <w:rPr>
                <w:rFonts w:hint="eastAsia" w:ascii="宋体" w:hAnsi="宋体" w:cs="宋体"/>
                <w:color w:val="auto"/>
                <w:sz w:val="24"/>
              </w:rPr>
            </w:pPr>
            <w:r>
              <w:rPr>
                <w:rFonts w:hint="default" w:ascii="Times New Roman" w:hAnsi="Times New Roman" w:eastAsia="宋体" w:cs="Times New Roman"/>
                <w:b/>
                <w:bCs/>
                <w:color w:val="auto"/>
                <w:kern w:val="2"/>
                <w:sz w:val="24"/>
                <w:szCs w:val="24"/>
                <w:lang w:val="en-US" w:eastAsia="zh-CN" w:bidi="ar-SA"/>
              </w:rPr>
              <w:t>2、污染防治措施</w:t>
            </w:r>
          </w:p>
          <w:p w14:paraId="57BFE0D7">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ascii="宋体" w:hAnsi="宋体" w:cs="宋体"/>
                <w:color w:val="auto"/>
                <w:sz w:val="24"/>
              </w:rPr>
              <w:t>针对可能发生的地下水污染，项目营运期地下水污染防治措施将按照</w:t>
            </w:r>
            <w:r>
              <w:rPr>
                <w:rFonts w:hint="eastAsia" w:ascii="宋体" w:hAnsi="宋体" w:cs="宋体"/>
                <w:color w:val="auto"/>
                <w:sz w:val="24"/>
                <w:lang w:eastAsia="zh-CN"/>
              </w:rPr>
              <w:t>“</w:t>
            </w:r>
            <w:r>
              <w:rPr>
                <w:rFonts w:hint="eastAsia" w:ascii="宋体" w:hAnsi="宋体" w:cs="宋体"/>
                <w:color w:val="auto"/>
                <w:sz w:val="24"/>
              </w:rPr>
              <w:t>源头控制、分区防治、污染监控、应急响应</w:t>
            </w:r>
            <w:r>
              <w:rPr>
                <w:rFonts w:hint="eastAsia" w:ascii="宋体" w:hAnsi="宋体" w:cs="宋体"/>
                <w:color w:val="auto"/>
                <w:sz w:val="24"/>
                <w:lang w:eastAsia="zh-CN"/>
              </w:rPr>
              <w:t>”</w:t>
            </w:r>
            <w:r>
              <w:rPr>
                <w:rFonts w:hint="eastAsia" w:ascii="宋体" w:hAnsi="宋体" w:cs="宋体"/>
                <w:color w:val="auto"/>
                <w:sz w:val="24"/>
              </w:rPr>
              <w:t>相结合的原则，从污染物的产生、入渗、扩散、应急响应全方位进行防控。</w:t>
            </w:r>
          </w:p>
          <w:p w14:paraId="6367A218">
            <w:pPr>
              <w:keepNext w:val="0"/>
              <w:keepLines w:val="0"/>
              <w:suppressLineNumbers w:val="0"/>
              <w:spacing w:before="0" w:beforeAutospacing="0" w:after="0" w:afterAutospacing="0" w:line="360" w:lineRule="auto"/>
              <w:ind w:left="420" w:leftChars="200" w:right="0"/>
              <w:rPr>
                <w:rFonts w:hint="default"/>
                <w:b/>
                <w:bCs/>
                <w:color w:val="auto"/>
                <w:sz w:val="24"/>
              </w:rPr>
            </w:pPr>
            <w:r>
              <w:rPr>
                <w:rFonts w:hint="eastAsia" w:ascii="宋体" w:hAnsi="宋体" w:cs="宋体"/>
                <w:b/>
                <w:bCs/>
                <w:color w:val="auto"/>
                <w:sz w:val="24"/>
                <w:lang w:eastAsia="zh-CN"/>
              </w:rPr>
              <w:t>（</w:t>
            </w:r>
            <w:r>
              <w:rPr>
                <w:rFonts w:hint="eastAsia" w:ascii="宋体" w:hAnsi="宋体" w:cs="宋体"/>
                <w:b/>
                <w:bCs/>
                <w:color w:val="auto"/>
                <w:sz w:val="24"/>
                <w:lang w:val="en-US" w:eastAsia="zh-CN"/>
              </w:rPr>
              <w:t>1</w:t>
            </w:r>
            <w:r>
              <w:rPr>
                <w:rFonts w:hint="eastAsia" w:ascii="宋体" w:hAnsi="宋体" w:cs="宋体"/>
                <w:b/>
                <w:bCs/>
                <w:color w:val="auto"/>
                <w:sz w:val="24"/>
                <w:lang w:eastAsia="zh-CN"/>
              </w:rPr>
              <w:t>）</w:t>
            </w:r>
            <w:r>
              <w:rPr>
                <w:rFonts w:hint="eastAsia" w:ascii="宋体" w:hAnsi="宋体" w:cs="宋体"/>
                <w:b/>
                <w:bCs/>
                <w:color w:val="auto"/>
                <w:sz w:val="24"/>
              </w:rPr>
              <w:t>源头控制措施</w:t>
            </w:r>
          </w:p>
          <w:p w14:paraId="5ABB50EB">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ascii="宋体" w:hAnsi="宋体" w:cs="宋体"/>
                <w:color w:val="auto"/>
                <w:sz w:val="24"/>
              </w:rPr>
              <w:t>项目要选择先进、成熟、可靠的工艺技术和较清洁的原辅材料，并对产生的废物进行合理的回用和治理，以尽可能从源头上减少污染物排放；严格按照国家相关规范要求，对生产装置和车间、管道设备、固废存放库和危险废物临时贮存设施等采取相应措施，以防止和降低污染物的跑、冒、滴、漏，将污染物泄漏的环境风险事故降到最低程度；设备和管线尽量采用</w:t>
            </w:r>
            <w:r>
              <w:rPr>
                <w:rFonts w:hint="default"/>
                <w:color w:val="auto"/>
                <w:sz w:val="24"/>
              </w:rPr>
              <w:t>“</w:t>
            </w:r>
            <w:r>
              <w:rPr>
                <w:rFonts w:hint="eastAsia" w:ascii="宋体" w:hAnsi="宋体" w:cs="宋体"/>
                <w:color w:val="auto"/>
                <w:sz w:val="24"/>
              </w:rPr>
              <w:t>可视化</w:t>
            </w:r>
            <w:r>
              <w:rPr>
                <w:rFonts w:hint="default"/>
                <w:color w:val="auto"/>
                <w:sz w:val="24"/>
              </w:rPr>
              <w:t>”</w:t>
            </w:r>
            <w:r>
              <w:rPr>
                <w:rFonts w:hint="eastAsia" w:ascii="宋体" w:hAnsi="宋体" w:cs="宋体"/>
                <w:color w:val="auto"/>
                <w:sz w:val="24"/>
              </w:rPr>
              <w:t>原则，即尽可能地上敷设和放置，做到污染物</w:t>
            </w:r>
            <w:r>
              <w:rPr>
                <w:rFonts w:hint="default"/>
                <w:color w:val="auto"/>
                <w:sz w:val="24"/>
              </w:rPr>
              <w:t>“</w:t>
            </w:r>
            <w:r>
              <w:rPr>
                <w:rFonts w:hint="eastAsia" w:ascii="宋体" w:hAnsi="宋体" w:cs="宋体"/>
                <w:color w:val="auto"/>
                <w:sz w:val="24"/>
              </w:rPr>
              <w:t>早发现、早处理</w:t>
            </w:r>
            <w:r>
              <w:rPr>
                <w:rFonts w:hint="default"/>
                <w:color w:val="auto"/>
                <w:sz w:val="24"/>
              </w:rPr>
              <w:t>”</w:t>
            </w:r>
            <w:r>
              <w:rPr>
                <w:rFonts w:hint="eastAsia" w:ascii="宋体" w:hAnsi="宋体" w:cs="宋体"/>
                <w:color w:val="auto"/>
                <w:sz w:val="24"/>
              </w:rPr>
              <w:t>；堆放各种原辅材料、固体废物的堆放场地按照国家相关规范要求，采取防泄漏措施，尤其是危险废物临时贮存设施必须按照国家关于危险废物储存处置场的要求，采取防泄漏、防雨水、防腐蚀等措施，严格危险废物的管理，及时将危险废物回收或有资质的危险废物处置单位进行处理处置，严防污染物泄漏到地下水中。原料仓库必须严格按照相关规范，加强管理，做好防泄漏、防雨水、防腐蚀、防火灾、防爆炸等措施。</w:t>
            </w:r>
          </w:p>
          <w:p w14:paraId="146F305E">
            <w:pPr>
              <w:pStyle w:val="105"/>
              <w:keepNext w:val="0"/>
              <w:keepLines w:val="0"/>
              <w:suppressLineNumbers w:val="0"/>
              <w:spacing w:before="0" w:beforeAutospacing="0" w:after="0" w:afterAutospacing="0"/>
              <w:ind w:left="0" w:right="0" w:firstLine="482"/>
              <w:rPr>
                <w:rFonts w:hint="eastAsia" w:ascii="宋体" w:hAnsi="宋体" w:cs="宋体"/>
                <w:color w:val="auto"/>
                <w:sz w:val="24"/>
              </w:rPr>
            </w:pPr>
            <w:r>
              <w:rPr>
                <w:rFonts w:hint="default"/>
                <w:b/>
                <w:color w:val="auto"/>
                <w:sz w:val="24"/>
                <w:szCs w:val="24"/>
              </w:rPr>
              <w:t>（2）分区防控措施</w:t>
            </w:r>
          </w:p>
          <w:p w14:paraId="5CD9CEFF">
            <w:pPr>
              <w:keepNext w:val="0"/>
              <w:keepLines w:val="0"/>
              <w:suppressLineNumbers w:val="0"/>
              <w:spacing w:before="0" w:beforeAutospacing="0" w:after="0" w:afterAutospacing="0" w:line="360" w:lineRule="auto"/>
              <w:ind w:left="0" w:right="0" w:firstLine="480"/>
              <w:rPr>
                <w:rFonts w:hint="eastAsia" w:ascii="宋体" w:hAnsi="宋体" w:cs="宋体"/>
                <w:color w:val="auto"/>
                <w:sz w:val="24"/>
              </w:rPr>
            </w:pPr>
            <w:r>
              <w:rPr>
                <w:rFonts w:hint="eastAsia" w:ascii="宋体" w:hAnsi="宋体" w:cs="宋体"/>
                <w:color w:val="auto"/>
                <w:sz w:val="24"/>
              </w:rPr>
              <w:t>根据项目各功能单元是否可能对地下水造成污染及其风险程度，将项目所在区域划分为重点</w:t>
            </w:r>
            <w:r>
              <w:rPr>
                <w:rFonts w:hint="eastAsia" w:ascii="宋体" w:hAnsi="宋体" w:cs="宋体"/>
                <w:color w:val="auto"/>
                <w:sz w:val="24"/>
                <w:lang w:val="en-US" w:eastAsia="zh-CN"/>
              </w:rPr>
              <w:t>防渗</w:t>
            </w:r>
            <w:r>
              <w:rPr>
                <w:rFonts w:hint="eastAsia" w:ascii="宋体" w:hAnsi="宋体" w:cs="宋体"/>
                <w:color w:val="auto"/>
                <w:sz w:val="24"/>
              </w:rPr>
              <w:t>区、一般</w:t>
            </w:r>
            <w:r>
              <w:rPr>
                <w:rFonts w:hint="eastAsia" w:ascii="宋体" w:hAnsi="宋体" w:cs="宋体"/>
                <w:color w:val="auto"/>
                <w:sz w:val="24"/>
                <w:lang w:val="en-US" w:eastAsia="zh-CN"/>
              </w:rPr>
              <w:t>防渗</w:t>
            </w:r>
            <w:r>
              <w:rPr>
                <w:rFonts w:hint="eastAsia" w:ascii="宋体" w:hAnsi="宋体" w:cs="宋体"/>
                <w:color w:val="auto"/>
                <w:sz w:val="24"/>
              </w:rPr>
              <w:t>区和</w:t>
            </w:r>
            <w:r>
              <w:rPr>
                <w:rFonts w:hint="eastAsia" w:ascii="宋体" w:hAnsi="宋体" w:cs="宋体"/>
                <w:color w:val="auto"/>
                <w:sz w:val="24"/>
                <w:lang w:val="en-US" w:eastAsia="zh-CN"/>
              </w:rPr>
              <w:t>简单防渗区</w:t>
            </w:r>
            <w:r>
              <w:rPr>
                <w:rFonts w:hint="eastAsia" w:ascii="宋体" w:hAnsi="宋体" w:cs="宋体"/>
                <w:color w:val="auto"/>
                <w:sz w:val="24"/>
              </w:rPr>
              <w:t>。重点</w:t>
            </w:r>
            <w:r>
              <w:rPr>
                <w:rFonts w:hint="eastAsia" w:ascii="宋体" w:hAnsi="宋体" w:cs="宋体"/>
                <w:color w:val="auto"/>
                <w:sz w:val="24"/>
                <w:lang w:val="en-US" w:eastAsia="zh-CN"/>
              </w:rPr>
              <w:t>防渗</w:t>
            </w:r>
            <w:r>
              <w:rPr>
                <w:rFonts w:hint="eastAsia" w:ascii="宋体" w:hAnsi="宋体" w:cs="宋体"/>
                <w:color w:val="auto"/>
                <w:sz w:val="24"/>
              </w:rPr>
              <w:t>区是可能会对地下水造成污染，风险程度较高或污染物浓度较高，需要重点防治或者需要重点保护的区域，一般</w:t>
            </w:r>
            <w:r>
              <w:rPr>
                <w:rFonts w:hint="eastAsia" w:ascii="宋体" w:hAnsi="宋体" w:cs="宋体"/>
                <w:color w:val="auto"/>
                <w:sz w:val="24"/>
                <w:lang w:val="en-US" w:eastAsia="zh-CN"/>
              </w:rPr>
              <w:t>防渗</w:t>
            </w:r>
            <w:r>
              <w:rPr>
                <w:rFonts w:hint="eastAsia" w:ascii="宋体" w:hAnsi="宋体" w:cs="宋体"/>
                <w:color w:val="auto"/>
                <w:sz w:val="24"/>
              </w:rPr>
              <w:t>区是可能会对地下水造成污染，但危害性或风险程度相对较低的区域，</w:t>
            </w:r>
            <w:r>
              <w:rPr>
                <w:rFonts w:hint="eastAsia" w:ascii="宋体" w:hAnsi="宋体" w:cs="宋体"/>
                <w:color w:val="auto"/>
                <w:sz w:val="24"/>
                <w:lang w:val="en-US" w:eastAsia="zh-CN"/>
              </w:rPr>
              <w:t>简单防渗区</w:t>
            </w:r>
            <w:r>
              <w:rPr>
                <w:rFonts w:hint="eastAsia" w:ascii="宋体" w:hAnsi="宋体" w:cs="宋体"/>
                <w:color w:val="auto"/>
                <w:sz w:val="24"/>
              </w:rPr>
              <w:t>为不会对地下水造成污染的区域。</w:t>
            </w:r>
          </w:p>
          <w:p w14:paraId="44F5D45A">
            <w:pPr>
              <w:keepNext w:val="0"/>
              <w:keepLines w:val="0"/>
              <w:suppressLineNumbers w:val="0"/>
              <w:spacing w:before="0" w:beforeAutospacing="0" w:after="0" w:afterAutospacing="0" w:line="360" w:lineRule="auto"/>
              <w:ind w:left="0" w:right="0" w:firstLine="480"/>
              <w:rPr>
                <w:rFonts w:hint="default" w:ascii="宋体" w:hAnsi="宋体" w:cs="宋体"/>
                <w:color w:val="auto"/>
                <w:sz w:val="24"/>
              </w:rPr>
            </w:pPr>
            <w:r>
              <w:rPr>
                <w:rFonts w:hint="eastAsia" w:ascii="宋体" w:hAnsi="宋体" w:cs="宋体"/>
                <w:color w:val="auto"/>
                <w:sz w:val="24"/>
              </w:rPr>
              <w:t>项目区域分区防渗类别以及防渗具体要求如下：</w:t>
            </w:r>
          </w:p>
          <w:p w14:paraId="5DDAAC8D">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ascii="宋体" w:hAnsi="宋体" w:cs="宋体"/>
                <w:color w:val="auto"/>
                <w:sz w:val="24"/>
              </w:rPr>
              <w:t>重点</w:t>
            </w:r>
            <w:r>
              <w:rPr>
                <w:rFonts w:hint="eastAsia" w:ascii="宋体" w:hAnsi="宋体" w:cs="宋体"/>
                <w:color w:val="auto"/>
                <w:sz w:val="24"/>
                <w:lang w:val="en-US" w:eastAsia="zh-CN"/>
              </w:rPr>
              <w:t>防渗</w:t>
            </w:r>
            <w:r>
              <w:rPr>
                <w:rFonts w:hint="eastAsia" w:ascii="宋体" w:hAnsi="宋体" w:cs="宋体"/>
                <w:color w:val="auto"/>
                <w:sz w:val="24"/>
              </w:rPr>
              <w:t>区</w:t>
            </w:r>
            <w:r>
              <w:rPr>
                <w:rFonts w:hint="default"/>
                <w:color w:val="auto"/>
                <w:sz w:val="24"/>
              </w:rPr>
              <w:t>，主要包括</w:t>
            </w:r>
            <w:r>
              <w:rPr>
                <w:rFonts w:hint="eastAsia"/>
                <w:color w:val="auto"/>
                <w:sz w:val="24"/>
                <w:lang w:val="en-US" w:eastAsia="zh-CN"/>
              </w:rPr>
              <w:t>废水处理设施、危废暂存间</w:t>
            </w:r>
            <w:r>
              <w:rPr>
                <w:rFonts w:hint="default"/>
                <w:color w:val="auto"/>
                <w:sz w:val="24"/>
              </w:rPr>
              <w:t>，其</w:t>
            </w:r>
            <w:r>
              <w:rPr>
                <w:rFonts w:hint="eastAsia"/>
                <w:color w:val="auto"/>
                <w:sz w:val="24"/>
                <w:lang w:val="en-US" w:eastAsia="zh-CN"/>
              </w:rPr>
              <w:t>等</w:t>
            </w:r>
            <w:r>
              <w:rPr>
                <w:rFonts w:hint="default"/>
                <w:color w:val="auto"/>
                <w:sz w:val="24"/>
              </w:rPr>
              <w:t>效黏土防渗层Mb≥6.0m，K≤1×10</w:t>
            </w:r>
            <w:r>
              <w:rPr>
                <w:rFonts w:hint="default"/>
                <w:color w:val="auto"/>
                <w:sz w:val="24"/>
                <w:vertAlign w:val="superscript"/>
              </w:rPr>
              <w:t>-</w:t>
            </w:r>
            <w:r>
              <w:rPr>
                <w:rFonts w:hint="eastAsia" w:ascii="Times New Roman" w:eastAsia="宋体"/>
                <w:color w:val="auto"/>
                <w:sz w:val="24"/>
                <w:vertAlign w:val="superscript"/>
                <w:lang w:val="en-US" w:eastAsia="zh-CN"/>
              </w:rPr>
              <w:t>10</w:t>
            </w:r>
            <w:r>
              <w:rPr>
                <w:rFonts w:hint="default"/>
                <w:color w:val="auto"/>
                <w:sz w:val="24"/>
              </w:rPr>
              <w:t>cm/s；一般防渗区，主要</w:t>
            </w:r>
            <w:r>
              <w:rPr>
                <w:rFonts w:hint="eastAsia"/>
                <w:color w:val="auto"/>
                <w:sz w:val="24"/>
                <w:lang w:val="en-US" w:eastAsia="zh-CN"/>
              </w:rPr>
              <w:t>生产</w:t>
            </w:r>
            <w:r>
              <w:rPr>
                <w:rFonts w:hint="eastAsia"/>
                <w:color w:val="auto"/>
                <w:sz w:val="24"/>
              </w:rPr>
              <w:t>区域</w:t>
            </w:r>
            <w:r>
              <w:rPr>
                <w:rFonts w:hint="default"/>
                <w:color w:val="auto"/>
                <w:sz w:val="24"/>
              </w:rPr>
              <w:t>，其等效黏土防渗层Mb≥1.5m，K≤1×10</w:t>
            </w:r>
            <w:r>
              <w:rPr>
                <w:rFonts w:hint="default"/>
                <w:color w:val="auto"/>
                <w:sz w:val="24"/>
                <w:vertAlign w:val="superscript"/>
              </w:rPr>
              <w:t>-7</w:t>
            </w:r>
            <w:r>
              <w:rPr>
                <w:rFonts w:hint="default"/>
                <w:color w:val="auto"/>
                <w:sz w:val="24"/>
              </w:rPr>
              <w:t>cm/s；简单防渗区，主要包括</w:t>
            </w:r>
            <w:r>
              <w:rPr>
                <w:rFonts w:hint="eastAsia" w:ascii="Times New Roman" w:eastAsia="宋体"/>
                <w:color w:val="auto"/>
                <w:sz w:val="24"/>
                <w:lang w:val="en-US" w:eastAsia="zh-CN"/>
              </w:rPr>
              <w:t>厂区道路</w:t>
            </w:r>
            <w:r>
              <w:rPr>
                <w:rFonts w:hint="default"/>
                <w:color w:val="auto"/>
                <w:sz w:val="24"/>
                <w:lang w:val="zh-CN"/>
              </w:rPr>
              <w:t>等，采取一般地面硬化的措施。</w:t>
            </w:r>
          </w:p>
          <w:p w14:paraId="09C0A0F9">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厂区分区防渗一览表</w:t>
            </w:r>
          </w:p>
          <w:tbl>
            <w:tblPr>
              <w:tblStyle w:val="35"/>
              <w:tblW w:w="8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3059"/>
              <w:gridCol w:w="4339"/>
            </w:tblGrid>
            <w:tr w14:paraId="0CF4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341" w:type="dxa"/>
                  <w:vAlign w:val="center"/>
                </w:tcPr>
                <w:p w14:paraId="6B2C1471">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防渗分区</w:t>
                  </w:r>
                </w:p>
              </w:tc>
              <w:tc>
                <w:tcPr>
                  <w:tcW w:w="3059" w:type="dxa"/>
                  <w:vAlign w:val="center"/>
                </w:tcPr>
                <w:p w14:paraId="162BA2DA">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本项目</w:t>
                  </w:r>
                </w:p>
              </w:tc>
              <w:tc>
                <w:tcPr>
                  <w:tcW w:w="4339" w:type="dxa"/>
                  <w:vAlign w:val="center"/>
                </w:tcPr>
                <w:p w14:paraId="696949F6">
                  <w:pPr>
                    <w:keepNext w:val="0"/>
                    <w:keepLines w:val="0"/>
                    <w:suppressLineNumbers w:val="0"/>
                    <w:spacing w:before="0" w:beforeAutospacing="0" w:after="0" w:afterAutospacing="0"/>
                    <w:ind w:left="0" w:right="0"/>
                    <w:jc w:val="center"/>
                    <w:rPr>
                      <w:rFonts w:hint="eastAsia"/>
                      <w:color w:val="auto"/>
                      <w:szCs w:val="21"/>
                    </w:rPr>
                  </w:pPr>
                  <w:r>
                    <w:rPr>
                      <w:rFonts w:hint="eastAsia"/>
                      <w:color w:val="auto"/>
                    </w:rPr>
                    <w:t>防渗技术要求</w:t>
                  </w:r>
                </w:p>
              </w:tc>
            </w:tr>
            <w:tr w14:paraId="0164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341" w:type="dxa"/>
                  <w:vAlign w:val="center"/>
                </w:tcPr>
                <w:p w14:paraId="625D06E2">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重点防渗</w:t>
                  </w:r>
                </w:p>
              </w:tc>
              <w:tc>
                <w:tcPr>
                  <w:tcW w:w="3059" w:type="dxa"/>
                  <w:vAlign w:val="center"/>
                </w:tcPr>
                <w:p w14:paraId="5CADD90E">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废水处理设施、危废暂存间</w:t>
                  </w:r>
                </w:p>
              </w:tc>
              <w:tc>
                <w:tcPr>
                  <w:tcW w:w="4339" w:type="dxa"/>
                  <w:vAlign w:val="center"/>
                </w:tcPr>
                <w:p w14:paraId="44BAE751">
                  <w:pPr>
                    <w:keepNext w:val="0"/>
                    <w:keepLines w:val="0"/>
                    <w:suppressLineNumbers w:val="0"/>
                    <w:spacing w:before="0" w:beforeAutospacing="0" w:after="0" w:afterAutospacing="0"/>
                    <w:ind w:left="0" w:right="0"/>
                    <w:jc w:val="center"/>
                    <w:rPr>
                      <w:rFonts w:hint="eastAsia"/>
                      <w:bCs/>
                      <w:color w:val="auto"/>
                      <w:spacing w:val="-8"/>
                      <w:szCs w:val="21"/>
                    </w:rPr>
                  </w:pPr>
                  <w:r>
                    <w:rPr>
                      <w:rFonts w:hint="default"/>
                      <w:color w:val="auto"/>
                    </w:rPr>
                    <w:t>等效黏土防渗层Mb≥6.0m，K≤1.0×10</w:t>
                  </w:r>
                  <w:r>
                    <w:rPr>
                      <w:rFonts w:hint="default"/>
                      <w:color w:val="auto"/>
                      <w:vertAlign w:val="superscript"/>
                    </w:rPr>
                    <w:t>-</w:t>
                  </w:r>
                  <w:r>
                    <w:rPr>
                      <w:rFonts w:hint="eastAsia" w:ascii="Times New Roman" w:eastAsia="宋体"/>
                      <w:color w:val="auto"/>
                      <w:vertAlign w:val="superscript"/>
                      <w:lang w:val="en-US" w:eastAsia="zh-CN"/>
                    </w:rPr>
                    <w:t>10</w:t>
                  </w:r>
                  <w:r>
                    <w:rPr>
                      <w:rFonts w:hint="default"/>
                      <w:color w:val="auto"/>
                    </w:rPr>
                    <w:t>cm/s；或参照GB18598执行</w:t>
                  </w:r>
                </w:p>
              </w:tc>
            </w:tr>
            <w:tr w14:paraId="2F9A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341" w:type="dxa"/>
                  <w:vAlign w:val="center"/>
                </w:tcPr>
                <w:p w14:paraId="5A0E2BEE">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一般防渗</w:t>
                  </w:r>
                </w:p>
              </w:tc>
              <w:tc>
                <w:tcPr>
                  <w:tcW w:w="3059" w:type="dxa"/>
                  <w:vAlign w:val="center"/>
                </w:tcPr>
                <w:p w14:paraId="5191B21D">
                  <w:pPr>
                    <w:keepNext w:val="0"/>
                    <w:keepLines w:val="0"/>
                    <w:suppressLineNumbers w:val="0"/>
                    <w:spacing w:before="0" w:beforeAutospacing="0" w:after="0" w:afterAutospacing="0"/>
                    <w:ind w:left="0" w:right="0"/>
                    <w:jc w:val="center"/>
                    <w:rPr>
                      <w:rFonts w:hint="eastAsia"/>
                      <w:color w:val="auto"/>
                      <w:szCs w:val="21"/>
                    </w:rPr>
                  </w:pPr>
                  <w:r>
                    <w:rPr>
                      <w:rFonts w:hint="eastAsia" w:ascii="Times New Roman" w:eastAsia="宋体"/>
                      <w:color w:val="auto"/>
                      <w:sz w:val="21"/>
                      <w:szCs w:val="21"/>
                      <w:lang w:val="en-US" w:eastAsia="zh-CN"/>
                    </w:rPr>
                    <w:t>生产</w:t>
                  </w:r>
                  <w:r>
                    <w:rPr>
                      <w:rFonts w:hint="eastAsia"/>
                      <w:color w:val="auto"/>
                      <w:sz w:val="21"/>
                      <w:szCs w:val="21"/>
                    </w:rPr>
                    <w:t>区域</w:t>
                  </w:r>
                  <w:r>
                    <w:rPr>
                      <w:rFonts w:hint="eastAsia" w:ascii="Times New Roman" w:hAnsi="Times New Roman" w:eastAsia="宋体" w:cs="Times New Roman"/>
                      <w:bCs/>
                      <w:color w:val="auto"/>
                      <w:kern w:val="28"/>
                      <w:sz w:val="21"/>
                      <w:szCs w:val="21"/>
                      <w:lang w:eastAsia="zh-CN"/>
                    </w:rPr>
                    <w:t>（依托租赁）</w:t>
                  </w:r>
                </w:p>
              </w:tc>
              <w:tc>
                <w:tcPr>
                  <w:tcW w:w="4339" w:type="dxa"/>
                  <w:vAlign w:val="center"/>
                </w:tcPr>
                <w:p w14:paraId="2BD16CE9">
                  <w:pPr>
                    <w:keepNext w:val="0"/>
                    <w:keepLines w:val="0"/>
                    <w:suppressLineNumbers w:val="0"/>
                    <w:spacing w:before="0" w:beforeAutospacing="0" w:after="0" w:afterAutospacing="0"/>
                    <w:ind w:left="0" w:right="0"/>
                    <w:jc w:val="center"/>
                    <w:rPr>
                      <w:rFonts w:hint="eastAsia"/>
                      <w:color w:val="auto"/>
                      <w:szCs w:val="21"/>
                    </w:rPr>
                  </w:pPr>
                  <w:r>
                    <w:rPr>
                      <w:rFonts w:hint="default"/>
                      <w:color w:val="auto"/>
                    </w:rPr>
                    <w:t>等效黏土防渗层Mb≥1.5m，K≤1.0×10</w:t>
                  </w:r>
                  <w:r>
                    <w:rPr>
                      <w:rFonts w:hint="default"/>
                      <w:color w:val="auto"/>
                      <w:vertAlign w:val="superscript"/>
                    </w:rPr>
                    <w:t>-7</w:t>
                  </w:r>
                  <w:r>
                    <w:rPr>
                      <w:rFonts w:hint="default"/>
                      <w:color w:val="auto"/>
                    </w:rPr>
                    <w:t>cm/s；或参照GB16889执行</w:t>
                  </w:r>
                </w:p>
              </w:tc>
            </w:tr>
            <w:tr w14:paraId="7CF3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341" w:type="dxa"/>
                  <w:vAlign w:val="center"/>
                </w:tcPr>
                <w:p w14:paraId="7916D272">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简单防渗</w:t>
                  </w:r>
                </w:p>
              </w:tc>
              <w:tc>
                <w:tcPr>
                  <w:tcW w:w="3059" w:type="dxa"/>
                  <w:vAlign w:val="center"/>
                </w:tcPr>
                <w:p w14:paraId="42F13EB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厂区道路等</w:t>
                  </w:r>
                  <w:r>
                    <w:rPr>
                      <w:rFonts w:hint="eastAsia" w:ascii="Times New Roman" w:hAnsi="Times New Roman" w:eastAsia="宋体" w:cs="Times New Roman"/>
                      <w:bCs/>
                      <w:color w:val="auto"/>
                      <w:kern w:val="28"/>
                      <w:sz w:val="21"/>
                      <w:szCs w:val="21"/>
                      <w:lang w:eastAsia="zh-CN"/>
                    </w:rPr>
                    <w:t>（依托租赁）</w:t>
                  </w:r>
                </w:p>
              </w:tc>
              <w:tc>
                <w:tcPr>
                  <w:tcW w:w="4339" w:type="dxa"/>
                  <w:vAlign w:val="center"/>
                </w:tcPr>
                <w:p w14:paraId="6403E9C2">
                  <w:pPr>
                    <w:keepNext w:val="0"/>
                    <w:keepLines w:val="0"/>
                    <w:suppressLineNumbers w:val="0"/>
                    <w:spacing w:before="0" w:beforeAutospacing="0" w:after="0" w:afterAutospacing="0"/>
                    <w:ind w:left="0" w:right="0"/>
                    <w:jc w:val="center"/>
                    <w:rPr>
                      <w:rFonts w:hint="eastAsia"/>
                      <w:color w:val="auto"/>
                      <w:szCs w:val="21"/>
                    </w:rPr>
                  </w:pPr>
                  <w:r>
                    <w:rPr>
                      <w:rFonts w:hint="default"/>
                      <w:color w:val="auto"/>
                    </w:rPr>
                    <w:t>混凝土硬化</w:t>
                  </w:r>
                </w:p>
              </w:tc>
            </w:tr>
          </w:tbl>
          <w:p w14:paraId="6FCE1036">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bCs/>
                <w:color w:val="auto"/>
                <w:sz w:val="24"/>
              </w:rPr>
            </w:pPr>
            <w:r>
              <w:rPr>
                <w:rFonts w:hint="eastAsia" w:ascii="宋体" w:hAnsi="宋体" w:cs="宋体"/>
                <w:color w:val="auto"/>
                <w:sz w:val="24"/>
              </w:rPr>
              <w:t>综上所述，在采取上述处理措施后，项目对地下水</w:t>
            </w:r>
            <w:r>
              <w:rPr>
                <w:rFonts w:hint="eastAsia" w:ascii="宋体" w:hAnsi="宋体" w:cs="宋体"/>
                <w:color w:val="auto"/>
                <w:sz w:val="24"/>
                <w:lang w:val="en-US" w:eastAsia="zh-CN"/>
              </w:rPr>
              <w:t>和土壤</w:t>
            </w:r>
            <w:r>
              <w:rPr>
                <w:rFonts w:hint="eastAsia" w:ascii="宋体" w:hAnsi="宋体" w:cs="宋体"/>
                <w:color w:val="auto"/>
                <w:sz w:val="24"/>
              </w:rPr>
              <w:t>造成的影响较小。</w:t>
            </w:r>
          </w:p>
          <w:p w14:paraId="3609F14C">
            <w:pPr>
              <w:keepNext w:val="0"/>
              <w:keepLines w:val="0"/>
              <w:suppressLineNumbers w:val="0"/>
              <w:snapToGrid w:val="0"/>
              <w:spacing w:before="0" w:beforeAutospacing="0" w:after="0" w:afterAutospacing="0" w:line="360" w:lineRule="auto"/>
              <w:ind w:left="0" w:right="0" w:firstLine="17" w:firstLineChars="7"/>
              <w:jc w:val="left"/>
              <w:rPr>
                <w:rFonts w:hint="default"/>
                <w:b/>
                <w:snapToGrid w:val="0"/>
                <w:color w:val="auto"/>
                <w:kern w:val="0"/>
                <w:sz w:val="24"/>
              </w:rPr>
            </w:pPr>
            <w:r>
              <w:rPr>
                <w:rFonts w:hint="default"/>
                <w:b/>
                <w:snapToGrid w:val="0"/>
                <w:color w:val="auto"/>
                <w:kern w:val="0"/>
                <w:sz w:val="24"/>
              </w:rPr>
              <w:t>4.6环境风险影响分析</w:t>
            </w:r>
          </w:p>
          <w:p w14:paraId="47D7FC1A">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highlight w:val="none"/>
              </w:rPr>
            </w:pPr>
            <w:r>
              <w:rPr>
                <w:rFonts w:hint="default"/>
                <w:b/>
                <w:bCs w:val="0"/>
                <w:color w:val="auto"/>
                <w:sz w:val="24"/>
                <w:szCs w:val="24"/>
              </w:rPr>
              <w:t>1、</w:t>
            </w:r>
            <w:r>
              <w:rPr>
                <w:rFonts w:hint="default" w:ascii="Times New Roman" w:hAnsi="Times New Roman" w:eastAsia="宋体" w:cs="Times New Roman"/>
                <w:b/>
                <w:color w:val="auto"/>
                <w:sz w:val="24"/>
                <w:highlight w:val="none"/>
              </w:rPr>
              <w:t>风险物质调查</w:t>
            </w:r>
          </w:p>
          <w:p w14:paraId="21D6631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本次评价针对项目涉及的原辅材料、三废、产品等进行物质危险性识别，对照《建设项目环境风险评价技术导则》（HJ 169-2018）附录B，本项目</w:t>
            </w:r>
            <w:r>
              <w:rPr>
                <w:rFonts w:hint="default" w:ascii="Times New Roman" w:hAnsi="Times New Roman" w:eastAsia="宋体" w:cs="Times New Roman"/>
                <w:color w:val="auto"/>
                <w:kern w:val="0"/>
                <w:sz w:val="24"/>
                <w:highlight w:val="none"/>
              </w:rPr>
              <w:t>涉及《建设项目环境风险评价技术导则》（HJ 169-2018）附录B的环境风险物质存在于天然气、</w:t>
            </w:r>
            <w:r>
              <w:rPr>
                <w:rFonts w:hint="eastAsia" w:cs="Times New Roman"/>
                <w:color w:val="auto"/>
                <w:kern w:val="0"/>
                <w:sz w:val="24"/>
                <w:highlight w:val="none"/>
                <w:lang w:val="en-US" w:eastAsia="zh-CN"/>
              </w:rPr>
              <w:t>氢氧化钠</w:t>
            </w:r>
            <w:r>
              <w:rPr>
                <w:rFonts w:hint="default" w:ascii="Times New Roman" w:hAnsi="Times New Roman" w:eastAsia="宋体" w:cs="Times New Roman"/>
                <w:color w:val="auto"/>
                <w:kern w:val="0"/>
                <w:sz w:val="24"/>
                <w:highlight w:val="none"/>
              </w:rPr>
              <w:t>中</w:t>
            </w:r>
            <w:r>
              <w:rPr>
                <w:rFonts w:hint="default" w:ascii="Times New Roman" w:hAnsi="Times New Roman" w:eastAsia="宋体" w:cs="Times New Roman"/>
                <w:color w:val="auto"/>
                <w:sz w:val="24"/>
                <w:highlight w:val="none"/>
              </w:rPr>
              <w:t>。</w:t>
            </w:r>
          </w:p>
          <w:p w14:paraId="31415AA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计算所涉及的每种危险物质在厂界内的最大存在总量与其在附录 B 中对应临界量的比值Q。在不同厂区的同一种物质，按其在厂界内的最大存在总量计算。按照根据《建设项目环境风险评价技术导则》（HJ169-2018）附录C，当存在多种危险物质时，Q 按下式进行计算：</w:t>
            </w:r>
          </w:p>
          <w:p w14:paraId="0DF532CD">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0"/>
                <w:sz w:val="24"/>
                <w:highlight w:val="none"/>
              </w:rPr>
              <w:object>
                <v:shape id="_x0000_i1036" o:spt="75" type="#_x0000_t75" style="height:34pt;width:98pt;" o:ole="t" filled="f" stroked="f" coordsize="21600,21600">
                  <v:path/>
                  <v:fill on="f" focussize="0,0"/>
                  <v:stroke on="f"/>
                  <v:imagedata r:id="rId41" embosscolor="#FFFFFF" o:title=""/>
                  <o:lock v:ext="edit" aspectratio="t"/>
                  <w10:wrap type="none"/>
                  <w10:anchorlock/>
                </v:shape>
                <o:OLEObject Type="Embed" ProgID="Equation.KSEE3" ShapeID="_x0000_i1036" DrawAspect="Content" ObjectID="_1468075736" r:id="rId40">
                  <o:LockedField>false</o:LockedField>
                </o:OLEObject>
              </w:object>
            </w:r>
          </w:p>
          <w:p w14:paraId="55534BA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式中：q</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n</w:t>
            </w:r>
            <w:r>
              <w:rPr>
                <w:rFonts w:hint="default" w:ascii="Times New Roman" w:hAnsi="Times New Roman" w:eastAsia="宋体" w:cs="Times New Roman"/>
                <w:color w:val="auto"/>
                <w:sz w:val="24"/>
                <w:highlight w:val="none"/>
              </w:rPr>
              <w:t>——每种危险物质的最大存在量，t；</w:t>
            </w:r>
          </w:p>
          <w:p w14:paraId="197CCD64">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n</w:t>
            </w:r>
            <w:r>
              <w:rPr>
                <w:rFonts w:hint="default" w:ascii="Times New Roman" w:hAnsi="Times New Roman" w:eastAsia="宋体" w:cs="Times New Roman"/>
                <w:color w:val="auto"/>
                <w:sz w:val="24"/>
                <w:highlight w:val="none"/>
              </w:rPr>
              <w:t>—每种危险物质的临界量，t。</w:t>
            </w:r>
          </w:p>
          <w:p w14:paraId="618927A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 Q＜1 时，该项目环境风险潜势为I。</w:t>
            </w:r>
          </w:p>
          <w:p w14:paraId="2208E23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 Q≥1 时，将Q值划分为：(1)1≤Q＜10；(2)10≤Q＜100；(3)Q≥100。</w:t>
            </w:r>
          </w:p>
          <w:p w14:paraId="5F0F097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项目Q值判断见下表。</w:t>
            </w:r>
          </w:p>
          <w:p w14:paraId="69B5854E">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lang w:val="en-US" w:eastAsia="zh-CN"/>
              </w:rPr>
              <w:t>本项目主要危险物质数量及分布情况一览表</w:t>
            </w:r>
          </w:p>
          <w:tbl>
            <w:tblPr>
              <w:tblStyle w:val="35"/>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8"/>
              <w:gridCol w:w="2523"/>
              <w:gridCol w:w="2007"/>
              <w:gridCol w:w="1491"/>
            </w:tblGrid>
            <w:tr w14:paraId="11CF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08" w:type="dxa"/>
                  <w:tcBorders>
                    <w:top w:val="single" w:color="auto" w:sz="4" w:space="0"/>
                    <w:left w:val="single" w:color="auto" w:sz="4" w:space="0"/>
                    <w:bottom w:val="single" w:color="auto" w:sz="4" w:space="0"/>
                    <w:right w:val="single" w:color="auto" w:sz="4" w:space="0"/>
                  </w:tcBorders>
                  <w:vAlign w:val="center"/>
                </w:tcPr>
                <w:p w14:paraId="5025C99D">
                  <w:pPr>
                    <w:keepNext w:val="0"/>
                    <w:keepLines w:val="0"/>
                    <w:widowControl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名称</w:t>
                  </w:r>
                </w:p>
              </w:tc>
              <w:tc>
                <w:tcPr>
                  <w:tcW w:w="2523" w:type="dxa"/>
                  <w:tcBorders>
                    <w:top w:val="single" w:color="auto" w:sz="4" w:space="0"/>
                    <w:left w:val="single" w:color="auto" w:sz="4" w:space="0"/>
                    <w:bottom w:val="single" w:color="auto" w:sz="4" w:space="0"/>
                    <w:right w:val="single" w:color="auto" w:sz="4" w:space="0"/>
                  </w:tcBorders>
                  <w:vAlign w:val="center"/>
                </w:tcPr>
                <w:p w14:paraId="7F7D4F74">
                  <w:pPr>
                    <w:keepNext w:val="0"/>
                    <w:keepLines w:val="0"/>
                    <w:widowControl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spacing w:val="13"/>
                      <w:kern w:val="0"/>
                      <w:sz w:val="21"/>
                      <w:szCs w:val="21"/>
                      <w:lang w:val="en-US" w:eastAsia="zh-CN"/>
                    </w:rPr>
                    <w:t>储存地点</w:t>
                  </w:r>
                </w:p>
              </w:tc>
              <w:tc>
                <w:tcPr>
                  <w:tcW w:w="2007" w:type="dxa"/>
                  <w:tcBorders>
                    <w:top w:val="single" w:color="auto" w:sz="4" w:space="0"/>
                    <w:left w:val="single" w:color="auto" w:sz="4" w:space="0"/>
                    <w:bottom w:val="single" w:color="auto" w:sz="4" w:space="0"/>
                    <w:right w:val="single" w:color="auto" w:sz="4" w:space="0"/>
                  </w:tcBorders>
                  <w:vAlign w:val="center"/>
                </w:tcPr>
                <w:p w14:paraId="402F3379">
                  <w:pPr>
                    <w:pStyle w:val="31"/>
                    <w:keepNext w:val="0"/>
                    <w:keepLines w:val="0"/>
                    <w:widowControl/>
                    <w:suppressLineNumbers w:val="0"/>
                    <w:tabs>
                      <w:tab w:val="left" w:pos="995"/>
                    </w:tabs>
                    <w:spacing w:before="0" w:beforeAutospacing="0" w:after="0" w:afterAutospacing="0"/>
                    <w:ind w:left="-63" w:leftChars="-30" w:right="-63" w:rightChars="-3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最大储存量（t）</w:t>
                  </w:r>
                </w:p>
              </w:tc>
              <w:tc>
                <w:tcPr>
                  <w:tcW w:w="1491" w:type="dxa"/>
                  <w:tcBorders>
                    <w:top w:val="single" w:color="auto" w:sz="4" w:space="0"/>
                    <w:left w:val="single" w:color="auto" w:sz="4" w:space="0"/>
                    <w:bottom w:val="single" w:color="auto" w:sz="4" w:space="0"/>
                    <w:right w:val="single" w:color="auto" w:sz="4" w:space="0"/>
                  </w:tcBorders>
                  <w:vAlign w:val="center"/>
                </w:tcPr>
                <w:p w14:paraId="5A435B74">
                  <w:pPr>
                    <w:pStyle w:val="31"/>
                    <w:keepNext w:val="0"/>
                    <w:keepLines w:val="0"/>
                    <w:widowControl/>
                    <w:suppressLineNumbers w:val="0"/>
                    <w:tabs>
                      <w:tab w:val="left" w:pos="995"/>
                    </w:tabs>
                    <w:spacing w:before="0" w:beforeAutospacing="0" w:after="0" w:afterAutospacing="0"/>
                    <w:ind w:left="-63" w:leftChars="-30" w:right="-63" w:rightChars="-3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在线量（t）</w:t>
                  </w:r>
                </w:p>
              </w:tc>
            </w:tr>
            <w:tr w14:paraId="0CBC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108" w:type="dxa"/>
                  <w:tcBorders>
                    <w:top w:val="single" w:color="auto" w:sz="4" w:space="0"/>
                    <w:left w:val="single" w:color="auto" w:sz="4" w:space="0"/>
                    <w:bottom w:val="single" w:color="auto" w:sz="4" w:space="0"/>
                    <w:right w:val="single" w:color="auto" w:sz="4" w:space="0"/>
                  </w:tcBorders>
                  <w:vAlign w:val="center"/>
                </w:tcPr>
                <w:p w14:paraId="0A581E83">
                  <w:pPr>
                    <w:keepNext w:val="0"/>
                    <w:keepLines w:val="0"/>
                    <w:widowControl w:val="0"/>
                    <w:suppressLineNumbers w:val="0"/>
                    <w:spacing w:before="0" w:beforeAutospacing="0" w:after="0" w:afterAutospacing="0"/>
                    <w:ind w:left="-63" w:leftChars="-30" w:right="-63" w:rightChars="-30"/>
                    <w:jc w:val="center"/>
                    <w:rPr>
                      <w:rFonts w:hint="eastAsia" w:ascii="Times New Roman" w:hAnsi="Times New Roman" w:eastAsia="宋体" w:cs="Times New Roman"/>
                      <w:color w:val="auto"/>
                      <w:spacing w:val="13"/>
                      <w:kern w:val="0"/>
                      <w:sz w:val="21"/>
                      <w:szCs w:val="21"/>
                      <w:lang w:val="en-US" w:eastAsia="zh-CN"/>
                    </w:rPr>
                  </w:pPr>
                  <w:r>
                    <w:rPr>
                      <w:rFonts w:hint="eastAsia" w:cs="Times New Roman"/>
                      <w:color w:val="auto"/>
                      <w:spacing w:val="13"/>
                      <w:kern w:val="0"/>
                      <w:sz w:val="21"/>
                      <w:szCs w:val="21"/>
                      <w:lang w:val="en-US" w:eastAsia="zh-CN"/>
                    </w:rPr>
                    <w:t>盐酸</w:t>
                  </w:r>
                  <w:r>
                    <w:rPr>
                      <w:rFonts w:hint="default" w:ascii="Times New Roman" w:hAnsi="Times New Roman" w:cs="Times New Roman"/>
                      <w:color w:val="auto"/>
                      <w:spacing w:val="13"/>
                      <w:kern w:val="0"/>
                      <w:sz w:val="21"/>
                      <w:szCs w:val="21"/>
                      <w:lang w:val="en-US" w:eastAsia="zh-CN"/>
                    </w:rPr>
                    <w:t>（≥37%）</w:t>
                  </w:r>
                </w:p>
              </w:tc>
              <w:tc>
                <w:tcPr>
                  <w:tcW w:w="2523" w:type="dxa"/>
                  <w:tcBorders>
                    <w:top w:val="single" w:color="auto" w:sz="4" w:space="0"/>
                    <w:left w:val="single" w:color="auto" w:sz="4" w:space="0"/>
                    <w:bottom w:val="single" w:color="auto" w:sz="4" w:space="0"/>
                    <w:right w:val="single" w:color="auto" w:sz="4" w:space="0"/>
                  </w:tcBorders>
                  <w:vAlign w:val="center"/>
                </w:tcPr>
                <w:p w14:paraId="1958411E">
                  <w:pPr>
                    <w:keepNext w:val="0"/>
                    <w:keepLines w:val="0"/>
                    <w:widowControl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化学品库</w:t>
                  </w:r>
                </w:p>
              </w:tc>
              <w:tc>
                <w:tcPr>
                  <w:tcW w:w="2007" w:type="dxa"/>
                  <w:tcBorders>
                    <w:top w:val="single" w:color="auto" w:sz="4" w:space="0"/>
                    <w:left w:val="single" w:color="auto" w:sz="4" w:space="0"/>
                    <w:bottom w:val="single" w:color="auto" w:sz="4" w:space="0"/>
                    <w:right w:val="single" w:color="auto" w:sz="4" w:space="0"/>
                  </w:tcBorders>
                  <w:vAlign w:val="center"/>
                </w:tcPr>
                <w:p w14:paraId="7EB945D5">
                  <w:pPr>
                    <w:keepNext w:val="0"/>
                    <w:keepLines w:val="0"/>
                    <w:widowControl/>
                    <w:suppressLineNumbers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0.0027</w:t>
                  </w:r>
                </w:p>
              </w:tc>
              <w:tc>
                <w:tcPr>
                  <w:tcW w:w="1491" w:type="dxa"/>
                  <w:tcBorders>
                    <w:top w:val="single" w:color="auto" w:sz="4" w:space="0"/>
                    <w:left w:val="single" w:color="auto" w:sz="4" w:space="0"/>
                    <w:bottom w:val="single" w:color="auto" w:sz="4" w:space="0"/>
                    <w:right w:val="single" w:color="auto" w:sz="4" w:space="0"/>
                  </w:tcBorders>
                  <w:vAlign w:val="center"/>
                </w:tcPr>
                <w:p w14:paraId="62F307A1">
                  <w:pPr>
                    <w:keepNext w:val="0"/>
                    <w:keepLines w:val="0"/>
                    <w:widowControl/>
                    <w:suppressLineNumbers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0.0014</w:t>
                  </w:r>
                </w:p>
              </w:tc>
            </w:tr>
            <w:tr w14:paraId="41AD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108" w:type="dxa"/>
                  <w:tcBorders>
                    <w:top w:val="single" w:color="auto" w:sz="4" w:space="0"/>
                    <w:left w:val="single" w:color="auto" w:sz="4" w:space="0"/>
                    <w:bottom w:val="single" w:color="auto" w:sz="4" w:space="0"/>
                    <w:right w:val="single" w:color="auto" w:sz="4" w:space="0"/>
                  </w:tcBorders>
                  <w:vAlign w:val="center"/>
                </w:tcPr>
                <w:p w14:paraId="61DD307B">
                  <w:pPr>
                    <w:keepNext w:val="0"/>
                    <w:keepLines w:val="0"/>
                    <w:widowControl w:val="0"/>
                    <w:suppressLineNumbers w:val="0"/>
                    <w:spacing w:before="0" w:beforeAutospacing="0" w:after="0" w:afterAutospacing="0"/>
                    <w:ind w:left="-63" w:leftChars="-30" w:right="-63" w:rightChars="-30"/>
                    <w:jc w:val="center"/>
                    <w:rPr>
                      <w:rFonts w:hint="default" w:cs="Times New Roman"/>
                      <w:color w:val="auto"/>
                      <w:spacing w:val="13"/>
                      <w:kern w:val="0"/>
                      <w:sz w:val="21"/>
                      <w:szCs w:val="21"/>
                      <w:lang w:val="en-US" w:eastAsia="zh-CN"/>
                    </w:rPr>
                  </w:pPr>
                  <w:r>
                    <w:rPr>
                      <w:rFonts w:hint="eastAsia" w:cs="Times New Roman"/>
                      <w:color w:val="auto"/>
                      <w:spacing w:val="13"/>
                      <w:kern w:val="0"/>
                      <w:sz w:val="21"/>
                      <w:szCs w:val="21"/>
                      <w:lang w:val="en-US" w:eastAsia="zh-CN"/>
                    </w:rPr>
                    <w:t>天然气</w:t>
                  </w:r>
                </w:p>
              </w:tc>
              <w:tc>
                <w:tcPr>
                  <w:tcW w:w="2523" w:type="dxa"/>
                  <w:tcBorders>
                    <w:top w:val="single" w:color="auto" w:sz="4" w:space="0"/>
                    <w:left w:val="single" w:color="auto" w:sz="4" w:space="0"/>
                    <w:bottom w:val="single" w:color="auto" w:sz="4" w:space="0"/>
                    <w:right w:val="single" w:color="auto" w:sz="4" w:space="0"/>
                  </w:tcBorders>
                  <w:vAlign w:val="center"/>
                </w:tcPr>
                <w:p w14:paraId="08FE8342">
                  <w:pPr>
                    <w:keepNext w:val="0"/>
                    <w:keepLines w:val="0"/>
                    <w:widowControl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管道</w:t>
                  </w:r>
                </w:p>
              </w:tc>
              <w:tc>
                <w:tcPr>
                  <w:tcW w:w="2007" w:type="dxa"/>
                  <w:tcBorders>
                    <w:top w:val="single" w:color="auto" w:sz="4" w:space="0"/>
                    <w:left w:val="single" w:color="auto" w:sz="4" w:space="0"/>
                    <w:bottom w:val="single" w:color="auto" w:sz="4" w:space="0"/>
                    <w:right w:val="single" w:color="auto" w:sz="4" w:space="0"/>
                  </w:tcBorders>
                  <w:vAlign w:val="center"/>
                </w:tcPr>
                <w:p w14:paraId="04DB38E9">
                  <w:pPr>
                    <w:keepNext w:val="0"/>
                    <w:keepLines w:val="0"/>
                    <w:widowControl/>
                    <w:suppressLineNumbers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w:t>
                  </w:r>
                </w:p>
              </w:tc>
              <w:tc>
                <w:tcPr>
                  <w:tcW w:w="1491" w:type="dxa"/>
                  <w:tcBorders>
                    <w:top w:val="single" w:color="auto" w:sz="4" w:space="0"/>
                    <w:left w:val="single" w:color="auto" w:sz="4" w:space="0"/>
                    <w:bottom w:val="single" w:color="auto" w:sz="4" w:space="0"/>
                    <w:right w:val="single" w:color="auto" w:sz="4" w:space="0"/>
                  </w:tcBorders>
                  <w:vAlign w:val="center"/>
                </w:tcPr>
                <w:p w14:paraId="516B4474">
                  <w:pPr>
                    <w:keepNext w:val="0"/>
                    <w:keepLines w:val="0"/>
                    <w:widowControl/>
                    <w:suppressLineNumbers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0.1</w:t>
                  </w:r>
                </w:p>
              </w:tc>
            </w:tr>
          </w:tbl>
          <w:p w14:paraId="17230A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注：</w:t>
            </w:r>
            <w:r>
              <w:rPr>
                <w:rFonts w:hint="eastAsia" w:ascii="Times New Roman" w:hAnsi="Times New Roman" w:eastAsia="宋体" w:cs="Times New Roman"/>
                <w:color w:val="auto"/>
                <w:kern w:val="2"/>
                <w:sz w:val="21"/>
                <w:szCs w:val="21"/>
                <w:lang w:val="en-US" w:eastAsia="zh-CN"/>
              </w:rPr>
              <w:t>本项目使用的10%盐酸溶液</w:t>
            </w:r>
            <w:r>
              <w:rPr>
                <w:rFonts w:hint="eastAsia" w:eastAsia="宋体" w:cs="Times New Roman"/>
                <w:color w:val="auto"/>
                <w:kern w:val="2"/>
                <w:sz w:val="21"/>
                <w:szCs w:val="21"/>
                <w:lang w:val="en-US" w:eastAsia="zh-CN"/>
              </w:rPr>
              <w:t>最大储存量为0.01t，最大在线量为0.005t，</w:t>
            </w:r>
            <w:r>
              <w:rPr>
                <w:rFonts w:hint="eastAsia" w:ascii="Times New Roman" w:hAnsi="Times New Roman" w:eastAsia="宋体" w:cs="Times New Roman"/>
                <w:color w:val="auto"/>
                <w:kern w:val="2"/>
                <w:sz w:val="21"/>
                <w:szCs w:val="21"/>
                <w:lang w:val="en-US" w:eastAsia="zh-CN"/>
              </w:rPr>
              <w:t>折合</w:t>
            </w:r>
            <w:r>
              <w:rPr>
                <w:rFonts w:hint="eastAsia" w:eastAsia="宋体" w:cs="Times New Roman"/>
                <w:color w:val="auto"/>
                <w:kern w:val="2"/>
                <w:sz w:val="21"/>
                <w:szCs w:val="21"/>
                <w:lang w:val="en-US" w:eastAsia="zh-CN"/>
              </w:rPr>
              <w:t>37%的盐酸溶液最大储存量为0.0027t，最大在线量为0.0014t。</w:t>
            </w:r>
          </w:p>
          <w:p w14:paraId="6BBD0ADE">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本项目Q值确定表</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889"/>
              <w:gridCol w:w="1768"/>
              <w:gridCol w:w="1212"/>
              <w:gridCol w:w="1638"/>
              <w:gridCol w:w="1502"/>
            </w:tblGrid>
            <w:tr w14:paraId="3B62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14:paraId="36A553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序号</w:t>
                  </w:r>
                </w:p>
              </w:tc>
              <w:tc>
                <w:tcPr>
                  <w:tcW w:w="1889" w:type="dxa"/>
                  <w:tcBorders>
                    <w:top w:val="single" w:color="auto" w:sz="4" w:space="0"/>
                    <w:left w:val="single" w:color="auto" w:sz="4" w:space="0"/>
                    <w:bottom w:val="single" w:color="auto" w:sz="4" w:space="0"/>
                    <w:right w:val="single" w:color="auto" w:sz="4" w:space="0"/>
                  </w:tcBorders>
                  <w:vAlign w:val="center"/>
                </w:tcPr>
                <w:p w14:paraId="56B196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rPr>
                    <w:t>危险物质名称</w:t>
                  </w:r>
                </w:p>
              </w:tc>
              <w:tc>
                <w:tcPr>
                  <w:tcW w:w="1768" w:type="dxa"/>
                  <w:tcBorders>
                    <w:top w:val="single" w:color="auto" w:sz="4" w:space="0"/>
                    <w:left w:val="single" w:color="auto" w:sz="4" w:space="0"/>
                    <w:bottom w:val="single" w:color="auto" w:sz="4" w:space="0"/>
                    <w:right w:val="single" w:color="auto" w:sz="4" w:space="0"/>
                  </w:tcBorders>
                  <w:vAlign w:val="center"/>
                </w:tcPr>
                <w:p w14:paraId="2D5ED3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CAS号</w:t>
                  </w:r>
                </w:p>
              </w:tc>
              <w:tc>
                <w:tcPr>
                  <w:tcW w:w="1212" w:type="dxa"/>
                  <w:tcBorders>
                    <w:top w:val="single" w:color="auto" w:sz="4" w:space="0"/>
                    <w:left w:val="single" w:color="auto" w:sz="4" w:space="0"/>
                    <w:bottom w:val="single" w:color="auto" w:sz="4" w:space="0"/>
                    <w:right w:val="single" w:color="auto" w:sz="4" w:space="0"/>
                  </w:tcBorders>
                  <w:vAlign w:val="center"/>
                </w:tcPr>
                <w:p w14:paraId="0FB1AC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最大存在总量qn/t</w:t>
                  </w:r>
                </w:p>
              </w:tc>
              <w:tc>
                <w:tcPr>
                  <w:tcW w:w="1638" w:type="dxa"/>
                  <w:tcBorders>
                    <w:top w:val="single" w:color="auto" w:sz="4" w:space="0"/>
                    <w:left w:val="single" w:color="auto" w:sz="4" w:space="0"/>
                    <w:bottom w:val="single" w:color="auto" w:sz="4" w:space="0"/>
                    <w:right w:val="single" w:color="auto" w:sz="4" w:space="0"/>
                  </w:tcBorders>
                  <w:vAlign w:val="center"/>
                </w:tcPr>
                <w:p w14:paraId="26BA96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临界量</w:t>
                  </w:r>
                </w:p>
                <w:p w14:paraId="24D50B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Qn/t</w:t>
                  </w:r>
                </w:p>
              </w:tc>
              <w:tc>
                <w:tcPr>
                  <w:tcW w:w="1502" w:type="dxa"/>
                  <w:tcBorders>
                    <w:top w:val="single" w:color="auto" w:sz="4" w:space="0"/>
                    <w:left w:val="single" w:color="auto" w:sz="4" w:space="0"/>
                    <w:bottom w:val="single" w:color="auto" w:sz="4" w:space="0"/>
                    <w:right w:val="single" w:color="auto" w:sz="4" w:space="0"/>
                  </w:tcBorders>
                  <w:vAlign w:val="center"/>
                </w:tcPr>
                <w:p w14:paraId="2B5A3E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该种危险物质Q值</w:t>
                  </w:r>
                </w:p>
              </w:tc>
            </w:tr>
            <w:tr w14:paraId="4185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14:paraId="3D2C2159">
                  <w:pPr>
                    <w:keepNext w:val="0"/>
                    <w:keepLines w:val="0"/>
                    <w:widowControl w:val="0"/>
                    <w:numPr>
                      <w:ilvl w:val="0"/>
                      <w:numId w:val="23"/>
                    </w:numPr>
                    <w:suppressLineNumbers w:val="0"/>
                    <w:spacing w:before="0" w:beforeAutospacing="0" w:after="0" w:afterAutospacing="0"/>
                    <w:ind w:left="0" w:right="0" w:firstLine="0"/>
                    <w:jc w:val="center"/>
                    <w:rPr>
                      <w:rFonts w:hint="default" w:ascii="Times New Roman" w:hAnsi="Times New Roman" w:eastAsia="宋体" w:cs="Times New Roman"/>
                      <w:color w:val="auto"/>
                      <w:kern w:val="0"/>
                      <w:sz w:val="21"/>
                      <w:szCs w:val="21"/>
                    </w:rPr>
                  </w:pPr>
                  <w:bookmarkStart w:id="6" w:name="OLE_LINK1"/>
                  <w:bookmarkEnd w:id="6"/>
                </w:p>
              </w:tc>
              <w:tc>
                <w:tcPr>
                  <w:tcW w:w="1889" w:type="dxa"/>
                  <w:tcBorders>
                    <w:top w:val="single" w:color="auto" w:sz="4" w:space="0"/>
                    <w:left w:val="single" w:color="auto" w:sz="4" w:space="0"/>
                    <w:bottom w:val="single" w:color="auto" w:sz="4" w:space="0"/>
                    <w:right w:val="single" w:color="auto" w:sz="4" w:space="0"/>
                  </w:tcBorders>
                  <w:vAlign w:val="center"/>
                </w:tcPr>
                <w:p w14:paraId="5DFA4B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天然气</w:t>
                  </w:r>
                </w:p>
              </w:tc>
              <w:tc>
                <w:tcPr>
                  <w:tcW w:w="1768" w:type="dxa"/>
                  <w:tcBorders>
                    <w:top w:val="single" w:color="auto" w:sz="4" w:space="0"/>
                    <w:left w:val="single" w:color="auto" w:sz="4" w:space="0"/>
                    <w:bottom w:val="single" w:color="auto" w:sz="4" w:space="0"/>
                    <w:right w:val="single" w:color="auto" w:sz="4" w:space="0"/>
                  </w:tcBorders>
                  <w:vAlign w:val="center"/>
                </w:tcPr>
                <w:p w14:paraId="5CCD7A8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212" w:type="dxa"/>
                  <w:tcBorders>
                    <w:top w:val="single" w:color="auto" w:sz="4" w:space="0"/>
                    <w:left w:val="single" w:color="auto" w:sz="4" w:space="0"/>
                    <w:bottom w:val="single" w:color="auto" w:sz="4" w:space="0"/>
                    <w:right w:val="single" w:color="auto" w:sz="4" w:space="0"/>
                  </w:tcBorders>
                  <w:vAlign w:val="center"/>
                </w:tcPr>
                <w:p w14:paraId="64B67AFE">
                  <w:pPr>
                    <w:pStyle w:val="31"/>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eastAsia" w:ascii="Times New Roman" w:hAnsi="Times New Roman" w:cs="Times New Roman"/>
                      <w:color w:val="auto"/>
                      <w:kern w:val="2"/>
                      <w:sz w:val="21"/>
                      <w:szCs w:val="21"/>
                      <w:lang w:val="en-US" w:eastAsia="zh-CN"/>
                    </w:rPr>
                    <w:t>0.1</w:t>
                  </w:r>
                </w:p>
              </w:tc>
              <w:tc>
                <w:tcPr>
                  <w:tcW w:w="1638" w:type="dxa"/>
                  <w:tcBorders>
                    <w:top w:val="single" w:color="auto" w:sz="4" w:space="0"/>
                    <w:left w:val="single" w:color="auto" w:sz="4" w:space="0"/>
                    <w:bottom w:val="single" w:color="auto" w:sz="4" w:space="0"/>
                    <w:right w:val="single" w:color="auto" w:sz="4" w:space="0"/>
                  </w:tcBorders>
                  <w:vAlign w:val="center"/>
                </w:tcPr>
                <w:p w14:paraId="3D29E1D7">
                  <w:pPr>
                    <w:pStyle w:val="31"/>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10</w:t>
                  </w:r>
                </w:p>
              </w:tc>
              <w:tc>
                <w:tcPr>
                  <w:tcW w:w="1502" w:type="dxa"/>
                  <w:tcBorders>
                    <w:top w:val="single" w:color="auto" w:sz="4" w:space="0"/>
                    <w:left w:val="single" w:color="auto" w:sz="4" w:space="0"/>
                    <w:bottom w:val="single" w:color="auto" w:sz="4" w:space="0"/>
                    <w:right w:val="single" w:color="auto" w:sz="4" w:space="0"/>
                  </w:tcBorders>
                  <w:vAlign w:val="center"/>
                </w:tcPr>
                <w:p w14:paraId="2B715E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w:t>
                  </w:r>
                  <w:r>
                    <w:rPr>
                      <w:rFonts w:hint="eastAsia" w:cs="Times New Roman"/>
                      <w:color w:val="auto"/>
                      <w:kern w:val="2"/>
                      <w:sz w:val="21"/>
                      <w:szCs w:val="21"/>
                      <w:lang w:val="en-US" w:eastAsia="zh-CN"/>
                    </w:rPr>
                    <w:t>0</w:t>
                  </w:r>
                  <w:r>
                    <w:rPr>
                      <w:rFonts w:hint="default" w:ascii="Times New Roman" w:hAnsi="Times New Roman" w:eastAsia="宋体" w:cs="Times New Roman"/>
                      <w:color w:val="auto"/>
                      <w:kern w:val="2"/>
                      <w:sz w:val="21"/>
                      <w:szCs w:val="21"/>
                      <w:lang w:val="en-US" w:eastAsia="zh-CN"/>
                    </w:rPr>
                    <w:t>1</w:t>
                  </w:r>
                </w:p>
              </w:tc>
            </w:tr>
            <w:tr w14:paraId="70B0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14:paraId="27F22445">
                  <w:pPr>
                    <w:keepNext w:val="0"/>
                    <w:keepLines w:val="0"/>
                    <w:widowControl w:val="0"/>
                    <w:numPr>
                      <w:ilvl w:val="0"/>
                      <w:numId w:val="23"/>
                    </w:numPr>
                    <w:suppressLineNumbers w:val="0"/>
                    <w:spacing w:before="0" w:beforeAutospacing="0" w:after="0" w:afterAutospacing="0"/>
                    <w:ind w:left="0" w:right="0" w:firstLine="0"/>
                    <w:jc w:val="center"/>
                    <w:rPr>
                      <w:rFonts w:hint="default" w:ascii="Times New Roman" w:hAnsi="Times New Roman" w:eastAsia="宋体" w:cs="Times New Roman"/>
                      <w:color w:val="auto"/>
                      <w:kern w:val="0"/>
                      <w:sz w:val="21"/>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50B118BF">
                  <w:pPr>
                    <w:keepNext w:val="0"/>
                    <w:keepLines w:val="0"/>
                    <w:widowControl/>
                    <w:suppressLineNumbers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盐酸</w:t>
                  </w:r>
                  <w:r>
                    <w:rPr>
                      <w:rFonts w:hint="default" w:ascii="Times New Roman" w:hAnsi="Times New Roman" w:cs="Times New Roman"/>
                      <w:color w:val="auto"/>
                      <w:spacing w:val="13"/>
                      <w:kern w:val="0"/>
                      <w:sz w:val="21"/>
                      <w:szCs w:val="21"/>
                      <w:lang w:val="en-US" w:eastAsia="zh-CN"/>
                    </w:rPr>
                    <w:t>（≥37%）</w:t>
                  </w:r>
                </w:p>
              </w:tc>
              <w:tc>
                <w:tcPr>
                  <w:tcW w:w="1768" w:type="dxa"/>
                  <w:tcBorders>
                    <w:top w:val="single" w:color="auto" w:sz="4" w:space="0"/>
                    <w:left w:val="single" w:color="auto" w:sz="4" w:space="0"/>
                    <w:bottom w:val="single" w:color="auto" w:sz="4" w:space="0"/>
                    <w:right w:val="single" w:color="auto" w:sz="4" w:space="0"/>
                  </w:tcBorders>
                  <w:vAlign w:val="center"/>
                </w:tcPr>
                <w:p w14:paraId="5BD673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7646-01-0</w:t>
                  </w:r>
                </w:p>
              </w:tc>
              <w:tc>
                <w:tcPr>
                  <w:tcW w:w="1212" w:type="dxa"/>
                  <w:tcBorders>
                    <w:top w:val="single" w:color="auto" w:sz="4" w:space="0"/>
                    <w:left w:val="single" w:color="auto" w:sz="4" w:space="0"/>
                    <w:bottom w:val="single" w:color="auto" w:sz="4" w:space="0"/>
                    <w:right w:val="single" w:color="auto" w:sz="4" w:space="0"/>
                  </w:tcBorders>
                  <w:vAlign w:val="center"/>
                </w:tcPr>
                <w:p w14:paraId="7479AB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0.0041</w:t>
                  </w:r>
                </w:p>
              </w:tc>
              <w:tc>
                <w:tcPr>
                  <w:tcW w:w="1638" w:type="dxa"/>
                  <w:tcBorders>
                    <w:top w:val="single" w:color="auto" w:sz="4" w:space="0"/>
                    <w:left w:val="single" w:color="auto" w:sz="4" w:space="0"/>
                    <w:bottom w:val="single" w:color="auto" w:sz="4" w:space="0"/>
                    <w:right w:val="single" w:color="auto" w:sz="4" w:space="0"/>
                  </w:tcBorders>
                  <w:vAlign w:val="center"/>
                </w:tcPr>
                <w:p w14:paraId="578486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7.5</w:t>
                  </w:r>
                </w:p>
              </w:tc>
              <w:tc>
                <w:tcPr>
                  <w:tcW w:w="1502" w:type="dxa"/>
                  <w:tcBorders>
                    <w:top w:val="single" w:color="auto" w:sz="4" w:space="0"/>
                    <w:left w:val="single" w:color="auto" w:sz="4" w:space="0"/>
                    <w:bottom w:val="single" w:color="auto" w:sz="4" w:space="0"/>
                    <w:right w:val="single" w:color="auto" w:sz="4" w:space="0"/>
                  </w:tcBorders>
                  <w:vAlign w:val="center"/>
                </w:tcPr>
                <w:p w14:paraId="1E8E5B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0.00055</w:t>
                  </w:r>
                </w:p>
              </w:tc>
            </w:tr>
            <w:tr w14:paraId="3F05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300" w:type="dxa"/>
                  <w:gridSpan w:val="5"/>
                  <w:tcBorders>
                    <w:top w:val="single" w:color="auto" w:sz="4" w:space="0"/>
                    <w:left w:val="single" w:color="auto" w:sz="4" w:space="0"/>
                    <w:bottom w:val="single" w:color="auto" w:sz="4" w:space="0"/>
                    <w:right w:val="single" w:color="auto" w:sz="4" w:space="0"/>
                  </w:tcBorders>
                  <w:vAlign w:val="center"/>
                </w:tcPr>
                <w:p w14:paraId="6343BE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项目Q值∑</w:t>
                  </w:r>
                </w:p>
              </w:tc>
              <w:tc>
                <w:tcPr>
                  <w:tcW w:w="1502" w:type="dxa"/>
                  <w:tcBorders>
                    <w:top w:val="single" w:color="auto" w:sz="4" w:space="0"/>
                    <w:left w:val="single" w:color="auto" w:sz="4" w:space="0"/>
                    <w:bottom w:val="single" w:color="auto" w:sz="4" w:space="0"/>
                    <w:right w:val="single" w:color="auto" w:sz="4" w:space="0"/>
                  </w:tcBorders>
                  <w:vAlign w:val="center"/>
                </w:tcPr>
                <w:p w14:paraId="1F13A0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0.010055</w:t>
                  </w:r>
                </w:p>
              </w:tc>
            </w:tr>
          </w:tbl>
          <w:p w14:paraId="248566F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注1：天然气主要成分为甲烷，还有少量乙烷、丙烷等，《建设项目环境风险评价技术导则》（HJ169-2018）中甲烷、乙烷、丙烷临界值均为10t，本次按天然气的临界量按10t计。</w:t>
            </w:r>
          </w:p>
          <w:p w14:paraId="291C57FB">
            <w:pPr>
              <w:keepNext w:val="0"/>
              <w:keepLines w:val="0"/>
              <w:widowControl w:val="0"/>
              <w:suppressLineNumbers w:val="0"/>
              <w:spacing w:before="0" w:beforeAutospacing="0" w:after="0" w:afterAutospacing="0" w:line="360" w:lineRule="auto"/>
              <w:ind w:left="0" w:right="0" w:firstLine="480" w:firstLineChars="200"/>
              <w:jc w:val="both"/>
              <w:rPr>
                <w:rFonts w:hint="default"/>
                <w:b/>
                <w:bCs w:val="0"/>
                <w:color w:val="auto"/>
                <w:sz w:val="24"/>
                <w:szCs w:val="24"/>
              </w:rPr>
            </w:pPr>
            <w:r>
              <w:rPr>
                <w:rFonts w:hint="default" w:ascii="Times New Roman" w:hAnsi="Times New Roman" w:eastAsia="宋体" w:cs="Times New Roman"/>
                <w:color w:val="auto"/>
                <w:kern w:val="2"/>
                <w:sz w:val="24"/>
                <w:szCs w:val="24"/>
                <w:lang w:val="en-US" w:eastAsia="zh-CN"/>
              </w:rPr>
              <w:t>根据上表，本项目</w:t>
            </w:r>
            <w:r>
              <w:rPr>
                <w:rFonts w:hint="default" w:ascii="Times New Roman" w:hAnsi="Times New Roman" w:eastAsia="宋体" w:cs="Times New Roman"/>
                <w:color w:val="auto"/>
                <w:kern w:val="0"/>
                <w:sz w:val="24"/>
                <w:szCs w:val="24"/>
                <w:lang w:val="en-US" w:eastAsia="zh-CN"/>
              </w:rPr>
              <w:t>Q&lt;1，则</w:t>
            </w:r>
            <w:r>
              <w:rPr>
                <w:rFonts w:hint="default" w:ascii="Times New Roman" w:hAnsi="Times New Roman" w:eastAsia="宋体" w:cs="Times New Roman"/>
                <w:bCs/>
                <w:color w:val="auto"/>
                <w:kern w:val="2"/>
                <w:sz w:val="24"/>
                <w:szCs w:val="24"/>
                <w:lang w:val="en-US" w:eastAsia="zh-CN"/>
              </w:rPr>
              <w:t>项目环境风险潜势为I。</w:t>
            </w:r>
          </w:p>
          <w:p w14:paraId="5393426F">
            <w:pPr>
              <w:pStyle w:val="105"/>
              <w:keepNext w:val="0"/>
              <w:keepLines w:val="0"/>
              <w:suppressLineNumbers w:val="0"/>
              <w:spacing w:before="0" w:beforeAutospacing="0" w:after="0" w:afterAutospacing="0"/>
              <w:ind w:left="0" w:right="0" w:firstLine="482"/>
              <w:rPr>
                <w:rFonts w:hint="default"/>
                <w:b/>
                <w:bCs w:val="0"/>
                <w:color w:val="auto"/>
                <w:sz w:val="24"/>
                <w:szCs w:val="24"/>
              </w:rPr>
            </w:pPr>
            <w:r>
              <w:rPr>
                <w:rFonts w:hint="eastAsia" w:cs="宋体"/>
                <w:b/>
                <w:color w:val="auto"/>
                <w:sz w:val="24"/>
                <w:lang w:val="en-US" w:eastAsia="zh-CN"/>
              </w:rPr>
              <w:t>2、</w:t>
            </w:r>
            <w:r>
              <w:rPr>
                <w:rFonts w:hint="eastAsia" w:cs="宋体"/>
                <w:b/>
                <w:color w:val="auto"/>
                <w:sz w:val="24"/>
              </w:rPr>
              <w:t>环境风险源调查及可能影响途径</w:t>
            </w:r>
          </w:p>
          <w:p w14:paraId="1CC3AE90">
            <w:pPr>
              <w:keepNext w:val="0"/>
              <w:keepLines w:val="0"/>
              <w:suppressLineNumbers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项目</w:t>
            </w:r>
            <w:r>
              <w:rPr>
                <w:rFonts w:hint="eastAsia" w:cs="宋体"/>
                <w:color w:val="auto"/>
                <w:sz w:val="24"/>
              </w:rPr>
              <w:t>环境风险源以及</w:t>
            </w:r>
            <w:r>
              <w:rPr>
                <w:rFonts w:hint="eastAsia"/>
                <w:color w:val="auto"/>
                <w:sz w:val="24"/>
              </w:rPr>
              <w:t>可能污染环境的途径如下：</w:t>
            </w:r>
          </w:p>
          <w:p w14:paraId="73443F7E">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项目风险物质可能污染环境的影响途径</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714"/>
              <w:gridCol w:w="1920"/>
              <w:gridCol w:w="3274"/>
            </w:tblGrid>
            <w:tr w14:paraId="2040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pct"/>
                  <w:vAlign w:val="center"/>
                </w:tcPr>
                <w:p w14:paraId="30A2865B">
                  <w:pPr>
                    <w:keepNext w:val="0"/>
                    <w:keepLines w:val="0"/>
                    <w:suppressLineNumbers w:val="0"/>
                    <w:spacing w:before="0" w:beforeAutospacing="0" w:after="0" w:afterAutospacing="0"/>
                    <w:ind w:left="0" w:right="0"/>
                    <w:jc w:val="center"/>
                    <w:rPr>
                      <w:rFonts w:hint="default"/>
                      <w:color w:val="auto"/>
                    </w:rPr>
                  </w:pPr>
                  <w:r>
                    <w:rPr>
                      <w:rFonts w:hint="eastAsia"/>
                      <w:color w:val="auto"/>
                    </w:rPr>
                    <w:t>风险源</w:t>
                  </w:r>
                </w:p>
              </w:tc>
              <w:tc>
                <w:tcPr>
                  <w:tcW w:w="973" w:type="pct"/>
                  <w:vAlign w:val="center"/>
                </w:tcPr>
                <w:p w14:paraId="1B7C6F73">
                  <w:pPr>
                    <w:keepNext w:val="0"/>
                    <w:keepLines w:val="0"/>
                    <w:suppressLineNumbers w:val="0"/>
                    <w:spacing w:before="0" w:beforeAutospacing="0" w:after="0" w:afterAutospacing="0"/>
                    <w:ind w:left="0" w:right="0"/>
                    <w:jc w:val="center"/>
                    <w:rPr>
                      <w:rFonts w:hint="default"/>
                      <w:color w:val="auto"/>
                    </w:rPr>
                  </w:pPr>
                  <w:r>
                    <w:rPr>
                      <w:rFonts w:hint="eastAsia"/>
                      <w:color w:val="auto"/>
                    </w:rPr>
                    <w:t>主要物质</w:t>
                  </w:r>
                </w:p>
              </w:tc>
              <w:tc>
                <w:tcPr>
                  <w:tcW w:w="1090" w:type="pct"/>
                  <w:vAlign w:val="center"/>
                </w:tcPr>
                <w:p w14:paraId="71EE1FED">
                  <w:pPr>
                    <w:keepNext w:val="0"/>
                    <w:keepLines w:val="0"/>
                    <w:suppressLineNumbers w:val="0"/>
                    <w:spacing w:before="0" w:beforeAutospacing="0" w:after="0" w:afterAutospacing="0"/>
                    <w:ind w:left="0" w:right="0"/>
                    <w:jc w:val="center"/>
                    <w:rPr>
                      <w:rFonts w:hint="default"/>
                      <w:color w:val="auto"/>
                    </w:rPr>
                  </w:pPr>
                  <w:r>
                    <w:rPr>
                      <w:rFonts w:hint="eastAsia"/>
                      <w:color w:val="auto"/>
                    </w:rPr>
                    <w:t>可能影响途径</w:t>
                  </w:r>
                </w:p>
              </w:tc>
              <w:tc>
                <w:tcPr>
                  <w:tcW w:w="1859" w:type="pct"/>
                  <w:vAlign w:val="center"/>
                </w:tcPr>
                <w:p w14:paraId="3F25F53F">
                  <w:pPr>
                    <w:keepNext w:val="0"/>
                    <w:keepLines w:val="0"/>
                    <w:suppressLineNumbers w:val="0"/>
                    <w:spacing w:before="0" w:beforeAutospacing="0" w:after="0" w:afterAutospacing="0"/>
                    <w:ind w:left="0" w:right="0"/>
                    <w:jc w:val="center"/>
                    <w:rPr>
                      <w:rFonts w:hint="default"/>
                      <w:color w:val="auto"/>
                    </w:rPr>
                  </w:pPr>
                  <w:r>
                    <w:rPr>
                      <w:rFonts w:hint="eastAsia"/>
                      <w:color w:val="auto"/>
                    </w:rPr>
                    <w:t>污染类型</w:t>
                  </w:r>
                </w:p>
              </w:tc>
            </w:tr>
            <w:tr w14:paraId="2F24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pct"/>
                  <w:shd w:val="clear" w:color="auto" w:fill="auto"/>
                  <w:vAlign w:val="center"/>
                </w:tcPr>
                <w:p w14:paraId="18321D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废气处理设施</w:t>
                  </w:r>
                </w:p>
              </w:tc>
              <w:tc>
                <w:tcPr>
                  <w:tcW w:w="973" w:type="pct"/>
                  <w:shd w:val="clear" w:color="auto" w:fill="auto"/>
                  <w:vAlign w:val="center"/>
                </w:tcPr>
                <w:p w14:paraId="1BBC24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vertAlign w:val="baseline"/>
                      <w:lang w:val="en-US" w:eastAsia="zh-CN" w:bidi="ar-SA"/>
                    </w:rPr>
                  </w:pPr>
                  <w:r>
                    <w:rPr>
                      <w:rFonts w:hint="eastAsia"/>
                      <w:color w:val="auto"/>
                      <w:lang w:val="en-US" w:eastAsia="zh-CN"/>
                    </w:rPr>
                    <w:t>颗粒物、SO</w:t>
                  </w:r>
                  <w:r>
                    <w:rPr>
                      <w:rFonts w:hint="eastAsia"/>
                      <w:color w:val="auto"/>
                      <w:vertAlign w:val="subscript"/>
                      <w:lang w:val="en-US" w:eastAsia="zh-CN"/>
                    </w:rPr>
                    <w:t>2</w:t>
                  </w:r>
                  <w:r>
                    <w:rPr>
                      <w:rFonts w:hint="eastAsia"/>
                      <w:color w:val="auto"/>
                      <w:vertAlign w:val="baseline"/>
                      <w:lang w:val="en-US" w:eastAsia="zh-CN"/>
                    </w:rPr>
                    <w:t>、NO</w:t>
                  </w:r>
                  <w:r>
                    <w:rPr>
                      <w:rFonts w:hint="eastAsia"/>
                      <w:color w:val="auto"/>
                      <w:vertAlign w:val="subscript"/>
                      <w:lang w:val="en-US" w:eastAsia="zh-CN"/>
                    </w:rPr>
                    <w:t>x</w:t>
                  </w:r>
                </w:p>
              </w:tc>
              <w:tc>
                <w:tcPr>
                  <w:tcW w:w="1090" w:type="pct"/>
                  <w:shd w:val="clear" w:color="auto" w:fill="auto"/>
                  <w:vAlign w:val="center"/>
                </w:tcPr>
                <w:p w14:paraId="453A8AE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废气处理装置故障导致废气泄漏造成污染</w:t>
                  </w:r>
                </w:p>
              </w:tc>
              <w:tc>
                <w:tcPr>
                  <w:tcW w:w="1859" w:type="pct"/>
                  <w:shd w:val="clear" w:color="auto" w:fill="auto"/>
                  <w:vAlign w:val="center"/>
                </w:tcPr>
                <w:p w14:paraId="624346B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废气泄漏造成大气污染</w:t>
                  </w:r>
                </w:p>
              </w:tc>
            </w:tr>
            <w:tr w14:paraId="53F6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pct"/>
                  <w:shd w:val="clear" w:color="auto" w:fill="auto"/>
                  <w:vAlign w:val="center"/>
                </w:tcPr>
                <w:p w14:paraId="3E30284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废水处理设施</w:t>
                  </w:r>
                </w:p>
              </w:tc>
              <w:tc>
                <w:tcPr>
                  <w:tcW w:w="973" w:type="pct"/>
                  <w:shd w:val="clear" w:color="auto" w:fill="auto"/>
                  <w:vAlign w:val="center"/>
                </w:tcPr>
                <w:p w14:paraId="4479A4D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废水</w:t>
                  </w:r>
                </w:p>
              </w:tc>
              <w:tc>
                <w:tcPr>
                  <w:tcW w:w="1090" w:type="pct"/>
                  <w:shd w:val="clear" w:color="auto" w:fill="auto"/>
                  <w:vAlign w:val="center"/>
                </w:tcPr>
                <w:p w14:paraId="010A436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通过泄漏渗透污染</w:t>
                  </w:r>
                </w:p>
              </w:tc>
              <w:tc>
                <w:tcPr>
                  <w:tcW w:w="1859" w:type="pct"/>
                  <w:shd w:val="clear" w:color="auto" w:fill="auto"/>
                  <w:vAlign w:val="center"/>
                </w:tcPr>
                <w:p w14:paraId="3519F71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集水管网管道渗漏</w:t>
                  </w:r>
                  <w:r>
                    <w:rPr>
                      <w:rFonts w:hint="eastAsia"/>
                      <w:color w:val="auto"/>
                      <w:lang w:val="en-US" w:eastAsia="zh-CN"/>
                    </w:rPr>
                    <w:t>或</w:t>
                  </w:r>
                  <w:r>
                    <w:rPr>
                      <w:rFonts w:hint="eastAsia"/>
                      <w:color w:val="auto"/>
                    </w:rPr>
                    <w:t>爆裂，通过泄漏渗透污染大气、土壤、地下水</w:t>
                  </w:r>
                </w:p>
              </w:tc>
            </w:tr>
            <w:tr w14:paraId="2B2F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pct"/>
                  <w:shd w:val="clear" w:color="auto" w:fill="auto"/>
                  <w:vAlign w:val="center"/>
                </w:tcPr>
                <w:p w14:paraId="5885E07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厂区火灾爆炸</w:t>
                  </w:r>
                </w:p>
              </w:tc>
              <w:tc>
                <w:tcPr>
                  <w:tcW w:w="973" w:type="pct"/>
                  <w:shd w:val="clear" w:color="auto" w:fill="auto"/>
                  <w:vAlign w:val="center"/>
                </w:tcPr>
                <w:p w14:paraId="60C43F2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消防废水、火灾烟气</w:t>
                  </w:r>
                </w:p>
              </w:tc>
              <w:tc>
                <w:tcPr>
                  <w:tcW w:w="1090" w:type="pct"/>
                  <w:shd w:val="clear" w:color="auto" w:fill="auto"/>
                  <w:vAlign w:val="center"/>
                </w:tcPr>
                <w:p w14:paraId="76937F5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通过泄漏渗透污染</w:t>
                  </w:r>
                </w:p>
              </w:tc>
              <w:tc>
                <w:tcPr>
                  <w:tcW w:w="1859" w:type="pct"/>
                  <w:shd w:val="clear" w:color="auto" w:fill="auto"/>
                  <w:vAlign w:val="center"/>
                </w:tcPr>
                <w:p w14:paraId="011465F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消防废水泄漏污染地表水、地下水、土壤；火灾烟气泄漏污染大气</w:t>
                  </w:r>
                </w:p>
              </w:tc>
            </w:tr>
          </w:tbl>
          <w:p w14:paraId="66EB8499">
            <w:pPr>
              <w:pStyle w:val="105"/>
              <w:keepNext w:val="0"/>
              <w:keepLines w:val="0"/>
              <w:suppressLineNumbers w:val="0"/>
              <w:spacing w:before="0" w:beforeAutospacing="0" w:after="0" w:afterAutospacing="0"/>
              <w:ind w:left="0" w:right="0" w:firstLine="482"/>
              <w:rPr>
                <w:rFonts w:hint="default"/>
                <w:b/>
                <w:bCs w:val="0"/>
                <w:color w:val="auto"/>
                <w:sz w:val="24"/>
                <w:szCs w:val="24"/>
              </w:rPr>
            </w:pPr>
            <w:r>
              <w:rPr>
                <w:rFonts w:hint="default"/>
                <w:b/>
                <w:bCs w:val="0"/>
                <w:color w:val="auto"/>
                <w:sz w:val="24"/>
                <w:szCs w:val="24"/>
              </w:rPr>
              <w:t>3、风险防范措施</w:t>
            </w:r>
          </w:p>
          <w:p w14:paraId="06FB7425">
            <w:pPr>
              <w:pStyle w:val="105"/>
              <w:keepNext w:val="0"/>
              <w:keepLines w:val="0"/>
              <w:suppressLineNumbers w:val="0"/>
              <w:spacing w:before="0" w:beforeAutospacing="0" w:after="0" w:afterAutospacing="0"/>
              <w:ind w:left="0" w:right="0" w:firstLine="480"/>
              <w:rPr>
                <w:rFonts w:hint="eastAsia"/>
                <w:color w:val="auto"/>
                <w:sz w:val="24"/>
                <w:szCs w:val="24"/>
              </w:rPr>
            </w:pPr>
            <w:r>
              <w:rPr>
                <w:rFonts w:hint="default"/>
                <w:color w:val="auto"/>
                <w:sz w:val="24"/>
                <w:szCs w:val="24"/>
              </w:rPr>
              <w:t>（1）</w:t>
            </w:r>
            <w:r>
              <w:rPr>
                <w:rFonts w:hint="eastAsia"/>
                <w:color w:val="auto"/>
                <w:sz w:val="24"/>
                <w:szCs w:val="24"/>
                <w:lang w:val="en-US" w:eastAsia="zh-CN"/>
              </w:rPr>
              <w:t>废水处理设施</w:t>
            </w:r>
            <w:r>
              <w:rPr>
                <w:rFonts w:hint="eastAsia"/>
                <w:color w:val="auto"/>
                <w:sz w:val="24"/>
                <w:szCs w:val="24"/>
              </w:rPr>
              <w:t>泄漏防范措施</w:t>
            </w:r>
          </w:p>
          <w:p w14:paraId="3DEA7CC8">
            <w:pPr>
              <w:pStyle w:val="105"/>
              <w:keepNext w:val="0"/>
              <w:keepLines w:val="0"/>
              <w:numPr>
                <w:ilvl w:val="0"/>
                <w:numId w:val="0"/>
              </w:numPr>
              <w:suppressLineNumbers w:val="0"/>
              <w:spacing w:before="0" w:beforeAutospacing="0" w:after="0" w:afterAutospacing="0"/>
              <w:ind w:left="0" w:right="0" w:firstLine="480" w:firstLineChars="200"/>
              <w:rPr>
                <w:rFonts w:hint="default" w:eastAsia="宋体"/>
                <w:color w:val="auto"/>
                <w:sz w:val="24"/>
                <w:szCs w:val="24"/>
                <w:lang w:val="en-US" w:eastAsia="zh-CN"/>
              </w:rPr>
            </w:pPr>
            <w:r>
              <w:rPr>
                <w:rFonts w:hint="eastAsia"/>
                <w:color w:val="auto"/>
                <w:sz w:val="24"/>
                <w:szCs w:val="24"/>
              </w:rPr>
              <w:t>日常运行时设专人管理，配备应急设备、灭火设施等</w:t>
            </w:r>
            <w:r>
              <w:rPr>
                <w:rFonts w:hint="eastAsia"/>
                <w:color w:val="auto"/>
                <w:sz w:val="24"/>
                <w:szCs w:val="24"/>
                <w:lang w:eastAsia="zh-CN"/>
              </w:rPr>
              <w:t>；</w:t>
            </w:r>
            <w:r>
              <w:rPr>
                <w:rFonts w:hint="eastAsia"/>
                <w:color w:val="auto"/>
                <w:sz w:val="24"/>
                <w:szCs w:val="24"/>
              </w:rPr>
              <w:t>选用优质设备，选择质量优良、事故率低、便于维修的产品</w:t>
            </w:r>
            <w:r>
              <w:rPr>
                <w:rFonts w:hint="eastAsia"/>
                <w:color w:val="auto"/>
                <w:sz w:val="24"/>
                <w:szCs w:val="24"/>
                <w:lang w:eastAsia="zh-CN"/>
              </w:rPr>
              <w:t>；</w:t>
            </w:r>
            <w:r>
              <w:rPr>
                <w:rFonts w:hint="eastAsia"/>
                <w:color w:val="auto"/>
                <w:sz w:val="24"/>
                <w:szCs w:val="24"/>
              </w:rPr>
              <w:t>对设备及管网定期巡检、调节、保养、维修</w:t>
            </w:r>
            <w:r>
              <w:rPr>
                <w:rFonts w:hint="eastAsia"/>
                <w:color w:val="auto"/>
                <w:sz w:val="24"/>
                <w:szCs w:val="24"/>
                <w:lang w:eastAsia="zh-CN"/>
              </w:rPr>
              <w:t>；</w:t>
            </w:r>
            <w:r>
              <w:rPr>
                <w:rFonts w:hint="eastAsia"/>
                <w:color w:val="auto"/>
                <w:sz w:val="24"/>
                <w:szCs w:val="24"/>
              </w:rPr>
              <w:t>废水处理区地面、处理构筑物、管道和生产车间地</w:t>
            </w:r>
            <w:r>
              <w:rPr>
                <w:rFonts w:hint="eastAsia"/>
                <w:color w:val="auto"/>
                <w:sz w:val="24"/>
                <w:szCs w:val="24"/>
                <w:lang w:val="en-US" w:eastAsia="zh-CN"/>
              </w:rPr>
              <w:t>面做好防渗、防漏处理。</w:t>
            </w:r>
          </w:p>
          <w:p w14:paraId="6052978C">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w:t>
            </w:r>
            <w:r>
              <w:rPr>
                <w:rFonts w:hint="eastAsia"/>
                <w:color w:val="auto"/>
                <w:sz w:val="24"/>
                <w:szCs w:val="24"/>
                <w:lang w:val="en-US" w:eastAsia="zh-CN"/>
              </w:rPr>
              <w:t>2</w:t>
            </w:r>
            <w:r>
              <w:rPr>
                <w:rFonts w:hint="default"/>
                <w:color w:val="auto"/>
                <w:sz w:val="24"/>
                <w:szCs w:val="24"/>
              </w:rPr>
              <w:t>）</w:t>
            </w:r>
            <w:r>
              <w:rPr>
                <w:rFonts w:hint="default"/>
                <w:color w:val="auto"/>
                <w:kern w:val="0"/>
                <w:sz w:val="24"/>
              </w:rPr>
              <w:t>火灾风险</w:t>
            </w:r>
            <w:r>
              <w:rPr>
                <w:rFonts w:hint="eastAsia"/>
                <w:color w:val="auto"/>
                <w:kern w:val="0"/>
                <w:sz w:val="24"/>
              </w:rPr>
              <w:t>防范</w:t>
            </w:r>
            <w:r>
              <w:rPr>
                <w:rFonts w:hint="default"/>
                <w:color w:val="auto"/>
                <w:kern w:val="0"/>
                <w:sz w:val="24"/>
              </w:rPr>
              <w:t>措施</w:t>
            </w:r>
          </w:p>
          <w:p w14:paraId="244CCCC8">
            <w:pPr>
              <w:keepNext w:val="0"/>
              <w:keepLines w:val="0"/>
              <w:suppressLineNumbers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rPr>
              <w:t>生产车间、仓库均配备防火器材，厂房内加强通风换气，预留足够的安全距离，同时有利于火灾扑救和人员疏散；严禁吸烟、携带火种，需要提醒人员注意的地点均应按标准设置各种安全标志，车间与库房存放灭火器，一旦发生事故，随时取用灭火；宜用防爆型电气设备，不可接用临时电源；实行安全检查制度，进行各种日常的、定期的、专用的防火安全检查，便于及时发现问题并落实整改；对员工普及烧伤急救知识及防范急救知识，定期进行安全教育和安全生产培训，不断提高员工灭火操作技能和安全生产规程</w:t>
            </w:r>
            <w:r>
              <w:rPr>
                <w:rFonts w:hint="default"/>
                <w:color w:val="auto"/>
                <w:sz w:val="24"/>
                <w:szCs w:val="24"/>
              </w:rPr>
              <w:t>。</w:t>
            </w:r>
          </w:p>
          <w:p w14:paraId="0F884D9E">
            <w:pPr>
              <w:pStyle w:val="105"/>
              <w:keepNext w:val="0"/>
              <w:keepLines w:val="0"/>
              <w:suppressLineNumbers w:val="0"/>
              <w:spacing w:before="0" w:beforeAutospacing="0" w:after="0" w:afterAutospacing="0"/>
              <w:ind w:left="0" w:right="0" w:firstLine="480"/>
              <w:rPr>
                <w:rFonts w:hint="eastAsia" w:eastAsia="宋体"/>
                <w:color w:val="auto"/>
                <w:sz w:val="24"/>
                <w:szCs w:val="24"/>
                <w:lang w:val="en-US" w:eastAsia="zh-CN"/>
              </w:rPr>
            </w:pPr>
            <w:r>
              <w:rPr>
                <w:rFonts w:hint="eastAsia"/>
                <w:b/>
                <w:bCs w:val="0"/>
                <w:color w:val="auto"/>
                <w:sz w:val="24"/>
                <w:szCs w:val="24"/>
                <w:lang w:val="en-US" w:eastAsia="zh-CN"/>
              </w:rPr>
              <w:t>4、</w:t>
            </w:r>
            <w:r>
              <w:rPr>
                <w:rFonts w:hint="eastAsia" w:ascii="宋体" w:hAnsi="宋体"/>
                <w:b/>
                <w:bCs/>
                <w:color w:val="auto"/>
                <w:sz w:val="24"/>
              </w:rPr>
              <w:t>风险评价小结</w:t>
            </w:r>
          </w:p>
          <w:p w14:paraId="7BEAFE33">
            <w:pPr>
              <w:pStyle w:val="9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项目风险源主要为</w:t>
            </w:r>
            <w:r>
              <w:rPr>
                <w:rFonts w:hint="eastAsia" w:ascii="Times New Roman" w:hAnsi="Times New Roman" w:cs="Times New Roman"/>
                <w:bCs/>
                <w:color w:val="auto"/>
                <w:sz w:val="24"/>
                <w:szCs w:val="24"/>
                <w:lang w:val="en-US" w:eastAsia="zh-CN"/>
              </w:rPr>
              <w:t>废水处理设施管道渗漏或爆裂，通过泄漏渗透污染土壤及地下水；废气处理设施故障导致废气泄漏造成污染；厂区火灾消防废水泄漏污染地表水、地下水、土壤；火灾烟气泄漏污染大气</w:t>
            </w:r>
            <w:r>
              <w:rPr>
                <w:rFonts w:hint="eastAsia" w:ascii="Times New Roman" w:hAnsi="Times New Roman" w:cs="Times New Roman"/>
                <w:color w:val="auto"/>
                <w:sz w:val="24"/>
                <w:szCs w:val="24"/>
                <w:lang w:eastAsia="zh-CN"/>
              </w:rPr>
              <w:t>。</w:t>
            </w:r>
          </w:p>
          <w:p w14:paraId="7133344A">
            <w:pPr>
              <w:pStyle w:val="105"/>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通过实施本报告中提出的污染防治措施，项目发生事故时会对事故区域产生一定的污染影响，但该影响基本位于厂区以内，环境风险水平可以接受。</w:t>
            </w:r>
          </w:p>
          <w:p w14:paraId="2A1F9C99">
            <w:pPr>
              <w:keepNext w:val="0"/>
              <w:keepLines w:val="0"/>
              <w:suppressLineNumbers w:val="0"/>
              <w:tabs>
                <w:tab w:val="left" w:pos="0"/>
              </w:tabs>
              <w:spacing w:before="0" w:beforeAutospacing="0" w:after="0" w:afterAutospacing="0" w:line="360" w:lineRule="auto"/>
              <w:ind w:left="0" w:right="0"/>
              <w:rPr>
                <w:rFonts w:hint="default"/>
                <w:b/>
                <w:color w:val="auto"/>
                <w:spacing w:val="4"/>
                <w:sz w:val="24"/>
              </w:rPr>
            </w:pPr>
            <w:r>
              <w:rPr>
                <w:rFonts w:hint="default"/>
                <w:b/>
                <w:color w:val="auto"/>
                <w:spacing w:val="4"/>
                <w:sz w:val="24"/>
              </w:rPr>
              <w:t>4.7排污</w:t>
            </w:r>
            <w:r>
              <w:rPr>
                <w:rFonts w:hint="eastAsia"/>
                <w:b/>
                <w:color w:val="auto"/>
                <w:spacing w:val="4"/>
                <w:sz w:val="24"/>
              </w:rPr>
              <w:t>许可内容</w:t>
            </w:r>
          </w:p>
          <w:p w14:paraId="1C6848B8">
            <w:pPr>
              <w:keepNext w:val="0"/>
              <w:keepLines w:val="0"/>
              <w:suppressLineNumbers w:val="0"/>
              <w:spacing w:before="0" w:beforeAutospacing="0" w:after="0" w:afterAutospacing="0" w:line="351" w:lineRule="auto"/>
              <w:ind w:left="0" w:right="0" w:firstLine="482" w:firstLineChars="200"/>
              <w:rPr>
                <w:rFonts w:hint="default"/>
                <w:b/>
                <w:color w:val="auto"/>
                <w:sz w:val="24"/>
              </w:rPr>
            </w:pPr>
            <w:r>
              <w:rPr>
                <w:rFonts w:hint="eastAsia"/>
                <w:b/>
                <w:color w:val="auto"/>
                <w:sz w:val="24"/>
              </w:rPr>
              <w:t>1、</w:t>
            </w:r>
            <w:r>
              <w:rPr>
                <w:rFonts w:hint="default"/>
                <w:b/>
                <w:color w:val="auto"/>
                <w:sz w:val="24"/>
              </w:rPr>
              <w:t>排污许可管理类别判定</w:t>
            </w:r>
          </w:p>
          <w:p w14:paraId="6F7C80A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根据《固定污染源排污许可分类管理名录（2019年版）》（生态环境部令第11号）中的有关规定，</w:t>
            </w:r>
            <w:r>
              <w:rPr>
                <w:rFonts w:hint="default" w:ascii="Times New Roman" w:hAnsi="Times New Roman" w:eastAsia="宋体" w:cs="Times New Roman"/>
                <w:color w:val="auto"/>
                <w:kern w:val="0"/>
                <w:sz w:val="24"/>
              </w:rPr>
              <w:t>本项目属于</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九、食品制造业14-17方便食品制造143，其他食品制造149、其他*</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18糖果、巧克力及蜜饯制造142、其他*</w:t>
            </w:r>
            <w:r>
              <w:rPr>
                <w:rFonts w:hint="eastAsia" w:ascii="Times New Roman" w:hAnsi="Times New Roman" w:eastAsia="宋体" w:cs="Times New Roman"/>
                <w:color w:val="auto"/>
                <w:kern w:val="0"/>
                <w:sz w:val="24"/>
                <w:lang w:eastAsia="zh-CN"/>
              </w:rPr>
              <w:t>”</w:t>
            </w:r>
            <w:r>
              <w:rPr>
                <w:rFonts w:hint="eastAsia" w:cs="Times New Roman"/>
                <w:color w:val="auto"/>
                <w:kern w:val="0"/>
                <w:sz w:val="24"/>
                <w:lang w:val="en-US" w:eastAsia="zh-CN"/>
              </w:rPr>
              <w:t>和“十、酒、饮料和精制茶制造业15-22饮料制造152、</w:t>
            </w:r>
            <w:r>
              <w:rPr>
                <w:rFonts w:hint="eastAsia" w:ascii="Times New Roman" w:hAnsi="Times New Roman" w:eastAsia="宋体" w:cs="Times New Roman"/>
                <w:color w:val="auto"/>
                <w:kern w:val="0"/>
                <w:sz w:val="24"/>
                <w:lang w:val="en-US" w:eastAsia="zh-CN"/>
              </w:rPr>
              <w:t>其他*</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eastAsia="zh-CN"/>
              </w:rPr>
              <w:t>，</w:t>
            </w:r>
            <w:r>
              <w:rPr>
                <w:rFonts w:hint="eastAsia" w:cs="Times New Roman"/>
                <w:color w:val="auto"/>
                <w:kern w:val="0"/>
                <w:sz w:val="24"/>
                <w:lang w:val="en-US" w:eastAsia="zh-CN"/>
              </w:rPr>
              <w:t>本项目使用天然气锅炉为1t/h，</w:t>
            </w:r>
            <w:r>
              <w:rPr>
                <w:rFonts w:hint="eastAsia" w:ascii="Times New Roman" w:hAnsi="Times New Roman" w:eastAsia="宋体" w:cs="Times New Roman"/>
                <w:color w:val="auto"/>
                <w:kern w:val="0"/>
                <w:sz w:val="24"/>
                <w:lang w:val="en-US" w:eastAsia="zh-CN"/>
              </w:rPr>
              <w:t>因此，排污许可管理类别为</w:t>
            </w:r>
            <w:r>
              <w:rPr>
                <w:rFonts w:hint="eastAsia" w:cs="Times New Roman"/>
                <w:color w:val="auto"/>
                <w:kern w:val="0"/>
                <w:sz w:val="24"/>
                <w:lang w:val="en-US" w:eastAsia="zh-CN"/>
              </w:rPr>
              <w:t>登记</w:t>
            </w:r>
            <w:r>
              <w:rPr>
                <w:rFonts w:hint="eastAsia" w:ascii="Times New Roman" w:hAnsi="Times New Roman" w:eastAsia="宋体" w:cs="Times New Roman"/>
                <w:color w:val="auto"/>
                <w:kern w:val="0"/>
                <w:sz w:val="24"/>
                <w:lang w:val="en-US" w:eastAsia="zh-CN"/>
              </w:rPr>
              <w:t>管理。</w:t>
            </w:r>
          </w:p>
          <w:p w14:paraId="45DF028E">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排污许可类别对照表</w:t>
            </w:r>
          </w:p>
          <w:tbl>
            <w:tblPr>
              <w:tblStyle w:val="36"/>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492"/>
              <w:gridCol w:w="1043"/>
              <w:gridCol w:w="2595"/>
              <w:gridCol w:w="1710"/>
              <w:gridCol w:w="1102"/>
            </w:tblGrid>
            <w:tr w14:paraId="0428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28" w:type="dxa"/>
                  <w:gridSpan w:val="2"/>
                  <w:vMerge w:val="restart"/>
                  <w:vAlign w:val="center"/>
                </w:tcPr>
                <w:p w14:paraId="4ACEC8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rPr>
                    <mc:AlternateContent>
                      <mc:Choice Requires="wps">
                        <w:drawing>
                          <wp:anchor distT="0" distB="0" distL="0" distR="0" simplePos="0" relativeHeight="251659264" behindDoc="0" locked="0" layoutInCell="1" allowOverlap="1">
                            <wp:simplePos x="0" y="0"/>
                            <wp:positionH relativeFrom="column">
                              <wp:posOffset>-63500</wp:posOffset>
                            </wp:positionH>
                            <wp:positionV relativeFrom="paragraph">
                              <wp:posOffset>1270</wp:posOffset>
                            </wp:positionV>
                            <wp:extent cx="1390650" cy="487680"/>
                            <wp:effectExtent l="1270" t="4445" r="17780" b="22225"/>
                            <wp:wrapNone/>
                            <wp:docPr id="1053" name="直接连接符 7"/>
                            <wp:cNvGraphicFramePr/>
                            <a:graphic xmlns:a="http://schemas.openxmlformats.org/drawingml/2006/main">
                              <a:graphicData uri="http://schemas.microsoft.com/office/word/2010/wordprocessingShape">
                                <wps:wsp>
                                  <wps:cNvCnPr/>
                                  <wps:spPr>
                                    <a:xfrm>
                                      <a:off x="0" y="0"/>
                                      <a:ext cx="1390650" cy="487680"/>
                                    </a:xfrm>
                                    <a:prstGeom prst="line">
                                      <a:avLst/>
                                    </a:prstGeom>
                                    <a:ln w="0" cap="flat" cmpd="sng">
                                      <a:solidFill>
                                        <a:srgbClr val="000000"/>
                                      </a:solidFill>
                                      <a:prstDash val="solid"/>
                                      <a:round/>
                                    </a:ln>
                                  </wps:spPr>
                                  <wps:bodyPr/>
                                </wps:wsp>
                              </a:graphicData>
                            </a:graphic>
                          </wp:anchor>
                        </w:drawing>
                      </mc:Choice>
                      <mc:Fallback>
                        <w:pict>
                          <v:line id="直接连接符 7" o:spid="_x0000_s1026" o:spt="20" style="position:absolute;left:0pt;margin-left:-5pt;margin-top:0.1pt;height:38.4pt;width:109.5pt;z-index:251659264;mso-width-relative:page;mso-height-relative:page;" filled="f" stroked="t" coordsize="21600,21600" o:gfxdata="UEsDBAoAAAAAAIdO4kAAAAAAAAAAAAAAAAAEAAAAZHJzL1BLAwQUAAAACACHTuJA2NrILtYAAAAH&#10;AQAADwAAAGRycy9kb3ducmV2LnhtbE2PzU7DMBCE70i8g7VI3FpvgtRCyKaHIi6AhBqQ4LiNlyQl&#10;tqPY/eHtMSd6HM1o5ptydbKDOsgUeu8IsjmCEtd407uW4P3tcXYLKkR2hgfvhOBHAqyqy4uSC+OP&#10;biOHOrYqlbhQMEEX41hoHZpOLIe5H8Ul78tPlmOSU6vNxMdUbgedIy605d6lhY5HWXfSfNd7S4Cv&#10;z4tP/bLe7T6eHjbIN/WAWU10fZXhPagop/gfhj/8hA5VYtr6vTNBDQSzDNOXSJCDSnaOd0luCZZL&#10;BF2V+py/+gVQSwMEFAAAAAgAh07iQOO6qmDWAQAAkwMAAA4AAABkcnMvZTJvRG9jLnhtbK1TzW4T&#10;MRC+I/EOlu9kNy1N01U2PTQqFwSRoA/geL27lvynGSebvAQvgMQNThy58zaUx2DsDSmUSw/swTue&#10;n2/8fR4vrvfWsJ0C1N7VfDopOVNO+ka7ruZ3729fzDnDKFwjjHeq5geF/Hr5/NliCJU68703jQJG&#10;IA6rIdS8jzFURYGyV1bgxAflKNh6sCLSFrqiATEQujXFWVnOisFDE8BLhUje1RjkR0R4CqBvWy3V&#10;ysutVS6OqKCMiEQJex2QL/Np21bJ+LZtUUVmak5MY16pCdmbtBbLhag6EKHX8ngE8ZQjPOJkhXbU&#10;9AS1ElGwLeh/oKyW4NG3cSK9LUYiWRFiMS0fafOuF0FlLiQ1hpPo+P9g5ZvdGphuaBLKi3POnLB0&#10;5/cfv/348Pnn90+03n/9wi6TTkPAitJv3BqOOwxrSKT3Ldj0Jzpsn7U9nLRV+8gkOafnV+XsgmSX&#10;FHs5v5zNs/jFQ3UAjK+UtywZNTfaJe6iErvXGKkjpf5OSW7j2JB7SUFT2NLtE7YNxARdlwvRG93c&#10;amNSOkK3uTHAdiJNQv4SKQL9Ky11WAnsx7wcGmcE/NY1Y4FxVJfUGPkna+ObQ5Yl++muMvJxrtIw&#10;/LnP1Q9vaf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2NrILtYAAAAHAQAADwAAAAAAAAABACAA&#10;AAAiAAAAZHJzL2Rvd25yZXYueG1sUEsBAhQAFAAAAAgAh07iQOO6qmDWAQAAkwMAAA4AAAAAAAAA&#10;AQAgAAAAJQEAAGRycy9lMm9Eb2MueG1sUEsFBgAAAAAGAAYAWQEAAG0FAAAAAA==&#10;">
                            <v:fill on="f" focussize="0,0"/>
                            <v:stroke weight="0pt" color="#000000" joinstyle="round"/>
                            <v:imagedata o:title=""/>
                            <o:lock v:ext="edit" aspectratio="f"/>
                          </v:line>
                        </w:pict>
                      </mc:Fallback>
                    </mc:AlternateContent>
                  </w:r>
                  <w:r>
                    <w:rPr>
                      <w:rFonts w:hint="default" w:ascii="Times New Roman" w:hAnsi="Times New Roman" w:eastAsia="宋体" w:cs="Times New Roman"/>
                      <w:color w:val="auto"/>
                      <w:szCs w:val="21"/>
                    </w:rPr>
                    <w:t>项目类别</w:t>
                  </w:r>
                </w:p>
                <w:p w14:paraId="34653C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p>
                <w:p w14:paraId="31620EB1">
                  <w:pPr>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排污许可类别</w:t>
                  </w:r>
                </w:p>
              </w:tc>
              <w:tc>
                <w:tcPr>
                  <w:tcW w:w="5348" w:type="dxa"/>
                  <w:gridSpan w:val="3"/>
                  <w:vAlign w:val="center"/>
                </w:tcPr>
                <w:p w14:paraId="6B5C450B">
                  <w:pPr>
                    <w:keepNext w:val="0"/>
                    <w:keepLines w:val="0"/>
                    <w:widowControl w:val="0"/>
                    <w:suppressLineNumbers w:val="0"/>
                    <w:spacing w:before="0" w:beforeAutospacing="0" w:after="0" w:afterAutospacing="0"/>
                    <w:ind w:left="0" w:leftChars="0" w:right="0" w:firstLine="420" w:firstLineChars="20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排污许可类别</w:t>
                  </w:r>
                </w:p>
              </w:tc>
              <w:tc>
                <w:tcPr>
                  <w:tcW w:w="1102" w:type="dxa"/>
                  <w:vMerge w:val="restart"/>
                  <w:vAlign w:val="center"/>
                </w:tcPr>
                <w:p w14:paraId="33F1570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Cs w:val="21"/>
                    </w:rPr>
                    <w:t>排污许可</w:t>
                  </w:r>
                  <w:r>
                    <w:rPr>
                      <w:rFonts w:hint="eastAsia" w:ascii="Times New Roman" w:hAnsi="Times New Roman" w:eastAsia="宋体" w:cs="Times New Roman"/>
                      <w:color w:val="auto"/>
                      <w:sz w:val="21"/>
                      <w:szCs w:val="21"/>
                    </w:rPr>
                    <w:t>管理类别</w:t>
                  </w:r>
                </w:p>
              </w:tc>
            </w:tr>
            <w:tr w14:paraId="63A5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8" w:type="dxa"/>
                  <w:gridSpan w:val="2"/>
                  <w:vMerge w:val="continue"/>
                  <w:vAlign w:val="center"/>
                </w:tcPr>
                <w:p w14:paraId="3A656B1A">
                  <w:pPr>
                    <w:keepNext w:val="0"/>
                    <w:keepLines w:val="0"/>
                    <w:widowControl w:val="0"/>
                    <w:suppressLineNumbers w:val="0"/>
                    <w:spacing w:before="0" w:beforeAutospacing="0" w:after="0" w:afterAutospacing="0"/>
                    <w:ind w:left="0" w:leftChars="0" w:right="0" w:firstLine="420" w:firstLineChars="200"/>
                    <w:jc w:val="center"/>
                    <w:rPr>
                      <w:rFonts w:hint="default" w:ascii="Times New Roman" w:hAnsi="Times New Roman" w:eastAsia="宋体" w:cs="Times New Roman"/>
                      <w:color w:val="auto"/>
                      <w:kern w:val="2"/>
                      <w:sz w:val="21"/>
                      <w:szCs w:val="21"/>
                      <w:lang w:val="en-US" w:eastAsia="zh-CN" w:bidi="ar-SA"/>
                    </w:rPr>
                  </w:pPr>
                </w:p>
              </w:tc>
              <w:tc>
                <w:tcPr>
                  <w:tcW w:w="1043" w:type="dxa"/>
                  <w:vAlign w:val="center"/>
                </w:tcPr>
                <w:p w14:paraId="20E5FF01">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重点管理</w:t>
                  </w:r>
                </w:p>
              </w:tc>
              <w:tc>
                <w:tcPr>
                  <w:tcW w:w="2595" w:type="dxa"/>
                  <w:vAlign w:val="center"/>
                </w:tcPr>
                <w:p w14:paraId="471478EA">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简化管理</w:t>
                  </w:r>
                </w:p>
              </w:tc>
              <w:tc>
                <w:tcPr>
                  <w:tcW w:w="1710" w:type="dxa"/>
                  <w:vAlign w:val="center"/>
                </w:tcPr>
                <w:p w14:paraId="50DDA72D">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登记</w:t>
                  </w:r>
                  <w:r>
                    <w:rPr>
                      <w:rFonts w:hint="eastAsia" w:ascii="Times New Roman" w:hAnsi="Times New Roman" w:eastAsia="宋体" w:cs="Times New Roman"/>
                      <w:color w:val="auto"/>
                      <w:kern w:val="2"/>
                      <w:sz w:val="21"/>
                      <w:szCs w:val="21"/>
                      <w:lang w:val="en-US" w:eastAsia="zh-CN" w:bidi="ar-SA"/>
                    </w:rPr>
                    <w:t>管理</w:t>
                  </w:r>
                </w:p>
              </w:tc>
              <w:tc>
                <w:tcPr>
                  <w:tcW w:w="1102" w:type="dxa"/>
                  <w:vMerge w:val="continue"/>
                  <w:vAlign w:val="center"/>
                </w:tcPr>
                <w:p w14:paraId="68EAD49A">
                  <w:pPr>
                    <w:keepNext w:val="0"/>
                    <w:keepLines w:val="0"/>
                    <w:widowControl w:val="0"/>
                    <w:suppressLineNumbers w:val="0"/>
                    <w:spacing w:before="0" w:beforeAutospacing="0" w:after="0" w:afterAutospacing="0"/>
                    <w:ind w:left="0" w:leftChars="0" w:right="0" w:firstLine="420" w:firstLineChars="200"/>
                    <w:jc w:val="center"/>
                    <w:rPr>
                      <w:rFonts w:hint="default" w:ascii="Times New Roman" w:hAnsi="Times New Roman" w:eastAsia="宋体" w:cs="Times New Roman"/>
                      <w:color w:val="auto"/>
                      <w:kern w:val="2"/>
                      <w:sz w:val="21"/>
                      <w:szCs w:val="21"/>
                      <w:lang w:val="en-US" w:eastAsia="zh-CN" w:bidi="ar-SA"/>
                    </w:rPr>
                  </w:pPr>
                </w:p>
              </w:tc>
            </w:tr>
            <w:tr w14:paraId="6BEE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678" w:type="dxa"/>
                  <w:gridSpan w:val="6"/>
                  <w:shd w:val="clear" w:color="auto" w:fill="auto"/>
                  <w:vAlign w:val="center"/>
                </w:tcPr>
                <w:p w14:paraId="162892F3">
                  <w:pPr>
                    <w:keepNext w:val="0"/>
                    <w:keepLines w:val="0"/>
                    <w:widowControl w:val="0"/>
                    <w:suppressLineNumbers w:val="0"/>
                    <w:bidi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九、食品制造业14</w:t>
                  </w:r>
                </w:p>
              </w:tc>
            </w:tr>
            <w:tr w14:paraId="43FA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shd w:val="clear" w:color="auto" w:fill="auto"/>
                  <w:vAlign w:val="center"/>
                </w:tcPr>
                <w:p w14:paraId="474672D2">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17</w:t>
                  </w:r>
                </w:p>
              </w:tc>
              <w:tc>
                <w:tcPr>
                  <w:tcW w:w="1492" w:type="dxa"/>
                  <w:shd w:val="clear" w:color="auto" w:fill="auto"/>
                  <w:vAlign w:val="center"/>
                </w:tcPr>
                <w:p w14:paraId="24D14E4C">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方便食品制造143，其他食品制造149</w:t>
                  </w:r>
                </w:p>
              </w:tc>
              <w:tc>
                <w:tcPr>
                  <w:tcW w:w="1043" w:type="dxa"/>
                  <w:shd w:val="clear" w:color="auto" w:fill="auto"/>
                  <w:vAlign w:val="center"/>
                </w:tcPr>
                <w:p w14:paraId="5A6D2197">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2595" w:type="dxa"/>
                  <w:shd w:val="clear" w:color="auto" w:fill="auto"/>
                  <w:vAlign w:val="center"/>
                </w:tcPr>
                <w:p w14:paraId="6DE3BAFE">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米、面制品制造1431*，速冻食品制造1432*，方便面制造1433*，</w:t>
                  </w:r>
                  <w:r>
                    <w:rPr>
                      <w:rFonts w:hint="eastAsia" w:ascii="Times New Roman" w:hAnsi="Times New Roman" w:eastAsia="宋体" w:cs="Times New Roman"/>
                      <w:b w:val="0"/>
                      <w:bCs w:val="0"/>
                      <w:color w:val="auto"/>
                      <w:kern w:val="2"/>
                      <w:sz w:val="21"/>
                      <w:szCs w:val="24"/>
                      <w:lang w:val="en-US" w:eastAsia="zh-CN" w:bidi="ar-SA"/>
                    </w:rPr>
                    <w:t>其他方便食品制造1439*，</w:t>
                  </w:r>
                  <w:r>
                    <w:rPr>
                      <w:rFonts w:hint="eastAsia" w:ascii="Times New Roman" w:hAnsi="Times New Roman" w:eastAsia="宋体" w:cs="Times New Roman"/>
                      <w:color w:val="auto"/>
                      <w:kern w:val="2"/>
                      <w:sz w:val="21"/>
                      <w:szCs w:val="24"/>
                      <w:lang w:val="en-US" w:eastAsia="zh-CN" w:bidi="ar-SA"/>
                    </w:rPr>
                    <w:t>食品及饲料添加剂制造1495*，以上均不含手工制作、单纯混合或者分装的</w:t>
                  </w:r>
                </w:p>
              </w:tc>
              <w:tc>
                <w:tcPr>
                  <w:tcW w:w="1710" w:type="dxa"/>
                  <w:shd w:val="clear" w:color="auto" w:fill="auto"/>
                  <w:vAlign w:val="center"/>
                </w:tcPr>
                <w:p w14:paraId="7ACDC81F">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其他*</w:t>
                  </w:r>
                </w:p>
              </w:tc>
              <w:tc>
                <w:tcPr>
                  <w:tcW w:w="1102" w:type="dxa"/>
                  <w:vAlign w:val="center"/>
                </w:tcPr>
                <w:p w14:paraId="1AAB4303">
                  <w:pPr>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登记</w:t>
                  </w:r>
                  <w:r>
                    <w:rPr>
                      <w:rFonts w:hint="eastAsia" w:ascii="Times New Roman" w:hAnsi="Times New Roman" w:eastAsia="宋体" w:cs="Times New Roman"/>
                      <w:color w:val="auto"/>
                      <w:kern w:val="2"/>
                      <w:sz w:val="21"/>
                      <w:szCs w:val="21"/>
                      <w:lang w:val="en-US" w:eastAsia="zh-CN" w:bidi="ar-SA"/>
                    </w:rPr>
                    <w:t>管理</w:t>
                  </w:r>
                </w:p>
              </w:tc>
            </w:tr>
            <w:tr w14:paraId="26DD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shd w:val="clear" w:color="auto" w:fill="auto"/>
                  <w:vAlign w:val="center"/>
                </w:tcPr>
                <w:p w14:paraId="03A287DF">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18</w:t>
                  </w:r>
                </w:p>
              </w:tc>
              <w:tc>
                <w:tcPr>
                  <w:tcW w:w="1492" w:type="dxa"/>
                  <w:shd w:val="clear" w:color="auto" w:fill="auto"/>
                  <w:vAlign w:val="center"/>
                </w:tcPr>
                <w:p w14:paraId="7E029C70">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焙烤食品制造141，糖果、巧克力及蜜饯制造142，罐头食品制造145</w:t>
                  </w:r>
                </w:p>
              </w:tc>
              <w:tc>
                <w:tcPr>
                  <w:tcW w:w="1043" w:type="dxa"/>
                  <w:shd w:val="clear" w:color="auto" w:fill="auto"/>
                  <w:vAlign w:val="center"/>
                </w:tcPr>
                <w:p w14:paraId="56BBAE66">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涉及通用工序重点管理的</w:t>
                  </w:r>
                </w:p>
              </w:tc>
              <w:tc>
                <w:tcPr>
                  <w:tcW w:w="2595" w:type="dxa"/>
                  <w:shd w:val="clear" w:color="auto" w:fill="auto"/>
                  <w:vAlign w:val="center"/>
                </w:tcPr>
                <w:p w14:paraId="0CBDAD0E">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涉及通用工序简化管理的</w:t>
                  </w:r>
                </w:p>
              </w:tc>
              <w:tc>
                <w:tcPr>
                  <w:tcW w:w="1710" w:type="dxa"/>
                  <w:shd w:val="clear" w:color="auto" w:fill="auto"/>
                  <w:vAlign w:val="center"/>
                </w:tcPr>
                <w:p w14:paraId="335AC200">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其他*</w:t>
                  </w:r>
                </w:p>
              </w:tc>
              <w:tc>
                <w:tcPr>
                  <w:tcW w:w="1102" w:type="dxa"/>
                  <w:vAlign w:val="center"/>
                </w:tcPr>
                <w:p w14:paraId="40161CAC">
                  <w:pPr>
                    <w:keepNext w:val="0"/>
                    <w:keepLines w:val="0"/>
                    <w:widowControl w:val="0"/>
                    <w:suppressLineNumbers w:val="0"/>
                    <w:spacing w:before="0" w:beforeAutospacing="0" w:after="0" w:afterAutospacing="0"/>
                    <w:ind w:left="0" w:leftChars="0" w:right="0" w:firstLine="0" w:firstLineChars="0"/>
                    <w:jc w:val="both"/>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登记管理</w:t>
                  </w:r>
                </w:p>
              </w:tc>
            </w:tr>
            <w:tr w14:paraId="413B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78" w:type="dxa"/>
                  <w:gridSpan w:val="6"/>
                  <w:shd w:val="clear" w:color="auto" w:fill="auto"/>
                  <w:vAlign w:val="center"/>
                </w:tcPr>
                <w:p w14:paraId="25FDE4AE">
                  <w:pPr>
                    <w:keepNext w:val="0"/>
                    <w:keepLines w:val="0"/>
                    <w:widowControl w:val="0"/>
                    <w:suppressLineNumbers w:val="0"/>
                    <w:bidi w:val="0"/>
                    <w:spacing w:before="0" w:beforeAutospacing="0" w:after="0" w:afterAutospacing="0" w:line="240" w:lineRule="auto"/>
                    <w:ind w:left="0" w:right="0" w:firstLine="0" w:firstLineChars="0"/>
                    <w:jc w:val="both"/>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4"/>
                      <w:lang w:val="en-US" w:eastAsia="zh-CN" w:bidi="ar-SA"/>
                    </w:rPr>
                    <w:t>十、酒、饮料和精制茶制造业15</w:t>
                  </w:r>
                </w:p>
              </w:tc>
            </w:tr>
            <w:tr w14:paraId="69ED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shd w:val="clear" w:color="auto" w:fill="auto"/>
                  <w:vAlign w:val="center"/>
                </w:tcPr>
                <w:p w14:paraId="4C131ABB">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22</w:t>
                  </w:r>
                </w:p>
              </w:tc>
              <w:tc>
                <w:tcPr>
                  <w:tcW w:w="1492" w:type="dxa"/>
                  <w:shd w:val="clear" w:color="auto" w:fill="auto"/>
                  <w:vAlign w:val="center"/>
                </w:tcPr>
                <w:p w14:paraId="66CCF717">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饮料制造152</w:t>
                  </w:r>
                </w:p>
              </w:tc>
              <w:tc>
                <w:tcPr>
                  <w:tcW w:w="1043" w:type="dxa"/>
                  <w:shd w:val="clear" w:color="auto" w:fill="auto"/>
                  <w:vAlign w:val="center"/>
                </w:tcPr>
                <w:p w14:paraId="5D9AF3BF">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w:t>
                  </w:r>
                </w:p>
              </w:tc>
              <w:tc>
                <w:tcPr>
                  <w:tcW w:w="2595" w:type="dxa"/>
                  <w:shd w:val="clear" w:color="auto" w:fill="auto"/>
                  <w:vAlign w:val="center"/>
                </w:tcPr>
                <w:p w14:paraId="1C0DEDEF">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有发酵工艺或者原汁生产的*</w:t>
                  </w:r>
                </w:p>
              </w:tc>
              <w:tc>
                <w:tcPr>
                  <w:tcW w:w="1710" w:type="dxa"/>
                  <w:shd w:val="clear" w:color="auto" w:fill="auto"/>
                  <w:vAlign w:val="center"/>
                </w:tcPr>
                <w:p w14:paraId="793073BF">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其他*</w:t>
                  </w:r>
                </w:p>
              </w:tc>
              <w:tc>
                <w:tcPr>
                  <w:tcW w:w="1102" w:type="dxa"/>
                  <w:vAlign w:val="center"/>
                </w:tcPr>
                <w:p w14:paraId="5D97017A">
                  <w:pPr>
                    <w:keepNext w:val="0"/>
                    <w:keepLines w:val="0"/>
                    <w:widowControl w:val="0"/>
                    <w:suppressLineNumbers w:val="0"/>
                    <w:spacing w:before="0" w:beforeAutospacing="0" w:after="0" w:afterAutospacing="0"/>
                    <w:ind w:left="0" w:leftChars="0" w:right="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登记</w:t>
                  </w:r>
                  <w:r>
                    <w:rPr>
                      <w:rFonts w:hint="eastAsia" w:ascii="Times New Roman" w:hAnsi="Times New Roman" w:eastAsia="宋体" w:cs="Times New Roman"/>
                      <w:color w:val="auto"/>
                      <w:kern w:val="2"/>
                      <w:sz w:val="21"/>
                      <w:szCs w:val="21"/>
                      <w:lang w:val="en-US" w:eastAsia="zh-CN" w:bidi="ar-SA"/>
                    </w:rPr>
                    <w:t>管理</w:t>
                  </w:r>
                </w:p>
              </w:tc>
            </w:tr>
            <w:tr w14:paraId="4D04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78" w:type="dxa"/>
                  <w:gridSpan w:val="6"/>
                  <w:shd w:val="clear" w:color="auto" w:fill="auto"/>
                  <w:vAlign w:val="center"/>
                </w:tcPr>
                <w:p w14:paraId="5118B72F">
                  <w:pPr>
                    <w:keepNext w:val="0"/>
                    <w:keepLines w:val="0"/>
                    <w:widowControl w:val="0"/>
                    <w:suppressLineNumbers w:val="0"/>
                    <w:spacing w:before="0" w:beforeAutospacing="0" w:after="0" w:afterAutospacing="0"/>
                    <w:ind w:left="0" w:leftChars="0" w:right="0" w:firstLine="0" w:firstLineChars="0"/>
                    <w:jc w:val="both"/>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五十一、通用工序</w:t>
                  </w:r>
                </w:p>
              </w:tc>
            </w:tr>
            <w:tr w14:paraId="1A5A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shd w:val="clear" w:color="auto" w:fill="auto"/>
                  <w:vAlign w:val="center"/>
                </w:tcPr>
                <w:p w14:paraId="0C5172BE">
                  <w:pPr>
                    <w:keepNext w:val="0"/>
                    <w:keepLines w:val="0"/>
                    <w:widowControl w:val="0"/>
                    <w:suppressLineNumbers w:val="0"/>
                    <w:bidi w:val="0"/>
                    <w:spacing w:before="0" w:beforeAutospacing="0" w:after="0" w:afterAutospacing="0" w:line="240" w:lineRule="auto"/>
                    <w:ind w:left="0" w:right="0" w:firstLine="0" w:firstLine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109</w:t>
                  </w:r>
                </w:p>
              </w:tc>
              <w:tc>
                <w:tcPr>
                  <w:tcW w:w="1492" w:type="dxa"/>
                  <w:shd w:val="clear" w:color="auto" w:fill="auto"/>
                  <w:vAlign w:val="center"/>
                </w:tcPr>
                <w:p w14:paraId="3BAC1B42">
                  <w:pPr>
                    <w:keepNext w:val="0"/>
                    <w:keepLines w:val="0"/>
                    <w:widowControl w:val="0"/>
                    <w:suppressLineNumbers w:val="0"/>
                    <w:bidi w:val="0"/>
                    <w:spacing w:before="0" w:beforeAutospacing="0" w:after="0" w:afterAutospacing="0" w:line="240" w:lineRule="auto"/>
                    <w:ind w:left="0" w:right="0" w:firstLine="0" w:firstLine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锅炉</w:t>
                  </w:r>
                </w:p>
              </w:tc>
              <w:tc>
                <w:tcPr>
                  <w:tcW w:w="1043" w:type="dxa"/>
                  <w:shd w:val="clear" w:color="auto" w:fill="auto"/>
                  <w:vAlign w:val="center"/>
                </w:tcPr>
                <w:p w14:paraId="5A77A656">
                  <w:pPr>
                    <w:keepNext w:val="0"/>
                    <w:keepLines w:val="0"/>
                    <w:widowControl w:val="0"/>
                    <w:suppressLineNumbers w:val="0"/>
                    <w:bidi w:val="0"/>
                    <w:spacing w:before="0" w:beforeAutospacing="0" w:after="0" w:afterAutospacing="0" w:line="240" w:lineRule="auto"/>
                    <w:ind w:left="0" w:right="0" w:firstLine="0" w:firstLine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纳入重点排污单位名录的</w:t>
                  </w:r>
                </w:p>
              </w:tc>
              <w:tc>
                <w:tcPr>
                  <w:tcW w:w="2595" w:type="dxa"/>
                  <w:shd w:val="clear" w:color="auto" w:fill="auto"/>
                  <w:vAlign w:val="center"/>
                </w:tcPr>
                <w:p w14:paraId="3D543859">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除纳入重点排污单位名录的，单台或者合计出力20吨/小时（14兆瓦）及以上的锅炉（不含电热锅炉）</w:t>
                  </w:r>
                </w:p>
              </w:tc>
              <w:tc>
                <w:tcPr>
                  <w:tcW w:w="1710" w:type="dxa"/>
                  <w:shd w:val="clear" w:color="auto" w:fill="auto"/>
                  <w:vAlign w:val="center"/>
                </w:tcPr>
                <w:p w14:paraId="4A536E57">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除纳入重点排污单位名录的，单台且合计出力20吨/小时（14兆瓦）以下的锅炉（不含电热锅炉）</w:t>
                  </w:r>
                </w:p>
              </w:tc>
              <w:tc>
                <w:tcPr>
                  <w:tcW w:w="1102" w:type="dxa"/>
                  <w:vAlign w:val="center"/>
                </w:tcPr>
                <w:p w14:paraId="7CF368F1">
                  <w:pPr>
                    <w:keepNext w:val="0"/>
                    <w:keepLines w:val="0"/>
                    <w:widowControl w:val="0"/>
                    <w:suppressLineNumbers w:val="0"/>
                    <w:spacing w:before="0" w:beforeAutospacing="0" w:after="0" w:afterAutospacing="0"/>
                    <w:ind w:left="0" w:leftChars="0" w:right="0" w:firstLine="0" w:firstLineChars="0"/>
                    <w:jc w:val="both"/>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登记管理</w:t>
                  </w:r>
                </w:p>
              </w:tc>
            </w:tr>
          </w:tbl>
          <w:p w14:paraId="3CD4A1FF">
            <w:pPr>
              <w:keepNext w:val="0"/>
              <w:keepLines w:val="0"/>
              <w:suppressLineNumbers w:val="0"/>
              <w:spacing w:before="0" w:beforeAutospacing="0" w:after="0" w:afterAutospacing="0" w:line="351" w:lineRule="auto"/>
              <w:ind w:left="0" w:right="0" w:firstLine="420" w:firstLineChars="200"/>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rPr>
              <w:t>注</w:t>
            </w:r>
            <w:r>
              <w:rPr>
                <w:rFonts w:hint="eastAsia" w:cs="Times New Roman"/>
                <w:b w:val="0"/>
                <w:bCs/>
                <w:color w:val="auto"/>
                <w:sz w:val="21"/>
                <w:szCs w:val="21"/>
                <w:lang w:eastAsia="zh-CN"/>
              </w:rPr>
              <w:t>：</w:t>
            </w:r>
            <w:r>
              <w:rPr>
                <w:rFonts w:hint="eastAsia" w:ascii="Times New Roman" w:hAnsi="Times New Roman" w:eastAsia="宋体" w:cs="Times New Roman"/>
                <w:b w:val="0"/>
                <w:bCs/>
                <w:color w:val="auto"/>
                <w:sz w:val="21"/>
                <w:szCs w:val="21"/>
              </w:rPr>
              <w:t>表格中标“﹡”号者，是指在工业建筑中生产的排污单位。工业建筑的定义参见《工程结构设计基本术语标准》（GB/T 50083-2014），是指提供生产用的各种建筑物，如车间、厂前区建筑、生活间、动力站、库房和运输设施等</w:t>
            </w:r>
            <w:r>
              <w:rPr>
                <w:rFonts w:hint="eastAsia" w:cs="Times New Roman"/>
                <w:b w:val="0"/>
                <w:bCs/>
                <w:color w:val="auto"/>
                <w:sz w:val="21"/>
                <w:szCs w:val="21"/>
                <w:lang w:eastAsia="zh-CN"/>
              </w:rPr>
              <w:t>。</w:t>
            </w:r>
          </w:p>
          <w:p w14:paraId="570AA3F3">
            <w:pPr>
              <w:keepNext w:val="0"/>
              <w:keepLines w:val="0"/>
              <w:suppressLineNumbers w:val="0"/>
              <w:spacing w:before="0" w:beforeAutospacing="0" w:after="0" w:afterAutospacing="0" w:line="351" w:lineRule="auto"/>
              <w:ind w:left="0" w:right="0" w:firstLine="482" w:firstLineChars="20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rPr>
              <w:t>2</w:t>
            </w:r>
            <w:r>
              <w:rPr>
                <w:rFonts w:hint="default" w:ascii="Times New Roman" w:hAnsi="Times New Roman" w:eastAsia="宋体" w:cs="Times New Roman"/>
                <w:b/>
                <w:color w:val="auto"/>
                <w:sz w:val="24"/>
              </w:rPr>
              <w:t>、</w:t>
            </w:r>
            <w:r>
              <w:rPr>
                <w:rFonts w:hint="eastAsia" w:ascii="Times New Roman" w:hAnsi="Times New Roman" w:eastAsia="宋体" w:cs="Times New Roman"/>
                <w:b/>
                <w:color w:val="auto"/>
                <w:sz w:val="24"/>
              </w:rPr>
              <w:t>排污许可</w:t>
            </w:r>
            <w:r>
              <w:rPr>
                <w:rFonts w:hint="default" w:ascii="Times New Roman" w:hAnsi="Times New Roman" w:eastAsia="宋体" w:cs="Times New Roman"/>
                <w:b/>
                <w:color w:val="auto"/>
                <w:sz w:val="24"/>
              </w:rPr>
              <w:t>适用技术规范</w:t>
            </w:r>
          </w:p>
          <w:p w14:paraId="60639479">
            <w:pPr>
              <w:keepNext w:val="0"/>
              <w:keepLines w:val="0"/>
              <w:suppressLineNumbers w:val="0"/>
              <w:spacing w:before="0" w:beforeAutospacing="0" w:after="0" w:afterAutospacing="0" w:line="351"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w:t>
            </w:r>
            <w:r>
              <w:rPr>
                <w:rFonts w:hint="eastAsia" w:ascii="Times New Roman" w:hAnsi="Times New Roman" w:eastAsia="宋体" w:cs="Times New Roman"/>
                <w:color w:val="auto"/>
                <w:sz w:val="24"/>
              </w:rPr>
              <w:t>适用的</w:t>
            </w:r>
            <w:r>
              <w:rPr>
                <w:rFonts w:hint="default" w:ascii="Times New Roman" w:hAnsi="Times New Roman" w:eastAsia="宋体" w:cs="Times New Roman"/>
                <w:color w:val="auto"/>
                <w:sz w:val="24"/>
              </w:rPr>
              <w:t>排污许可技术规范为</w:t>
            </w:r>
            <w:r>
              <w:rPr>
                <w:rFonts w:hint="eastAsia" w:ascii="Times New Roman" w:hAnsi="Times New Roman" w:eastAsia="宋体" w:cs="Times New Roman"/>
                <w:color w:val="auto"/>
                <w:sz w:val="24"/>
                <w:lang w:val="en-US" w:eastAsia="zh-CN"/>
              </w:rPr>
              <w:t>《排污单位自行监测技术指南 食品制造》（HJ1084-2020）、《排污许可证申请与核发技术规范</w:t>
            </w:r>
            <w:r>
              <w:rPr>
                <w:rFonts w:hint="eastAsia" w:cs="Times New Roman"/>
                <w:color w:val="auto"/>
                <w:sz w:val="24"/>
                <w:lang w:val="en-US" w:eastAsia="zh-CN"/>
              </w:rPr>
              <w:t xml:space="preserve"> </w:t>
            </w:r>
            <w:r>
              <w:rPr>
                <w:rFonts w:hint="eastAsia" w:ascii="Times New Roman" w:hAnsi="Times New Roman" w:eastAsia="宋体" w:cs="Times New Roman"/>
                <w:color w:val="auto"/>
                <w:sz w:val="24"/>
                <w:lang w:val="en-US" w:eastAsia="zh-CN"/>
              </w:rPr>
              <w:t>酒、饮料制造工业》（HJ1028-2019）、</w:t>
            </w:r>
            <w:r>
              <w:rPr>
                <w:rFonts w:hint="eastAsia" w:cs="Times New Roman"/>
                <w:color w:val="auto"/>
                <w:sz w:val="24"/>
                <w:lang w:val="en-US" w:eastAsia="zh-CN"/>
              </w:rPr>
              <w:t>《排污许可证申请与核发技术规范 锅炉》</w:t>
            </w:r>
            <w:r>
              <w:rPr>
                <w:rFonts w:hint="eastAsia" w:ascii="Times New Roman" w:hAnsi="Times New Roman" w:eastAsia="宋体" w:cs="Times New Roman"/>
                <w:color w:val="auto"/>
                <w:sz w:val="24"/>
                <w:lang w:val="en-US" w:eastAsia="zh-CN"/>
              </w:rPr>
              <w:t>（HJ953-2018）</w:t>
            </w:r>
            <w:r>
              <w:rPr>
                <w:rFonts w:hint="default" w:ascii="Times New Roman" w:hAnsi="Times New Roman" w:eastAsia="宋体" w:cs="Times New Roman"/>
                <w:color w:val="auto"/>
                <w:sz w:val="24"/>
              </w:rPr>
              <w:t>。环评要求本次建设完成后有排污活动之前，</w:t>
            </w:r>
            <w:r>
              <w:rPr>
                <w:rFonts w:hint="eastAsia" w:ascii="Times New Roman" w:hAnsi="Times New Roman" w:eastAsia="宋体" w:cs="Times New Roman"/>
                <w:color w:val="auto"/>
                <w:sz w:val="24"/>
                <w:highlight w:val="none"/>
                <w:lang w:val="en-US" w:eastAsia="zh-CN"/>
              </w:rPr>
              <w:t>应</w:t>
            </w:r>
            <w:r>
              <w:rPr>
                <w:rFonts w:hint="default" w:ascii="Times New Roman" w:hAnsi="Times New Roman" w:eastAsia="宋体" w:cs="Times New Roman"/>
                <w:color w:val="auto"/>
                <w:sz w:val="24"/>
                <w:highlight w:val="none"/>
              </w:rPr>
              <w:t>及时</w:t>
            </w:r>
            <w:r>
              <w:rPr>
                <w:rFonts w:hint="eastAsia" w:ascii="Times New Roman" w:hAnsi="Times New Roman" w:eastAsia="宋体" w:cs="Times New Roman"/>
                <w:color w:val="auto"/>
                <w:sz w:val="24"/>
                <w:highlight w:val="none"/>
              </w:rPr>
              <w:t>进行排污</w:t>
            </w:r>
            <w:r>
              <w:rPr>
                <w:rFonts w:hint="eastAsia" w:ascii="Times New Roman" w:hAnsi="Times New Roman" w:eastAsia="宋体" w:cs="Times New Roman"/>
                <w:color w:val="auto"/>
                <w:sz w:val="24"/>
                <w:highlight w:val="none"/>
                <w:lang w:val="en-US" w:eastAsia="zh-CN"/>
              </w:rPr>
              <w:t>许可</w:t>
            </w:r>
            <w:r>
              <w:rPr>
                <w:rFonts w:hint="eastAsia" w:cs="Times New Roman"/>
                <w:color w:val="auto"/>
                <w:sz w:val="24"/>
                <w:highlight w:val="none"/>
                <w:lang w:val="en-US" w:eastAsia="zh-CN"/>
              </w:rPr>
              <w:t>登记</w:t>
            </w:r>
            <w:r>
              <w:rPr>
                <w:rFonts w:hint="default" w:ascii="Times New Roman" w:hAnsi="Times New Roman" w:eastAsia="宋体" w:cs="Times New Roman"/>
                <w:color w:val="auto"/>
                <w:sz w:val="24"/>
                <w:highlight w:val="none"/>
              </w:rPr>
              <w:t>。</w:t>
            </w:r>
          </w:p>
          <w:p w14:paraId="0C40597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rPr>
              <w:t>根据《安徽省生态环境厅关于统筹做好固定污染源排污许可日常监管工作的通知》（皖环发[2021]7号），“属于现行《固定污染源排污许可分类管理名录》内重点管理和简化管理的行业，建设单位在组织编制建设项目环境影响报告书（表）时，可结合相应行业排污许可证申请与核发技术规范，在环评文件中一并明确“建设项目环境影响评价与排污许可联动内容”和《建设项目排污许可申请与填报信息表》，生态环境部门在环评文件受理和审批过程中同步审核。”</w:t>
            </w:r>
            <w:r>
              <w:rPr>
                <w:rFonts w:hint="eastAsia" w:ascii="Times New Roman" w:hAnsi="Times New Roman" w:eastAsia="宋体" w:cs="Times New Roman"/>
                <w:color w:val="auto"/>
                <w:sz w:val="24"/>
                <w:highlight w:val="none"/>
                <w:lang w:val="en-US" w:eastAsia="zh-CN"/>
              </w:rPr>
              <w:t>本项目属于排污许可</w:t>
            </w:r>
            <w:r>
              <w:rPr>
                <w:rFonts w:hint="eastAsia" w:cs="Times New Roman"/>
                <w:color w:val="auto"/>
                <w:sz w:val="24"/>
                <w:highlight w:val="none"/>
                <w:lang w:val="en-US" w:eastAsia="zh-CN"/>
              </w:rPr>
              <w:t>登记</w:t>
            </w:r>
            <w:r>
              <w:rPr>
                <w:rFonts w:hint="eastAsia" w:ascii="Times New Roman" w:hAnsi="Times New Roman" w:eastAsia="宋体" w:cs="Times New Roman"/>
                <w:color w:val="auto"/>
                <w:sz w:val="24"/>
                <w:highlight w:val="none"/>
                <w:lang w:val="en-US" w:eastAsia="zh-CN"/>
              </w:rPr>
              <w:t>项目，无需在环评中明确联动内容。</w:t>
            </w:r>
          </w:p>
          <w:p w14:paraId="06F22FA0">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3</w:t>
            </w:r>
            <w:r>
              <w:rPr>
                <w:rFonts w:hint="eastAsia" w:ascii="Times New Roman" w:hAnsi="Times New Roman" w:eastAsia="宋体" w:cs="Times New Roman"/>
                <w:b/>
                <w:bCs/>
                <w:color w:val="auto"/>
                <w:sz w:val="24"/>
                <w:lang w:val="en-US" w:eastAsia="zh-CN"/>
              </w:rPr>
              <w:t>、环境管理及信息公开</w:t>
            </w:r>
          </w:p>
          <w:p w14:paraId="276DAF7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企业应设置环境管理机构，</w:t>
            </w:r>
            <w:r>
              <w:rPr>
                <w:rFonts w:hint="default" w:ascii="Times New Roman" w:hAnsi="Times New Roman" w:eastAsia="宋体" w:cs="Times New Roman"/>
                <w:color w:val="auto"/>
                <w:sz w:val="24"/>
                <w:highlight w:val="none"/>
              </w:rPr>
              <w:t>定期向当地环保部门报告污染治理设施运行情况、污染物排放情况以及污染事故、污染纠纷等情况。若企业排污发生重大变化、污染治理设施改变或企业改、扩建等都必须向当地环保部门申报</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项目建成后，必须确保污染治理设施长期、稳定、有效地运行，不得擅自拆除或者闲置废气和废水处理设备，不得故意不正常使用污染治理设施。污染治理设施的管理必须与公司的生产经营活动一起纳入到公司日常管理工作的范畴，落实责任人、操作人员、维修人员、运行经费、设备的备品备件和其</w:t>
            </w:r>
            <w:r>
              <w:rPr>
                <w:rFonts w:hint="eastAsia" w:cs="Times New Roman"/>
                <w:color w:val="auto"/>
                <w:sz w:val="24"/>
                <w:highlight w:val="none"/>
                <w:lang w:val="en-US" w:eastAsia="zh-CN"/>
              </w:rPr>
              <w:t>他</w:t>
            </w:r>
            <w:r>
              <w:rPr>
                <w:rFonts w:hint="default" w:ascii="Times New Roman" w:hAnsi="Times New Roman" w:eastAsia="宋体" w:cs="Times New Roman"/>
                <w:color w:val="auto"/>
                <w:sz w:val="24"/>
                <w:highlight w:val="none"/>
              </w:rPr>
              <w:t>原辅材料。同时要建立健全岗位责任制，制定正确的操作规程、建立污染治理设施的管理台</w:t>
            </w:r>
            <w:r>
              <w:rPr>
                <w:rFonts w:hint="eastAsia" w:cs="Times New Roman"/>
                <w:color w:val="auto"/>
                <w:sz w:val="24"/>
                <w:highlight w:val="none"/>
                <w:lang w:val="en-US" w:eastAsia="zh-CN"/>
              </w:rPr>
              <w:t>账</w:t>
            </w:r>
            <w:r>
              <w:rPr>
                <w:rFonts w:hint="default" w:ascii="Times New Roman" w:hAnsi="Times New Roman" w:eastAsia="宋体" w:cs="Times New Roman"/>
                <w:color w:val="auto"/>
                <w:sz w:val="24"/>
                <w:highlight w:val="none"/>
              </w:rPr>
              <w:t>。各级管理人员都应树立保护环境的思想，企业也应设置环境保护奖惩条例。</w:t>
            </w:r>
          </w:p>
          <w:p w14:paraId="5458914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此外，</w:t>
            </w:r>
            <w:r>
              <w:rPr>
                <w:rFonts w:hint="default" w:ascii="Times New Roman" w:hAnsi="Times New Roman" w:eastAsia="宋体" w:cs="Times New Roman"/>
                <w:color w:val="auto"/>
                <w:sz w:val="24"/>
                <w:highlight w:val="none"/>
              </w:rPr>
              <w:t>公司需向社会公开</w:t>
            </w:r>
            <w:r>
              <w:rPr>
                <w:rFonts w:hint="eastAsia" w:ascii="Times New Roman" w:hAnsi="Times New Roman" w:eastAsia="宋体" w:cs="Times New Roman"/>
                <w:color w:val="auto"/>
                <w:sz w:val="24"/>
                <w:highlight w:val="none"/>
                <w:lang w:val="en-US" w:eastAsia="zh-CN"/>
              </w:rPr>
              <w:t>相关</w:t>
            </w:r>
            <w:r>
              <w:rPr>
                <w:rFonts w:hint="default" w:ascii="Times New Roman" w:hAnsi="Times New Roman" w:eastAsia="宋体" w:cs="Times New Roman"/>
                <w:color w:val="auto"/>
                <w:sz w:val="24"/>
                <w:highlight w:val="none"/>
              </w:rPr>
              <w:t>信息</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主要</w:t>
            </w:r>
            <w:r>
              <w:rPr>
                <w:rFonts w:hint="default" w:ascii="Times New Roman" w:hAnsi="Times New Roman" w:eastAsia="宋体" w:cs="Times New Roman"/>
                <w:color w:val="auto"/>
                <w:sz w:val="24"/>
                <w:highlight w:val="none"/>
              </w:rPr>
              <w:t>包括：</w:t>
            </w:r>
          </w:p>
          <w:p w14:paraId="1C7727E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（一）基础信息，包括单位名称、组织机构代码、法定代表人、生产地址、联系方式，以及生产经营和管理服务的主要内容、产品及规模；</w:t>
            </w:r>
          </w:p>
          <w:p w14:paraId="75F05DE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（二）排污信息，包括主要污染物及特征污染物的名称、排放方式、排放口数量和分布情况、排放浓度和总量、超标情况，以及执行的污染物排放标准、核定的排放总量；</w:t>
            </w:r>
          </w:p>
          <w:p w14:paraId="3141BF9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（三）防治污染设施的建设和运行情况；</w:t>
            </w:r>
          </w:p>
          <w:p w14:paraId="7CB42F2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（四）建设项目环境影响评价及其他环境保护行政许可情况；</w:t>
            </w:r>
          </w:p>
          <w:p w14:paraId="73ADB52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（五）项目污染源及环境监测计划及监测结果，包含建设项目所在场地及其影响区地下水环境跟踪监测数据，包括排放污染物的种类、数量、浓度，项目土壤跟踪监测数据等；</w:t>
            </w:r>
          </w:p>
          <w:p w14:paraId="6D19F4D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（六）其他应当公开的环境信息。</w:t>
            </w:r>
          </w:p>
          <w:p w14:paraId="04E13907">
            <w:pPr>
              <w:keepNext w:val="0"/>
              <w:keepLines w:val="0"/>
              <w:suppressLineNumbers w:val="0"/>
              <w:spacing w:before="0" w:beforeAutospacing="0" w:after="0" w:afterAutospacing="0" w:line="360" w:lineRule="auto"/>
              <w:ind w:left="0" w:right="0"/>
              <w:textAlignment w:val="baseline"/>
              <w:rPr>
                <w:rFonts w:hint="default" w:ascii="Times New Roman" w:hAnsi="Times New Roman" w:eastAsia="宋体" w:cs="Times New Roman"/>
                <w:b/>
                <w:color w:val="auto"/>
                <w:spacing w:val="4"/>
                <w:sz w:val="24"/>
                <w:lang w:val="en-US" w:eastAsia="zh-CN"/>
              </w:rPr>
            </w:pPr>
            <w:r>
              <w:rPr>
                <w:rFonts w:hint="default" w:ascii="Times New Roman" w:hAnsi="Times New Roman" w:eastAsia="宋体" w:cs="Times New Roman"/>
                <w:b/>
                <w:color w:val="auto"/>
                <w:spacing w:val="4"/>
                <w:sz w:val="24"/>
              </w:rPr>
              <w:t>4.</w:t>
            </w:r>
            <w:r>
              <w:rPr>
                <w:rFonts w:hint="eastAsia" w:ascii="Times New Roman" w:hAnsi="Times New Roman" w:eastAsia="宋体" w:cs="Times New Roman"/>
                <w:b/>
                <w:color w:val="auto"/>
                <w:spacing w:val="4"/>
                <w:sz w:val="24"/>
              </w:rPr>
              <w:t>8</w:t>
            </w:r>
            <w:r>
              <w:rPr>
                <w:rFonts w:hint="default" w:ascii="Times New Roman" w:hAnsi="Times New Roman" w:eastAsia="宋体" w:cs="Times New Roman"/>
                <w:b/>
                <w:color w:val="auto"/>
                <w:spacing w:val="4"/>
                <w:sz w:val="24"/>
              </w:rPr>
              <w:t>环保投资</w:t>
            </w:r>
            <w:r>
              <w:rPr>
                <w:rFonts w:hint="eastAsia" w:ascii="Times New Roman" w:hAnsi="Times New Roman" w:eastAsia="宋体" w:cs="Times New Roman"/>
                <w:b/>
                <w:color w:val="auto"/>
                <w:spacing w:val="4"/>
                <w:sz w:val="24"/>
                <w:lang w:val="en-US" w:eastAsia="zh-CN"/>
              </w:rPr>
              <w:t>及三同时</w:t>
            </w:r>
          </w:p>
          <w:p w14:paraId="189B7303">
            <w:pPr>
              <w:keepNext w:val="0"/>
              <w:keepLines w:val="0"/>
              <w:suppressLineNumbers w:val="0"/>
              <w:spacing w:before="0" w:beforeAutospacing="0" w:after="0" w:afterAutospacing="0" w:line="480" w:lineRule="exact"/>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项目投资</w:t>
            </w:r>
            <w:r>
              <w:rPr>
                <w:rFonts w:hint="eastAsia" w:cs="Times New Roman"/>
                <w:color w:val="auto"/>
                <w:sz w:val="24"/>
                <w:lang w:val="en-US" w:eastAsia="zh-CN"/>
              </w:rPr>
              <w:t>4500</w:t>
            </w:r>
            <w:r>
              <w:rPr>
                <w:rFonts w:hint="default" w:ascii="Times New Roman" w:hAnsi="Times New Roman" w:eastAsia="宋体" w:cs="Times New Roman"/>
                <w:color w:val="auto"/>
                <w:sz w:val="24"/>
              </w:rPr>
              <w:t>万元，其中环保投资</w:t>
            </w:r>
            <w:r>
              <w:rPr>
                <w:rFonts w:hint="eastAsia" w:cs="Times New Roman"/>
                <w:color w:val="auto"/>
                <w:sz w:val="24"/>
                <w:lang w:val="en-US" w:eastAsia="zh-CN"/>
              </w:rPr>
              <w:t>70</w:t>
            </w:r>
            <w:r>
              <w:rPr>
                <w:rFonts w:hint="default" w:ascii="Times New Roman" w:hAnsi="Times New Roman" w:eastAsia="宋体" w:cs="Times New Roman"/>
                <w:color w:val="auto"/>
                <w:sz w:val="24"/>
              </w:rPr>
              <w:t>万元，占总投资的</w:t>
            </w:r>
            <w:r>
              <w:rPr>
                <w:rFonts w:hint="eastAsia" w:cs="Times New Roman"/>
                <w:color w:val="auto"/>
                <w:sz w:val="24"/>
                <w:lang w:val="en-US" w:eastAsia="zh-CN"/>
              </w:rPr>
              <w:t>1.56</w:t>
            </w:r>
            <w:r>
              <w:rPr>
                <w:rFonts w:hint="default" w:ascii="Times New Roman" w:hAnsi="Times New Roman" w:eastAsia="宋体" w:cs="Times New Roman"/>
                <w:color w:val="auto"/>
                <w:sz w:val="24"/>
              </w:rPr>
              <w:t>%，主要用于废</w:t>
            </w:r>
            <w:r>
              <w:rPr>
                <w:rFonts w:hint="eastAsia" w:cs="Times New Roman"/>
                <w:color w:val="auto"/>
                <w:sz w:val="24"/>
                <w:lang w:val="en-US" w:eastAsia="zh-CN"/>
              </w:rPr>
              <w:t>水</w:t>
            </w:r>
            <w:r>
              <w:rPr>
                <w:rFonts w:hint="default" w:ascii="Times New Roman" w:hAnsi="Times New Roman" w:eastAsia="宋体" w:cs="Times New Roman"/>
                <w:color w:val="auto"/>
                <w:sz w:val="24"/>
              </w:rPr>
              <w:t>、固体废物和噪声污染的治理。</w:t>
            </w:r>
          </w:p>
          <w:p w14:paraId="6F7C07DB">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本项目环保投资</w:t>
            </w:r>
            <w:r>
              <w:rPr>
                <w:rFonts w:hint="eastAsia" w:ascii="Times New Roman" w:hAnsi="Times New Roman" w:eastAsia="宋体" w:cs="Times New Roman"/>
                <w:b/>
                <w:bCs/>
                <w:color w:val="auto"/>
                <w:sz w:val="24"/>
                <w:lang w:val="en-US" w:eastAsia="zh-CN"/>
              </w:rPr>
              <w:t>及三同时验收一览表</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037"/>
              <w:gridCol w:w="978"/>
              <w:gridCol w:w="2977"/>
              <w:gridCol w:w="2220"/>
              <w:gridCol w:w="985"/>
            </w:tblGrid>
            <w:tr w14:paraId="50C6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43" w:type="pct"/>
                  <w:vAlign w:val="center"/>
                </w:tcPr>
                <w:p w14:paraId="3EA00DDD">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类别</w:t>
                  </w:r>
                </w:p>
              </w:tc>
              <w:tc>
                <w:tcPr>
                  <w:tcW w:w="589" w:type="pct"/>
                  <w:vAlign w:val="center"/>
                </w:tcPr>
                <w:p w14:paraId="7E39DEF3">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污染源</w:t>
                  </w:r>
                </w:p>
              </w:tc>
              <w:tc>
                <w:tcPr>
                  <w:tcW w:w="555" w:type="pct"/>
                  <w:vAlign w:val="center"/>
                </w:tcPr>
                <w:p w14:paraId="648D0E3C">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污染物</w:t>
                  </w:r>
                </w:p>
              </w:tc>
              <w:tc>
                <w:tcPr>
                  <w:tcW w:w="1691" w:type="pct"/>
                  <w:vAlign w:val="center"/>
                </w:tcPr>
                <w:p w14:paraId="28577904">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治理方案</w:t>
                  </w:r>
                </w:p>
              </w:tc>
              <w:tc>
                <w:tcPr>
                  <w:tcW w:w="1261" w:type="pct"/>
                  <w:vAlign w:val="center"/>
                </w:tcPr>
                <w:p w14:paraId="477FF60C">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执行标准</w:t>
                  </w:r>
                </w:p>
              </w:tc>
              <w:tc>
                <w:tcPr>
                  <w:tcW w:w="559" w:type="pct"/>
                  <w:vAlign w:val="center"/>
                </w:tcPr>
                <w:p w14:paraId="2E5BEA01">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环保投资(万元)</w:t>
                  </w:r>
                </w:p>
              </w:tc>
            </w:tr>
            <w:tr w14:paraId="1828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43" w:type="pct"/>
                  <w:vMerge w:val="restart"/>
                  <w:vAlign w:val="center"/>
                </w:tcPr>
                <w:p w14:paraId="664A515E">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废气治理</w:t>
                  </w:r>
                </w:p>
              </w:tc>
              <w:tc>
                <w:tcPr>
                  <w:tcW w:w="589" w:type="pct"/>
                  <w:shd w:val="clear" w:color="auto" w:fill="auto"/>
                  <w:vAlign w:val="center"/>
                </w:tcPr>
                <w:p w14:paraId="6BD6641C">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投料混合粉尘</w:t>
                  </w:r>
                </w:p>
              </w:tc>
              <w:tc>
                <w:tcPr>
                  <w:tcW w:w="555" w:type="pct"/>
                  <w:shd w:val="clear" w:color="auto" w:fill="auto"/>
                  <w:vAlign w:val="center"/>
                </w:tcPr>
                <w:p w14:paraId="1F0F2822">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颗粒物</w:t>
                  </w:r>
                </w:p>
              </w:tc>
              <w:tc>
                <w:tcPr>
                  <w:tcW w:w="1691" w:type="pct"/>
                  <w:shd w:val="clear" w:color="auto" w:fill="auto"/>
                  <w:vAlign w:val="center"/>
                </w:tcPr>
                <w:p w14:paraId="6EB2449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集气罩收集，</w:t>
                  </w:r>
                  <w:r>
                    <w:rPr>
                      <w:rFonts w:hint="default" w:ascii="Times New Roman" w:hAnsi="Times New Roman" w:eastAsia="宋体" w:cs="Times New Roman"/>
                      <w:color w:val="auto"/>
                      <w:kern w:val="2"/>
                      <w:sz w:val="21"/>
                      <w:szCs w:val="24"/>
                      <w:lang w:val="en-US" w:eastAsia="zh-CN" w:bidi="ar-SA"/>
                    </w:rPr>
                    <w:t>废气收集后引入1套布袋除尘器进行处理，处理达标后通过1根15m高排气筒排放</w:t>
                  </w:r>
                </w:p>
              </w:tc>
              <w:tc>
                <w:tcPr>
                  <w:tcW w:w="1261" w:type="pct"/>
                  <w:shd w:val="clear" w:color="auto" w:fill="auto"/>
                  <w:vAlign w:val="center"/>
                </w:tcPr>
                <w:p w14:paraId="68995C8E">
                  <w:pPr>
                    <w:pStyle w:val="70"/>
                    <w:keepNext w:val="0"/>
                    <w:keepLines w:val="0"/>
                    <w:suppressLineNumbers w:val="0"/>
                    <w:spacing w:before="0" w:beforeAutospacing="0" w:after="0" w:afterAutospacing="0" w:line="240" w:lineRule="auto"/>
                    <w:ind w:left="0" w:right="0"/>
                    <w:rPr>
                      <w:rFonts w:hint="default"/>
                      <w:color w:val="auto"/>
                      <w:lang w:val="en-US" w:eastAsia="zh-CN"/>
                    </w:rPr>
                  </w:pPr>
                  <w:r>
                    <w:rPr>
                      <w:rFonts w:hint="default" w:ascii="Times New Roman" w:hAnsi="Times New Roman" w:eastAsia="宋体" w:cs="Times New Roman"/>
                      <w:color w:val="auto"/>
                      <w:spacing w:val="4"/>
                      <w:kern w:val="0"/>
                      <w:szCs w:val="21"/>
                      <w:lang w:val="en-US" w:eastAsia="zh-CN"/>
                    </w:rPr>
                    <w:t>《大气污染物综合排放标准》（GB16297-1996）</w:t>
                  </w:r>
                </w:p>
              </w:tc>
              <w:tc>
                <w:tcPr>
                  <w:tcW w:w="559" w:type="pct"/>
                  <w:vAlign w:val="center"/>
                </w:tcPr>
                <w:p w14:paraId="1EFB0228">
                  <w:pPr>
                    <w:keepNext w:val="0"/>
                    <w:keepLines w:val="0"/>
                    <w:pageBreakBefore w:val="0"/>
                    <w:suppressLineNumbers w:val="0"/>
                    <w:kinsoku/>
                    <w:wordWrap/>
                    <w:overflowPunct/>
                    <w:topLinePunct w:val="0"/>
                    <w:bidi w:val="0"/>
                    <w:spacing w:before="0" w:beforeAutospacing="0" w:after="0" w:afterAutospacing="0"/>
                    <w:ind w:left="-63" w:leftChars="-30" w:right="-63" w:rightChars="-3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20</w:t>
                  </w:r>
                </w:p>
              </w:tc>
            </w:tr>
            <w:tr w14:paraId="6DEB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43" w:type="pct"/>
                  <w:vMerge w:val="continue"/>
                  <w:vAlign w:val="center"/>
                </w:tcPr>
                <w:p w14:paraId="2A8BA1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color w:val="auto"/>
                    </w:rPr>
                  </w:pPr>
                </w:p>
              </w:tc>
              <w:tc>
                <w:tcPr>
                  <w:tcW w:w="589" w:type="pct"/>
                  <w:shd w:val="clear" w:color="auto" w:fill="auto"/>
                  <w:vAlign w:val="center"/>
                </w:tcPr>
                <w:p w14:paraId="163B427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天然气燃烧废气</w:t>
                  </w:r>
                </w:p>
              </w:tc>
              <w:tc>
                <w:tcPr>
                  <w:tcW w:w="555" w:type="pct"/>
                  <w:shd w:val="clear" w:color="auto" w:fill="auto"/>
                  <w:vAlign w:val="center"/>
                </w:tcPr>
                <w:p w14:paraId="6CAD07A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bCs/>
                      <w:color w:val="auto"/>
                      <w:kern w:val="2"/>
                      <w:sz w:val="21"/>
                      <w:szCs w:val="21"/>
                      <w:lang w:val="en-US" w:eastAsia="zh-CN" w:bidi="ar-SA"/>
                    </w:rPr>
                    <w:t>颗粒物、SO</w:t>
                  </w:r>
                  <w:r>
                    <w:rPr>
                      <w:rFonts w:hint="eastAsia" w:ascii="Times New Roman" w:hAnsi="Times New Roman" w:eastAsia="宋体" w:cs="Times New Roman"/>
                      <w:bCs/>
                      <w:color w:val="auto"/>
                      <w:kern w:val="2"/>
                      <w:sz w:val="21"/>
                      <w:szCs w:val="21"/>
                      <w:vertAlign w:val="subscript"/>
                      <w:lang w:val="en-US" w:eastAsia="zh-CN" w:bidi="ar-SA"/>
                    </w:rPr>
                    <w:t>2</w:t>
                  </w:r>
                  <w:r>
                    <w:rPr>
                      <w:rFonts w:hint="eastAsia" w:ascii="Times New Roman" w:hAnsi="Times New Roman" w:eastAsia="宋体" w:cs="Times New Roman"/>
                      <w:bCs/>
                      <w:color w:val="auto"/>
                      <w:kern w:val="2"/>
                      <w:sz w:val="21"/>
                      <w:szCs w:val="21"/>
                      <w:vertAlign w:val="baseline"/>
                      <w:lang w:val="en-US" w:eastAsia="zh-CN" w:bidi="ar-SA"/>
                    </w:rPr>
                    <w:t>、NO</w:t>
                  </w:r>
                  <w:r>
                    <w:rPr>
                      <w:rFonts w:hint="eastAsia" w:ascii="Times New Roman" w:hAnsi="Times New Roman" w:eastAsia="宋体" w:cs="Times New Roman"/>
                      <w:bCs/>
                      <w:color w:val="auto"/>
                      <w:kern w:val="2"/>
                      <w:sz w:val="21"/>
                      <w:szCs w:val="21"/>
                      <w:vertAlign w:val="subscript"/>
                      <w:lang w:val="en-US" w:eastAsia="zh-CN" w:bidi="ar-SA"/>
                    </w:rPr>
                    <w:t>x</w:t>
                  </w:r>
                </w:p>
              </w:tc>
              <w:tc>
                <w:tcPr>
                  <w:tcW w:w="1691" w:type="pct"/>
                  <w:shd w:val="clear" w:color="auto" w:fill="auto"/>
                  <w:vAlign w:val="center"/>
                </w:tcPr>
                <w:p w14:paraId="7E1E210E">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采取低氮燃烧方式，燃烧废气经管道引入1根不低于8m高的排气筒排放</w:t>
                  </w:r>
                </w:p>
              </w:tc>
              <w:tc>
                <w:tcPr>
                  <w:tcW w:w="1261" w:type="pct"/>
                  <w:shd w:val="clear" w:color="auto" w:fill="auto"/>
                  <w:vAlign w:val="center"/>
                </w:tcPr>
                <w:p w14:paraId="382BA048">
                  <w:pPr>
                    <w:keepNext w:val="0"/>
                    <w:keepLines w:val="0"/>
                    <w:suppressLineNumbers w:val="0"/>
                    <w:adjustRightInd w:val="0"/>
                    <w:snapToGrid w:val="0"/>
                    <w:spacing w:before="156" w:beforeLines="50" w:beforeAutospacing="0" w:after="0" w:afterAutospacing="0"/>
                    <w:ind w:left="0" w:leftChars="0" w:right="0" w:rightChars="0"/>
                    <w:jc w:val="center"/>
                    <w:textAlignment w:val="baseline"/>
                    <w:rPr>
                      <w:rFonts w:hint="eastAsia"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《锅炉大气污染物排放标准》（GB13271-2014）表3中排放限值要求和《安徽省大气办关于印发&lt;安徽省2020年大气污染防治重点工作任务&gt;的通知》中相关规定</w:t>
                  </w:r>
                </w:p>
              </w:tc>
              <w:tc>
                <w:tcPr>
                  <w:tcW w:w="559" w:type="pct"/>
                  <w:vAlign w:val="center"/>
                </w:tcPr>
                <w:p w14:paraId="17F0D4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w:t>
                  </w:r>
                </w:p>
              </w:tc>
            </w:tr>
            <w:tr w14:paraId="1B5D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43" w:type="pct"/>
                  <w:vAlign w:val="center"/>
                </w:tcPr>
                <w:p w14:paraId="031216E5">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废水治理</w:t>
                  </w:r>
                </w:p>
              </w:tc>
              <w:tc>
                <w:tcPr>
                  <w:tcW w:w="1144" w:type="pct"/>
                  <w:gridSpan w:val="2"/>
                  <w:vAlign w:val="center"/>
                </w:tcPr>
                <w:p w14:paraId="6DCD7D1B">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生产废</w:t>
                  </w:r>
                  <w:r>
                    <w:rPr>
                      <w:rFonts w:hint="default" w:ascii="Times New Roman" w:hAnsi="Times New Roman" w:eastAsia="宋体" w:cs="Times New Roman"/>
                      <w:color w:val="auto"/>
                      <w:kern w:val="0"/>
                      <w:sz w:val="21"/>
                      <w:szCs w:val="21"/>
                    </w:rPr>
                    <w:t>水</w:t>
                  </w:r>
                </w:p>
              </w:tc>
              <w:tc>
                <w:tcPr>
                  <w:tcW w:w="1691" w:type="pct"/>
                  <w:vAlign w:val="center"/>
                </w:tcPr>
                <w:p w14:paraId="182E8B67">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生活污水经隔油池+化粪池处理；设备清洗废水、保洁废水</w:t>
                  </w:r>
                  <w:r>
                    <w:rPr>
                      <w:rFonts w:hint="eastAsia" w:cs="Times New Roman"/>
                      <w:color w:val="auto"/>
                      <w:kern w:val="0"/>
                      <w:sz w:val="21"/>
                      <w:szCs w:val="21"/>
                      <w:lang w:val="en-US" w:eastAsia="zh-CN" w:bidi="ar-SA"/>
                    </w:rPr>
                    <w:t>、实验室清洗废水</w:t>
                  </w:r>
                  <w:r>
                    <w:rPr>
                      <w:rFonts w:hint="default" w:ascii="Times New Roman" w:hAnsi="Times New Roman" w:eastAsia="宋体" w:cs="Times New Roman"/>
                      <w:color w:val="auto"/>
                      <w:kern w:val="0"/>
                      <w:sz w:val="21"/>
                      <w:szCs w:val="21"/>
                      <w:lang w:val="en-US" w:eastAsia="zh-CN" w:bidi="ar-SA"/>
                    </w:rPr>
                    <w:t>经调节池+水解酸化池+接触氧化池+沉淀池处理后与纯水制备废水、</w:t>
                  </w:r>
                  <w:r>
                    <w:rPr>
                      <w:rFonts w:hint="eastAsia" w:cs="Times New Roman"/>
                      <w:color w:val="auto"/>
                      <w:kern w:val="0"/>
                      <w:sz w:val="21"/>
                      <w:szCs w:val="21"/>
                      <w:lang w:val="en-US" w:eastAsia="zh-CN" w:bidi="ar-SA"/>
                    </w:rPr>
                    <w:t>处理后的</w:t>
                  </w:r>
                  <w:r>
                    <w:rPr>
                      <w:rFonts w:hint="default" w:ascii="Times New Roman" w:hAnsi="Times New Roman" w:eastAsia="宋体" w:cs="Times New Roman"/>
                      <w:color w:val="auto"/>
                      <w:kern w:val="0"/>
                      <w:sz w:val="21"/>
                      <w:szCs w:val="21"/>
                      <w:lang w:val="en-US" w:eastAsia="zh-CN" w:bidi="ar-SA"/>
                    </w:rPr>
                    <w:t>生活污水一起接管排放至汴北污水处理厂</w:t>
                  </w:r>
                </w:p>
              </w:tc>
              <w:tc>
                <w:tcPr>
                  <w:tcW w:w="1261" w:type="pct"/>
                  <w:vAlign w:val="center"/>
                </w:tcPr>
                <w:p w14:paraId="579CECAB">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《污水综合排放标准》（GB8978-1996）表4中三级标准及宿州市</w:t>
                  </w:r>
                  <w:r>
                    <w:rPr>
                      <w:rFonts w:hint="eastAsia" w:cs="Times New Roman"/>
                      <w:color w:val="auto"/>
                      <w:kern w:val="0"/>
                      <w:sz w:val="21"/>
                      <w:szCs w:val="21"/>
                      <w:lang w:val="en-US" w:eastAsia="zh-CN" w:bidi="ar-SA"/>
                    </w:rPr>
                    <w:t>汴北</w:t>
                  </w:r>
                  <w:r>
                    <w:rPr>
                      <w:rFonts w:hint="default" w:ascii="Times New Roman" w:hAnsi="Times New Roman" w:eastAsia="宋体" w:cs="Times New Roman"/>
                      <w:color w:val="auto"/>
                      <w:kern w:val="0"/>
                      <w:sz w:val="21"/>
                      <w:szCs w:val="21"/>
                      <w:lang w:val="en-US" w:eastAsia="zh-CN" w:bidi="ar-SA"/>
                    </w:rPr>
                    <w:t>污水处理厂接管标准</w:t>
                  </w:r>
                </w:p>
              </w:tc>
              <w:tc>
                <w:tcPr>
                  <w:tcW w:w="559" w:type="pct"/>
                  <w:vAlign w:val="center"/>
                </w:tcPr>
                <w:p w14:paraId="7B1A7DB8">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23</w:t>
                  </w:r>
                </w:p>
              </w:tc>
            </w:tr>
            <w:tr w14:paraId="251D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vAlign w:val="center"/>
                </w:tcPr>
                <w:p w14:paraId="5813825F">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噪声治理</w:t>
                  </w:r>
                </w:p>
              </w:tc>
              <w:tc>
                <w:tcPr>
                  <w:tcW w:w="1144" w:type="pct"/>
                  <w:gridSpan w:val="2"/>
                  <w:vAlign w:val="center"/>
                </w:tcPr>
                <w:p w14:paraId="54DE9996">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设备运转噪声</w:t>
                  </w:r>
                </w:p>
              </w:tc>
              <w:tc>
                <w:tcPr>
                  <w:tcW w:w="1691" w:type="pct"/>
                  <w:vAlign w:val="center"/>
                </w:tcPr>
                <w:p w14:paraId="68F27B19">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减振、隔声、距离衰减</w:t>
                  </w:r>
                </w:p>
              </w:tc>
              <w:tc>
                <w:tcPr>
                  <w:tcW w:w="1261" w:type="pct"/>
                  <w:vAlign w:val="center"/>
                </w:tcPr>
                <w:p w14:paraId="719768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color w:val="auto"/>
                      <w:sz w:val="21"/>
                      <w:szCs w:val="21"/>
                    </w:rPr>
                    <w:t>《工业企业厂界环境噪声排放标准》（GB</w:t>
                  </w:r>
                  <w:r>
                    <w:rPr>
                      <w:rFonts w:hint="default" w:ascii="Times New Roman" w:hAnsi="Times New Roman" w:eastAsia="宋体" w:cs="Times New Roman"/>
                      <w:b w:val="0"/>
                      <w:color w:val="auto"/>
                      <w:sz w:val="21"/>
                      <w:szCs w:val="21"/>
                      <w:lang w:val="en-US" w:eastAsia="zh-CN"/>
                    </w:rPr>
                    <w:t>12348</w:t>
                  </w:r>
                  <w:r>
                    <w:rPr>
                      <w:rFonts w:hint="default" w:ascii="Times New Roman" w:hAnsi="Times New Roman" w:eastAsia="宋体" w:cs="Times New Roman"/>
                      <w:b w:val="0"/>
                      <w:color w:val="auto"/>
                      <w:sz w:val="21"/>
                      <w:szCs w:val="21"/>
                    </w:rPr>
                    <w:t>-2008）</w:t>
                  </w:r>
                  <w:r>
                    <w:rPr>
                      <w:rFonts w:hint="eastAsia" w:cs="Times New Roman"/>
                      <w:b w:val="0"/>
                      <w:color w:val="auto"/>
                      <w:sz w:val="21"/>
                      <w:szCs w:val="21"/>
                      <w:lang w:val="en-US" w:eastAsia="zh-CN"/>
                    </w:rPr>
                    <w:t>3</w:t>
                  </w:r>
                  <w:r>
                    <w:rPr>
                      <w:rFonts w:hint="default" w:ascii="Times New Roman" w:hAnsi="Times New Roman" w:eastAsia="宋体" w:cs="Times New Roman"/>
                      <w:b w:val="0"/>
                      <w:color w:val="auto"/>
                      <w:sz w:val="21"/>
                      <w:szCs w:val="21"/>
                    </w:rPr>
                    <w:t>类</w:t>
                  </w:r>
                  <w:r>
                    <w:rPr>
                      <w:rFonts w:hint="eastAsia" w:cs="Times New Roman"/>
                      <w:b w:val="0"/>
                      <w:color w:val="auto"/>
                      <w:sz w:val="21"/>
                      <w:szCs w:val="21"/>
                      <w:lang w:val="en-US" w:eastAsia="zh-CN"/>
                    </w:rPr>
                    <w:t>标准</w:t>
                  </w:r>
                </w:p>
              </w:tc>
              <w:tc>
                <w:tcPr>
                  <w:tcW w:w="559" w:type="pct"/>
                  <w:vAlign w:val="center"/>
                </w:tcPr>
                <w:p w14:paraId="315B4F18">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5</w:t>
                  </w:r>
                </w:p>
              </w:tc>
            </w:tr>
            <w:tr w14:paraId="09D0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 w:type="pct"/>
                  <w:vMerge w:val="restart"/>
                  <w:vAlign w:val="center"/>
                </w:tcPr>
                <w:p w14:paraId="7B499AF8">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固废治理</w:t>
                  </w:r>
                </w:p>
              </w:tc>
              <w:tc>
                <w:tcPr>
                  <w:tcW w:w="1144" w:type="pct"/>
                  <w:gridSpan w:val="2"/>
                  <w:vAlign w:val="center"/>
                </w:tcPr>
                <w:p w14:paraId="48F030AB">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一般固废</w:t>
                  </w:r>
                </w:p>
              </w:tc>
              <w:tc>
                <w:tcPr>
                  <w:tcW w:w="1691" w:type="pct"/>
                  <w:vAlign w:val="center"/>
                </w:tcPr>
                <w:p w14:paraId="0159469C">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生活垃圾经袋装或桶装分类收集后委托环卫部门统一处理</w:t>
                  </w:r>
                  <w:r>
                    <w:rPr>
                      <w:rFonts w:hint="eastAsia" w:cs="Times New Roman"/>
                      <w:color w:val="auto"/>
                      <w:kern w:val="0"/>
                      <w:sz w:val="21"/>
                      <w:szCs w:val="21"/>
                      <w:lang w:eastAsia="zh-CN"/>
                    </w:rPr>
                    <w:t>；</w:t>
                  </w:r>
                </w:p>
                <w:p w14:paraId="1BA13871">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废包装材料、除尘器收集粉尘分类收集后外售综合利用；</w:t>
                  </w:r>
                  <w:r>
                    <w:rPr>
                      <w:rFonts w:hint="eastAsia" w:cs="Times New Roman"/>
                      <w:color w:val="auto"/>
                      <w:kern w:val="0"/>
                      <w:sz w:val="21"/>
                      <w:szCs w:val="21"/>
                      <w:lang w:val="en-US" w:eastAsia="zh-CN"/>
                    </w:rPr>
                    <w:t>金检不合格品收集后由回收公司处置；粉状类包装不合格品回用于生产工序，饮品及果冻类产品集中收集后交由回收公司处理</w:t>
                  </w:r>
                  <w:r>
                    <w:rPr>
                      <w:rFonts w:hint="default" w:ascii="Times New Roman" w:hAnsi="Times New Roman" w:eastAsia="宋体" w:cs="Times New Roman"/>
                      <w:color w:val="auto"/>
                      <w:kern w:val="0"/>
                      <w:sz w:val="21"/>
                      <w:szCs w:val="21"/>
                      <w:lang w:eastAsia="zh-CN"/>
                    </w:rPr>
                    <w:t>；废滤芯由厂家回收利用</w:t>
                  </w:r>
                  <w:r>
                    <w:rPr>
                      <w:rFonts w:hint="eastAsia" w:cs="Times New Roman"/>
                      <w:color w:val="auto"/>
                      <w:kern w:val="0"/>
                      <w:sz w:val="21"/>
                      <w:szCs w:val="21"/>
                      <w:lang w:eastAsia="zh-CN"/>
                    </w:rPr>
                    <w:t>；</w:t>
                  </w:r>
                  <w:r>
                    <w:rPr>
                      <w:rFonts w:hint="eastAsia" w:cs="Times New Roman"/>
                      <w:color w:val="auto"/>
                      <w:kern w:val="0"/>
                      <w:sz w:val="21"/>
                      <w:szCs w:val="21"/>
                      <w:lang w:val="en-US" w:eastAsia="zh-CN"/>
                    </w:rPr>
                    <w:t>污水站污泥委托处理；</w:t>
                  </w:r>
                </w:p>
              </w:tc>
              <w:tc>
                <w:tcPr>
                  <w:tcW w:w="1261" w:type="pct"/>
                  <w:vAlign w:val="center"/>
                </w:tcPr>
                <w:p w14:paraId="55B4669A">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《一般工业固体废物贮存和填埋污染控制标准》（GB18599-2020）</w:t>
                  </w:r>
                </w:p>
              </w:tc>
              <w:tc>
                <w:tcPr>
                  <w:tcW w:w="559" w:type="pct"/>
                  <w:vMerge w:val="restart"/>
                  <w:vAlign w:val="center"/>
                </w:tcPr>
                <w:p w14:paraId="7606A800">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2</w:t>
                  </w:r>
                </w:p>
              </w:tc>
            </w:tr>
            <w:tr w14:paraId="7326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 w:type="pct"/>
                  <w:vMerge w:val="continue"/>
                  <w:tcBorders/>
                  <w:vAlign w:val="center"/>
                </w:tcPr>
                <w:p w14:paraId="61FFD8D0">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p>
              </w:tc>
              <w:tc>
                <w:tcPr>
                  <w:tcW w:w="1144" w:type="pct"/>
                  <w:gridSpan w:val="2"/>
                  <w:vAlign w:val="center"/>
                </w:tcPr>
                <w:p w14:paraId="30927C4F">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危险废物</w:t>
                  </w:r>
                </w:p>
              </w:tc>
              <w:tc>
                <w:tcPr>
                  <w:tcW w:w="1691" w:type="pct"/>
                  <w:vAlign w:val="center"/>
                </w:tcPr>
                <w:p w14:paraId="322EF1F7">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szCs w:val="21"/>
                      <w:highlight w:val="none"/>
                      <w:lang w:val="en-US" w:eastAsia="zh-CN"/>
                    </w:rPr>
                    <w:t>实验室废液厂区暂存后委托有资质单位处置</w:t>
                  </w:r>
                </w:p>
              </w:tc>
              <w:tc>
                <w:tcPr>
                  <w:tcW w:w="1261" w:type="pct"/>
                  <w:vAlign w:val="center"/>
                </w:tcPr>
                <w:p w14:paraId="0C395EB0">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《危险废物贮存污染控制标准》（GB18597-2023）</w:t>
                  </w:r>
                </w:p>
              </w:tc>
              <w:tc>
                <w:tcPr>
                  <w:tcW w:w="559" w:type="pct"/>
                  <w:vMerge w:val="continue"/>
                  <w:tcBorders/>
                  <w:vAlign w:val="center"/>
                </w:tcPr>
                <w:p w14:paraId="19147CF3">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eastAsia" w:ascii="Times New Roman" w:hAnsi="Times New Roman" w:eastAsia="宋体" w:cs="Times New Roman"/>
                      <w:color w:val="auto"/>
                      <w:kern w:val="0"/>
                      <w:sz w:val="21"/>
                      <w:szCs w:val="21"/>
                      <w:lang w:val="en-US" w:eastAsia="zh-CN"/>
                    </w:rPr>
                  </w:pPr>
                </w:p>
              </w:tc>
            </w:tr>
            <w:tr w14:paraId="3A3F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1488" w:type="pct"/>
                  <w:gridSpan w:val="3"/>
                  <w:vAlign w:val="center"/>
                </w:tcPr>
                <w:p w14:paraId="34FD5412">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土壤和地下水治理/环境风险</w:t>
                  </w:r>
                </w:p>
              </w:tc>
              <w:tc>
                <w:tcPr>
                  <w:tcW w:w="2952" w:type="pct"/>
                  <w:gridSpan w:val="2"/>
                  <w:vAlign w:val="center"/>
                </w:tcPr>
                <w:p w14:paraId="22E82684">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eastAsia" w:cs="Times New Roman"/>
                      <w:color w:val="auto"/>
                      <w:sz w:val="21"/>
                      <w:szCs w:val="21"/>
                      <w:lang w:val="en-US" w:eastAsia="zh-CN"/>
                    </w:rPr>
                    <w:t>废水处理设施、危废暂存间</w:t>
                  </w:r>
                  <w:r>
                    <w:rPr>
                      <w:rFonts w:hint="default" w:ascii="Times New Roman" w:hAnsi="Times New Roman" w:eastAsia="宋体" w:cs="Times New Roman"/>
                      <w:color w:val="auto"/>
                      <w:sz w:val="21"/>
                      <w:szCs w:val="21"/>
                    </w:rPr>
                    <w:t>等区域进行重点防渗，厂</w:t>
                  </w:r>
                  <w:r>
                    <w:rPr>
                      <w:rFonts w:hint="default" w:ascii="Times New Roman" w:hAnsi="Times New Roman" w:eastAsia="宋体" w:cs="Times New Roman"/>
                      <w:color w:val="auto"/>
                      <w:sz w:val="21"/>
                      <w:szCs w:val="21"/>
                      <w:lang w:eastAsia="zh-CN"/>
                    </w:rPr>
                    <w:t>房</w:t>
                  </w:r>
                  <w:r>
                    <w:rPr>
                      <w:rFonts w:hint="default" w:ascii="Times New Roman" w:hAnsi="Times New Roman" w:eastAsia="宋体" w:cs="Times New Roman"/>
                      <w:color w:val="auto"/>
                      <w:sz w:val="21"/>
                      <w:szCs w:val="21"/>
                    </w:rPr>
                    <w:t>内的其他生产区域进行一般防渗</w:t>
                  </w:r>
                  <w:r>
                    <w:rPr>
                      <w:rFonts w:hint="eastAsia" w:cs="Times New Roman"/>
                      <w:color w:val="auto"/>
                      <w:sz w:val="21"/>
                      <w:szCs w:val="21"/>
                      <w:lang w:val="en-US" w:eastAsia="zh-CN"/>
                    </w:rPr>
                    <w:t>（依托租赁）</w:t>
                  </w:r>
                  <w:r>
                    <w:rPr>
                      <w:rFonts w:hint="default" w:ascii="Times New Roman" w:hAnsi="Times New Roman" w:eastAsia="宋体" w:cs="Times New Roman"/>
                      <w:color w:val="auto"/>
                      <w:sz w:val="21"/>
                      <w:szCs w:val="21"/>
                      <w:lang w:eastAsia="zh-CN"/>
                    </w:rPr>
                    <w:t>，厂区道路、绿化区等区域进行简单防渗</w:t>
                  </w:r>
                  <w:r>
                    <w:rPr>
                      <w:rFonts w:hint="eastAsia" w:cs="Times New Roman"/>
                      <w:color w:val="auto"/>
                      <w:sz w:val="21"/>
                      <w:szCs w:val="21"/>
                      <w:lang w:val="en-US" w:eastAsia="zh-CN"/>
                    </w:rPr>
                    <w:t>（依托租赁）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设置消防系统</w:t>
                  </w:r>
                </w:p>
              </w:tc>
              <w:tc>
                <w:tcPr>
                  <w:tcW w:w="559" w:type="pct"/>
                  <w:vAlign w:val="center"/>
                </w:tcPr>
                <w:p w14:paraId="494B2E68">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w:t>
                  </w:r>
                </w:p>
              </w:tc>
            </w:tr>
            <w:tr w14:paraId="508A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0" w:type="pct"/>
                  <w:gridSpan w:val="5"/>
                  <w:vAlign w:val="center"/>
                </w:tcPr>
                <w:p w14:paraId="2C453A58">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合计</w:t>
                  </w:r>
                </w:p>
              </w:tc>
              <w:tc>
                <w:tcPr>
                  <w:tcW w:w="559" w:type="pct"/>
                  <w:vAlign w:val="center"/>
                </w:tcPr>
                <w:p w14:paraId="75411E2C">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70</w:t>
                  </w:r>
                </w:p>
              </w:tc>
            </w:tr>
          </w:tbl>
          <w:p w14:paraId="4162DB51">
            <w:pPr>
              <w:keepNext w:val="0"/>
              <w:keepLines w:val="0"/>
              <w:suppressLineNumbers w:val="0"/>
              <w:spacing w:before="0" w:beforeAutospacing="0" w:after="0" w:afterAutospacing="0" w:line="360" w:lineRule="auto"/>
              <w:ind w:left="0" w:right="0"/>
              <w:rPr>
                <w:rFonts w:hint="default"/>
                <w:b/>
                <w:bCs/>
                <w:color w:val="auto"/>
                <w:sz w:val="24"/>
                <w:szCs w:val="24"/>
              </w:rPr>
            </w:pPr>
            <w:r>
              <w:rPr>
                <w:rFonts w:hint="eastAsia" w:ascii="Times New Roman" w:eastAsia="宋体"/>
                <w:b/>
                <w:color w:val="auto"/>
                <w:sz w:val="24"/>
                <w:lang w:val="en-US" w:eastAsia="zh-CN"/>
              </w:rPr>
              <w:t xml:space="preserve">4.9 </w:t>
            </w:r>
            <w:r>
              <w:rPr>
                <w:rFonts w:hint="default"/>
                <w:b/>
                <w:bCs/>
                <w:color w:val="auto"/>
                <w:sz w:val="24"/>
                <w:szCs w:val="24"/>
              </w:rPr>
              <w:t>排污口规范化措施</w:t>
            </w:r>
          </w:p>
          <w:p w14:paraId="4B76426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安徽省污染源排放口规范化整治管理办法》（环法函[2005]114号），排污口规范化整治应遵循便于采集样品，便于计量监测，便于日常现场监督检查的原则，建设项目按有关规定对排污口施行规范化管理，在各排污口和污染物排放点源竖立标志牌，建立管理档案。</w:t>
            </w:r>
          </w:p>
          <w:p w14:paraId="7461635D">
            <w:pPr>
              <w:keepNext w:val="0"/>
              <w:keepLines w:val="0"/>
              <w:numPr>
                <w:ilvl w:val="0"/>
                <w:numId w:val="24"/>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企业应设置便于采样的明渠，并在附近树立废水排口图形标志牌，确保厂区废水达标排放。</w:t>
            </w:r>
          </w:p>
          <w:p w14:paraId="602720C1">
            <w:pPr>
              <w:keepNext w:val="0"/>
              <w:keepLines w:val="0"/>
              <w:numPr>
                <w:ilvl w:val="0"/>
                <w:numId w:val="24"/>
              </w:numPr>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废气排放口必须符合规定的高度和按照《污染源监测技术规范》便于采样、监测的要求，设置直径不大于75mm的采样口。如无法满足要求的，其采样口与环境监测</w:t>
            </w:r>
            <w:r>
              <w:rPr>
                <w:rFonts w:hint="default" w:ascii="Times New Roman" w:hAnsi="Times New Roman" w:eastAsia="宋体" w:cs="Times New Roman"/>
                <w:color w:val="auto"/>
                <w:sz w:val="24"/>
                <w:highlight w:val="none"/>
                <w:lang w:eastAsia="zh-CN"/>
              </w:rPr>
              <w:t>单位</w:t>
            </w:r>
            <w:r>
              <w:rPr>
                <w:rFonts w:hint="default" w:ascii="Times New Roman" w:hAnsi="Times New Roman" w:eastAsia="宋体" w:cs="Times New Roman"/>
                <w:color w:val="auto"/>
                <w:sz w:val="24"/>
                <w:highlight w:val="none"/>
              </w:rPr>
              <w:t>共同确认。</w:t>
            </w:r>
          </w:p>
          <w:p w14:paraId="18AB57BF">
            <w:pPr>
              <w:keepNext w:val="0"/>
              <w:keepLines w:val="0"/>
              <w:numPr>
                <w:ilvl w:val="0"/>
                <w:numId w:val="24"/>
              </w:numPr>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对于一般固体废物应设置专用贮存、堆放场地。对于危险废物应设置专用储存容器，并须有防挥发、防流失、防漏防渗措施。各类</w:t>
            </w:r>
            <w:r>
              <w:rPr>
                <w:rFonts w:hint="default" w:ascii="Times New Roman" w:hAnsi="Times New Roman" w:eastAsia="宋体" w:cs="Times New Roman"/>
                <w:color w:val="auto"/>
                <w:sz w:val="24"/>
                <w:highlight w:val="none"/>
                <w:lang w:eastAsia="zh-CN"/>
              </w:rPr>
              <w:t>固体</w:t>
            </w:r>
            <w:r>
              <w:rPr>
                <w:rFonts w:hint="default" w:ascii="Times New Roman" w:hAnsi="Times New Roman" w:eastAsia="宋体" w:cs="Times New Roman"/>
                <w:color w:val="auto"/>
                <w:sz w:val="24"/>
                <w:highlight w:val="none"/>
              </w:rPr>
              <w:t>废物贮存场所均应设置醒目的标志牌。</w:t>
            </w:r>
          </w:p>
          <w:p w14:paraId="4C41C923">
            <w:pPr>
              <w:keepNext w:val="0"/>
              <w:keepLines w:val="0"/>
              <w:numPr>
                <w:ilvl w:val="0"/>
                <w:numId w:val="24"/>
              </w:numPr>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环境保护图形标志</w:t>
            </w:r>
          </w:p>
          <w:p w14:paraId="4DF47EC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在厂区的废气排放源、</w:t>
            </w:r>
            <w:r>
              <w:rPr>
                <w:rFonts w:hint="default" w:ascii="Times New Roman" w:hAnsi="Times New Roman" w:eastAsia="宋体" w:cs="Times New Roman"/>
                <w:color w:val="auto"/>
                <w:sz w:val="24"/>
                <w:lang w:val="en-US" w:eastAsia="zh-CN"/>
              </w:rPr>
              <w:t>噪声排放源、</w:t>
            </w:r>
            <w:r>
              <w:rPr>
                <w:rFonts w:hint="default" w:ascii="Times New Roman" w:hAnsi="Times New Roman" w:eastAsia="宋体" w:cs="Times New Roman"/>
                <w:color w:val="auto"/>
                <w:sz w:val="24"/>
              </w:rPr>
              <w:t>固体废物贮存处置场应设置环境保护图形标志，图形符号分为提示图形和警告图形符号两种，按《环境保护图形标志——排放口(源)》（GB15562.1-1995）、《环境保护图形标志——固体废物贮存（处置）场》（GB15562.2-1995）及修改单执行。</w:t>
            </w:r>
            <w:r>
              <w:rPr>
                <w:rFonts w:hint="default" w:ascii="Times New Roman" w:hAnsi="Times New Roman" w:eastAsia="宋体" w:cs="Times New Roman"/>
                <w:color w:val="auto"/>
                <w:sz w:val="24"/>
                <w:lang w:val="en-US" w:eastAsia="zh-CN"/>
              </w:rPr>
              <w:t>此外，应按照</w:t>
            </w:r>
            <w:r>
              <w:rPr>
                <w:rFonts w:hint="default" w:ascii="Times New Roman" w:hAnsi="Times New Roman" w:eastAsia="宋体" w:cs="Times New Roman"/>
                <w:color w:val="auto"/>
                <w:sz w:val="24"/>
              </w:rPr>
              <w:t>《危险废物识别标志设置技术规范》（HJ1276-2022）要求设置危险废物贮存设施或场所标志、危险废物贮存分区标志和危险废物标签等危险废物识别标志。</w:t>
            </w:r>
          </w:p>
          <w:p w14:paraId="41F7C3D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环境保护图形符号</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环境保护图形标志的形状及颜色见</w:t>
            </w:r>
            <w:r>
              <w:rPr>
                <w:rFonts w:hint="default" w:ascii="Times New Roman" w:hAnsi="Times New Roman" w:eastAsia="宋体" w:cs="Times New Roman"/>
                <w:color w:val="auto"/>
                <w:sz w:val="24"/>
                <w:highlight w:val="none"/>
                <w:lang w:val="en-US" w:eastAsia="zh-CN"/>
              </w:rPr>
              <w:t>下表</w:t>
            </w:r>
            <w:r>
              <w:rPr>
                <w:rFonts w:hint="default" w:ascii="Times New Roman" w:hAnsi="Times New Roman" w:eastAsia="宋体" w:cs="Times New Roman"/>
                <w:color w:val="auto"/>
                <w:sz w:val="24"/>
                <w:highlight w:val="none"/>
              </w:rPr>
              <w:t>。</w:t>
            </w:r>
          </w:p>
          <w:p w14:paraId="5277B791">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环保图形标志</w:t>
            </w:r>
          </w:p>
          <w:tbl>
            <w:tblPr>
              <w:tblStyle w:val="3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3153"/>
              <w:gridCol w:w="3285"/>
              <w:gridCol w:w="1542"/>
            </w:tblGrid>
            <w:tr w14:paraId="3F95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trPr>
              <w:tc>
                <w:tcPr>
                  <w:tcW w:w="468" w:type="pct"/>
                  <w:tcBorders>
                    <w:tl2br w:val="nil"/>
                    <w:tr2bl w:val="nil"/>
                  </w:tcBorders>
                  <w:vAlign w:val="center"/>
                </w:tcPr>
                <w:p w14:paraId="4CA50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序号</w:t>
                  </w:r>
                </w:p>
              </w:tc>
              <w:tc>
                <w:tcPr>
                  <w:tcW w:w="1790" w:type="pct"/>
                  <w:tcBorders>
                    <w:tl2br w:val="nil"/>
                    <w:tr2bl w:val="nil"/>
                  </w:tcBorders>
                  <w:vAlign w:val="center"/>
                </w:tcPr>
                <w:p w14:paraId="78F266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提示性图形符号</w:t>
                  </w:r>
                </w:p>
              </w:tc>
              <w:tc>
                <w:tcPr>
                  <w:tcW w:w="1865" w:type="pct"/>
                  <w:tcBorders>
                    <w:tl2br w:val="nil"/>
                    <w:tr2bl w:val="nil"/>
                  </w:tcBorders>
                  <w:vAlign w:val="center"/>
                </w:tcPr>
                <w:p w14:paraId="4F6C9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警告图形符号</w:t>
                  </w:r>
                </w:p>
              </w:tc>
              <w:tc>
                <w:tcPr>
                  <w:tcW w:w="875" w:type="pct"/>
                  <w:tcBorders>
                    <w:tl2br w:val="nil"/>
                    <w:tr2bl w:val="nil"/>
                  </w:tcBorders>
                  <w:vAlign w:val="center"/>
                </w:tcPr>
                <w:p w14:paraId="6EBEC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排放口及堆场</w:t>
                  </w:r>
                </w:p>
              </w:tc>
            </w:tr>
            <w:tr w14:paraId="0053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865" w:type="dxa"/>
                  <w:tcBorders>
                    <w:tl2br w:val="nil"/>
                    <w:tr2bl w:val="nil"/>
                  </w:tcBorders>
                  <w:vAlign w:val="center"/>
                </w:tcPr>
                <w:p w14:paraId="314F5AA9">
                  <w:pPr>
                    <w:keepNext w:val="0"/>
                    <w:keepLines w:val="0"/>
                    <w:numPr>
                      <w:ilvl w:val="0"/>
                      <w:numId w:val="25"/>
                    </w:numPr>
                    <w:suppressLineNumbers w:val="0"/>
                    <w:tabs>
                      <w:tab w:val="clear" w:pos="0"/>
                    </w:tabs>
                    <w:spacing w:before="0" w:beforeAutospacing="0" w:after="0" w:afterAutospacing="0"/>
                    <w:ind w:left="0" w:leftChars="0" w:right="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vAlign w:val="center"/>
                </w:tcPr>
                <w:p w14:paraId="62D932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0" distR="0">
                        <wp:extent cx="1238250" cy="1152525"/>
                        <wp:effectExtent l="0" t="0" r="0" b="9525"/>
                        <wp:docPr id="1054" name="图片 12" descr="说明: 说明: 污水排放口1"/>
                        <wp:cNvGraphicFramePr/>
                        <a:graphic xmlns:a="http://schemas.openxmlformats.org/drawingml/2006/main">
                          <a:graphicData uri="http://schemas.openxmlformats.org/drawingml/2006/picture">
                            <pic:pic xmlns:pic="http://schemas.openxmlformats.org/drawingml/2006/picture">
                              <pic:nvPicPr>
                                <pic:cNvPr id="1054" name="图片 12" descr="说明: 说明: 污水排放口1"/>
                                <pic:cNvPicPr/>
                              </pic:nvPicPr>
                              <pic:blipFill>
                                <a:blip r:embed="rId42" cstate="print"/>
                                <a:srcRect/>
                                <a:stretch>
                                  <a:fillRect/>
                                </a:stretch>
                              </pic:blipFill>
                              <pic:spPr>
                                <a:xfrm>
                                  <a:off x="0" y="0"/>
                                  <a:ext cx="1238250" cy="1152525"/>
                                </a:xfrm>
                                <a:prstGeom prst="rect">
                                  <a:avLst/>
                                </a:prstGeom>
                                <a:ln>
                                  <a:noFill/>
                                </a:ln>
                              </pic:spPr>
                            </pic:pic>
                          </a:graphicData>
                        </a:graphic>
                      </wp:inline>
                    </w:drawing>
                  </w:r>
                </w:p>
              </w:tc>
              <w:tc>
                <w:tcPr>
                  <w:tcW w:w="1865" w:type="pct"/>
                  <w:tcBorders>
                    <w:tl2br w:val="nil"/>
                    <w:tr2bl w:val="nil"/>
                  </w:tcBorders>
                  <w:vAlign w:val="center"/>
                </w:tcPr>
                <w:p w14:paraId="0881BF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drawing>
                      <wp:inline distT="0" distB="0" distL="0" distR="0">
                        <wp:extent cx="1266190" cy="1138555"/>
                        <wp:effectExtent l="0" t="0" r="10160" b="4445"/>
                        <wp:docPr id="1055" name="图片 13"/>
                        <wp:cNvGraphicFramePr/>
                        <a:graphic xmlns:a="http://schemas.openxmlformats.org/drawingml/2006/main">
                          <a:graphicData uri="http://schemas.openxmlformats.org/drawingml/2006/picture">
                            <pic:pic xmlns:pic="http://schemas.openxmlformats.org/drawingml/2006/picture">
                              <pic:nvPicPr>
                                <pic:cNvPr id="1055" name="图片 13"/>
                                <pic:cNvPicPr/>
                              </pic:nvPicPr>
                              <pic:blipFill>
                                <a:blip r:embed="rId43" cstate="print"/>
                                <a:srcRect/>
                                <a:stretch>
                                  <a:fillRect/>
                                </a:stretch>
                              </pic:blipFill>
                              <pic:spPr>
                                <a:xfrm>
                                  <a:off x="0" y="0"/>
                                  <a:ext cx="1266190" cy="1138555"/>
                                </a:xfrm>
                                <a:prstGeom prst="rect">
                                  <a:avLst/>
                                </a:prstGeom>
                                <a:ln>
                                  <a:noFill/>
                                </a:ln>
                              </pic:spPr>
                            </pic:pic>
                          </a:graphicData>
                        </a:graphic>
                      </wp:inline>
                    </w:drawing>
                  </w:r>
                </w:p>
              </w:tc>
              <w:tc>
                <w:tcPr>
                  <w:tcW w:w="875" w:type="pct"/>
                  <w:tcBorders>
                    <w:tl2br w:val="nil"/>
                    <w:tr2bl w:val="nil"/>
                  </w:tcBorders>
                  <w:vAlign w:val="center"/>
                </w:tcPr>
                <w:p w14:paraId="1E2E524F">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污水排放口</w:t>
                  </w:r>
                </w:p>
              </w:tc>
            </w:tr>
            <w:tr w14:paraId="3506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76142A87">
                  <w:pPr>
                    <w:keepNext w:val="0"/>
                    <w:keepLines w:val="0"/>
                    <w:numPr>
                      <w:ilvl w:val="0"/>
                      <w:numId w:val="25"/>
                    </w:numPr>
                    <w:suppressLineNumbers w:val="0"/>
                    <w:tabs>
                      <w:tab w:val="clear" w:pos="0"/>
                    </w:tabs>
                    <w:spacing w:before="0" w:beforeAutospacing="0" w:after="0" w:afterAutospacing="0"/>
                    <w:ind w:left="0" w:leftChars="0" w:right="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vAlign w:val="center"/>
                </w:tcPr>
                <w:p w14:paraId="654D4F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0" distR="0">
                        <wp:extent cx="1276350" cy="1114425"/>
                        <wp:effectExtent l="0" t="0" r="0" b="9525"/>
                        <wp:docPr id="1056" name="图片 14" descr="说明: 说明: 废气排放口1"/>
                        <wp:cNvGraphicFramePr/>
                        <a:graphic xmlns:a="http://schemas.openxmlformats.org/drawingml/2006/main">
                          <a:graphicData uri="http://schemas.openxmlformats.org/drawingml/2006/picture">
                            <pic:pic xmlns:pic="http://schemas.openxmlformats.org/drawingml/2006/picture">
                              <pic:nvPicPr>
                                <pic:cNvPr id="1056" name="图片 14" descr="说明: 说明: 废气排放口1"/>
                                <pic:cNvPicPr/>
                              </pic:nvPicPr>
                              <pic:blipFill>
                                <a:blip r:embed="rId44" cstate="print"/>
                                <a:srcRect/>
                                <a:stretch>
                                  <a:fillRect/>
                                </a:stretch>
                              </pic:blipFill>
                              <pic:spPr>
                                <a:xfrm>
                                  <a:off x="0" y="0"/>
                                  <a:ext cx="1276350" cy="1114425"/>
                                </a:xfrm>
                                <a:prstGeom prst="rect">
                                  <a:avLst/>
                                </a:prstGeom>
                                <a:ln>
                                  <a:noFill/>
                                </a:ln>
                              </pic:spPr>
                            </pic:pic>
                          </a:graphicData>
                        </a:graphic>
                      </wp:inline>
                    </w:drawing>
                  </w:r>
                </w:p>
              </w:tc>
              <w:tc>
                <w:tcPr>
                  <w:tcW w:w="1865" w:type="pct"/>
                  <w:tcBorders>
                    <w:tl2br w:val="nil"/>
                    <w:tr2bl w:val="nil"/>
                  </w:tcBorders>
                  <w:vAlign w:val="center"/>
                </w:tcPr>
                <w:p w14:paraId="373FEC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drawing>
                      <wp:inline distT="0" distB="0" distL="0" distR="0">
                        <wp:extent cx="1264285" cy="1130935"/>
                        <wp:effectExtent l="0" t="0" r="12065" b="12065"/>
                        <wp:docPr id="1057" name="图片 15"/>
                        <wp:cNvGraphicFramePr/>
                        <a:graphic xmlns:a="http://schemas.openxmlformats.org/drawingml/2006/main">
                          <a:graphicData uri="http://schemas.openxmlformats.org/drawingml/2006/picture">
                            <pic:pic xmlns:pic="http://schemas.openxmlformats.org/drawingml/2006/picture">
                              <pic:nvPicPr>
                                <pic:cNvPr id="1057" name="图片 15"/>
                                <pic:cNvPicPr/>
                              </pic:nvPicPr>
                              <pic:blipFill>
                                <a:blip r:embed="rId45" cstate="print"/>
                                <a:srcRect r="688"/>
                                <a:stretch>
                                  <a:fillRect/>
                                </a:stretch>
                              </pic:blipFill>
                              <pic:spPr>
                                <a:xfrm>
                                  <a:off x="0" y="0"/>
                                  <a:ext cx="1264285" cy="1130935"/>
                                </a:xfrm>
                                <a:prstGeom prst="rect">
                                  <a:avLst/>
                                </a:prstGeom>
                                <a:ln>
                                  <a:noFill/>
                                </a:ln>
                              </pic:spPr>
                            </pic:pic>
                          </a:graphicData>
                        </a:graphic>
                      </wp:inline>
                    </w:drawing>
                  </w:r>
                </w:p>
              </w:tc>
              <w:tc>
                <w:tcPr>
                  <w:tcW w:w="875" w:type="pct"/>
                  <w:tcBorders>
                    <w:tl2br w:val="nil"/>
                    <w:tr2bl w:val="nil"/>
                  </w:tcBorders>
                  <w:vAlign w:val="center"/>
                </w:tcPr>
                <w:p w14:paraId="700F0B87">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废气排放口</w:t>
                  </w:r>
                </w:p>
              </w:tc>
            </w:tr>
            <w:tr w14:paraId="50CA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100896B5">
                  <w:pPr>
                    <w:keepNext w:val="0"/>
                    <w:keepLines w:val="0"/>
                    <w:numPr>
                      <w:ilvl w:val="0"/>
                      <w:numId w:val="25"/>
                    </w:numPr>
                    <w:suppressLineNumbers w:val="0"/>
                    <w:tabs>
                      <w:tab w:val="clear" w:pos="0"/>
                    </w:tabs>
                    <w:spacing w:before="0" w:beforeAutospacing="0" w:after="0" w:afterAutospacing="0"/>
                    <w:ind w:left="0" w:leftChars="0" w:right="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vAlign w:val="center"/>
                </w:tcPr>
                <w:p w14:paraId="11B3F3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0" distR="0">
                        <wp:extent cx="1257300" cy="1114425"/>
                        <wp:effectExtent l="0" t="0" r="0" b="9525"/>
                        <wp:docPr id="1058" name="图片 16" descr="说明: 说明: 噪声排放源1"/>
                        <wp:cNvGraphicFramePr/>
                        <a:graphic xmlns:a="http://schemas.openxmlformats.org/drawingml/2006/main">
                          <a:graphicData uri="http://schemas.openxmlformats.org/drawingml/2006/picture">
                            <pic:pic xmlns:pic="http://schemas.openxmlformats.org/drawingml/2006/picture">
                              <pic:nvPicPr>
                                <pic:cNvPr id="1058" name="图片 16" descr="说明: 说明: 噪声排放源1"/>
                                <pic:cNvPicPr/>
                              </pic:nvPicPr>
                              <pic:blipFill>
                                <a:blip r:embed="rId46" cstate="print"/>
                                <a:srcRect/>
                                <a:stretch>
                                  <a:fillRect/>
                                </a:stretch>
                              </pic:blipFill>
                              <pic:spPr>
                                <a:xfrm>
                                  <a:off x="0" y="0"/>
                                  <a:ext cx="1257300" cy="1114425"/>
                                </a:xfrm>
                                <a:prstGeom prst="rect">
                                  <a:avLst/>
                                </a:prstGeom>
                                <a:ln>
                                  <a:noFill/>
                                </a:ln>
                              </pic:spPr>
                            </pic:pic>
                          </a:graphicData>
                        </a:graphic>
                      </wp:inline>
                    </w:drawing>
                  </w:r>
                </w:p>
              </w:tc>
              <w:tc>
                <w:tcPr>
                  <w:tcW w:w="1865" w:type="pct"/>
                  <w:tcBorders>
                    <w:tl2br w:val="nil"/>
                    <w:tr2bl w:val="nil"/>
                  </w:tcBorders>
                  <w:vAlign w:val="center"/>
                </w:tcPr>
                <w:p w14:paraId="3F2AFB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drawing>
                      <wp:inline distT="0" distB="0" distL="0" distR="0">
                        <wp:extent cx="1259205" cy="1118870"/>
                        <wp:effectExtent l="0" t="0" r="17145" b="5080"/>
                        <wp:docPr id="1059" name="图片 17"/>
                        <wp:cNvGraphicFramePr/>
                        <a:graphic xmlns:a="http://schemas.openxmlformats.org/drawingml/2006/main">
                          <a:graphicData uri="http://schemas.openxmlformats.org/drawingml/2006/picture">
                            <pic:pic xmlns:pic="http://schemas.openxmlformats.org/drawingml/2006/picture">
                              <pic:nvPicPr>
                                <pic:cNvPr id="1059" name="图片 17"/>
                                <pic:cNvPicPr/>
                              </pic:nvPicPr>
                              <pic:blipFill>
                                <a:blip r:embed="rId47" cstate="print"/>
                                <a:srcRect/>
                                <a:stretch>
                                  <a:fillRect/>
                                </a:stretch>
                              </pic:blipFill>
                              <pic:spPr>
                                <a:xfrm>
                                  <a:off x="0" y="0"/>
                                  <a:ext cx="1259205" cy="1118870"/>
                                </a:xfrm>
                                <a:prstGeom prst="rect">
                                  <a:avLst/>
                                </a:prstGeom>
                                <a:ln>
                                  <a:noFill/>
                                </a:ln>
                              </pic:spPr>
                            </pic:pic>
                          </a:graphicData>
                        </a:graphic>
                      </wp:inline>
                    </w:drawing>
                  </w:r>
                </w:p>
              </w:tc>
              <w:tc>
                <w:tcPr>
                  <w:tcW w:w="875" w:type="pct"/>
                  <w:tcBorders>
                    <w:tl2br w:val="nil"/>
                    <w:tr2bl w:val="nil"/>
                  </w:tcBorders>
                  <w:vAlign w:val="center"/>
                </w:tcPr>
                <w:p w14:paraId="4987C931">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噪声排放源</w:t>
                  </w:r>
                </w:p>
              </w:tc>
            </w:tr>
            <w:tr w14:paraId="49C9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5A0A179F">
                  <w:pPr>
                    <w:keepNext w:val="0"/>
                    <w:keepLines w:val="0"/>
                    <w:numPr>
                      <w:ilvl w:val="0"/>
                      <w:numId w:val="25"/>
                    </w:numPr>
                    <w:suppressLineNumbers w:val="0"/>
                    <w:tabs>
                      <w:tab w:val="clear" w:pos="0"/>
                    </w:tabs>
                    <w:spacing w:before="0" w:beforeAutospacing="0" w:after="0" w:afterAutospacing="0"/>
                    <w:ind w:left="0" w:leftChars="0" w:right="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vAlign w:val="center"/>
                </w:tcPr>
                <w:p w14:paraId="64DAE0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0" distR="0">
                        <wp:extent cx="1228725" cy="1123950"/>
                        <wp:effectExtent l="0" t="0" r="9525" b="0"/>
                        <wp:docPr id="1060" name="图片 18" descr="说明: 说明: 一般固体废物1"/>
                        <wp:cNvGraphicFramePr/>
                        <a:graphic xmlns:a="http://schemas.openxmlformats.org/drawingml/2006/main">
                          <a:graphicData uri="http://schemas.openxmlformats.org/drawingml/2006/picture">
                            <pic:pic xmlns:pic="http://schemas.openxmlformats.org/drawingml/2006/picture">
                              <pic:nvPicPr>
                                <pic:cNvPr id="1060" name="图片 18" descr="说明: 说明: 一般固体废物1"/>
                                <pic:cNvPicPr/>
                              </pic:nvPicPr>
                              <pic:blipFill>
                                <a:blip r:embed="rId48" cstate="print"/>
                                <a:srcRect/>
                                <a:stretch>
                                  <a:fillRect/>
                                </a:stretch>
                              </pic:blipFill>
                              <pic:spPr>
                                <a:xfrm>
                                  <a:off x="0" y="0"/>
                                  <a:ext cx="1228725" cy="1123950"/>
                                </a:xfrm>
                                <a:prstGeom prst="rect">
                                  <a:avLst/>
                                </a:prstGeom>
                                <a:ln>
                                  <a:noFill/>
                                </a:ln>
                              </pic:spPr>
                            </pic:pic>
                          </a:graphicData>
                        </a:graphic>
                      </wp:inline>
                    </w:drawing>
                  </w:r>
                </w:p>
              </w:tc>
              <w:tc>
                <w:tcPr>
                  <w:tcW w:w="1865" w:type="pct"/>
                  <w:tcBorders>
                    <w:tl2br w:val="nil"/>
                    <w:tr2bl w:val="nil"/>
                  </w:tcBorders>
                  <w:vAlign w:val="center"/>
                </w:tcPr>
                <w:p w14:paraId="482EB3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drawing>
                      <wp:inline distT="0" distB="0" distL="0" distR="0">
                        <wp:extent cx="1275715" cy="1117600"/>
                        <wp:effectExtent l="0" t="0" r="635" b="6350"/>
                        <wp:docPr id="1061" name="图片 28"/>
                        <wp:cNvGraphicFramePr/>
                        <a:graphic xmlns:a="http://schemas.openxmlformats.org/drawingml/2006/main">
                          <a:graphicData uri="http://schemas.openxmlformats.org/drawingml/2006/picture">
                            <pic:pic xmlns:pic="http://schemas.openxmlformats.org/drawingml/2006/picture">
                              <pic:nvPicPr>
                                <pic:cNvPr id="1061" name="图片 28"/>
                                <pic:cNvPicPr/>
                              </pic:nvPicPr>
                              <pic:blipFill>
                                <a:blip r:embed="rId49" cstate="print"/>
                                <a:srcRect/>
                                <a:stretch>
                                  <a:fillRect/>
                                </a:stretch>
                              </pic:blipFill>
                              <pic:spPr>
                                <a:xfrm>
                                  <a:off x="0" y="0"/>
                                  <a:ext cx="1275715" cy="1117600"/>
                                </a:xfrm>
                                <a:prstGeom prst="rect">
                                  <a:avLst/>
                                </a:prstGeom>
                                <a:ln>
                                  <a:noFill/>
                                </a:ln>
                              </pic:spPr>
                            </pic:pic>
                          </a:graphicData>
                        </a:graphic>
                      </wp:inline>
                    </w:drawing>
                  </w:r>
                </w:p>
              </w:tc>
              <w:tc>
                <w:tcPr>
                  <w:tcW w:w="875" w:type="pct"/>
                  <w:tcBorders>
                    <w:tl2br w:val="nil"/>
                    <w:tr2bl w:val="nil"/>
                  </w:tcBorders>
                  <w:vAlign w:val="center"/>
                </w:tcPr>
                <w:p w14:paraId="231907AC">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一般固体废物</w:t>
                  </w:r>
                </w:p>
              </w:tc>
            </w:tr>
            <w:tr w14:paraId="7A6F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6C812049">
                  <w:pPr>
                    <w:keepNext w:val="0"/>
                    <w:keepLines w:val="0"/>
                    <w:numPr>
                      <w:ilvl w:val="0"/>
                      <w:numId w:val="25"/>
                    </w:numPr>
                    <w:suppressLineNumbers w:val="0"/>
                    <w:tabs>
                      <w:tab w:val="clear" w:pos="0"/>
                    </w:tabs>
                    <w:spacing w:before="0" w:beforeAutospacing="0" w:after="0" w:afterAutospacing="0"/>
                    <w:ind w:left="0" w:leftChars="0" w:right="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vAlign w:val="center"/>
                </w:tcPr>
                <w:p w14:paraId="08F57055">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color w:val="auto"/>
                      <w:szCs w:val="21"/>
                      <w:highlight w:val="none"/>
                    </w:rPr>
                  </w:pPr>
                </w:p>
              </w:tc>
              <w:tc>
                <w:tcPr>
                  <w:tcW w:w="1865" w:type="pct"/>
                  <w:tcBorders>
                    <w:tl2br w:val="nil"/>
                    <w:tr2bl w:val="nil"/>
                  </w:tcBorders>
                  <w:vAlign w:val="center"/>
                </w:tcPr>
                <w:p w14:paraId="54398C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drawing>
                      <wp:inline distT="0" distB="0" distL="0" distR="0">
                        <wp:extent cx="1167130" cy="1051560"/>
                        <wp:effectExtent l="0" t="0" r="13970" b="15240"/>
                        <wp:docPr id="1062" name="图片 20" descr="ea164bd5170c4f989ce968f5a935f453"/>
                        <wp:cNvGraphicFramePr/>
                        <a:graphic xmlns:a="http://schemas.openxmlformats.org/drawingml/2006/main">
                          <a:graphicData uri="http://schemas.openxmlformats.org/drawingml/2006/picture">
                            <pic:pic xmlns:pic="http://schemas.openxmlformats.org/drawingml/2006/picture">
                              <pic:nvPicPr>
                                <pic:cNvPr id="1062" name="图片 20" descr="ea164bd5170c4f989ce968f5a935f453"/>
                                <pic:cNvPicPr/>
                              </pic:nvPicPr>
                              <pic:blipFill>
                                <a:blip r:embed="rId50" cstate="print"/>
                                <a:srcRect/>
                                <a:stretch>
                                  <a:fillRect/>
                                </a:stretch>
                              </pic:blipFill>
                              <pic:spPr>
                                <a:xfrm>
                                  <a:off x="0" y="0"/>
                                  <a:ext cx="1167130" cy="1051560"/>
                                </a:xfrm>
                                <a:prstGeom prst="rect">
                                  <a:avLst/>
                                </a:prstGeom>
                                <a:ln>
                                  <a:noFill/>
                                </a:ln>
                              </pic:spPr>
                            </pic:pic>
                          </a:graphicData>
                        </a:graphic>
                      </wp:inline>
                    </w:drawing>
                  </w:r>
                </w:p>
              </w:tc>
              <w:tc>
                <w:tcPr>
                  <w:tcW w:w="875" w:type="pct"/>
                  <w:tcBorders>
                    <w:tl2br w:val="nil"/>
                    <w:tr2bl w:val="nil"/>
                  </w:tcBorders>
                  <w:vAlign w:val="center"/>
                </w:tcPr>
                <w:p w14:paraId="17D1D7AB">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危险废物</w:t>
                  </w:r>
                </w:p>
              </w:tc>
            </w:tr>
          </w:tbl>
          <w:p w14:paraId="202CF6A8">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环保图形标志形状、颜色</w:t>
            </w:r>
          </w:p>
          <w:tbl>
            <w:tblPr>
              <w:tblStyle w:val="3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2201"/>
              <w:gridCol w:w="2203"/>
              <w:gridCol w:w="2203"/>
            </w:tblGrid>
            <w:tr w14:paraId="4152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trPr>
              <w:tc>
                <w:tcPr>
                  <w:tcW w:w="1249" w:type="pct"/>
                  <w:vAlign w:val="center"/>
                </w:tcPr>
                <w:p w14:paraId="02DDB8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249" w:type="pct"/>
                  <w:vAlign w:val="center"/>
                </w:tcPr>
                <w:p w14:paraId="20F153E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形状</w:t>
                  </w:r>
                </w:p>
              </w:tc>
              <w:tc>
                <w:tcPr>
                  <w:tcW w:w="1250" w:type="pct"/>
                  <w:vAlign w:val="center"/>
                </w:tcPr>
                <w:p w14:paraId="3D5069D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背景颜色</w:t>
                  </w:r>
                </w:p>
              </w:tc>
              <w:tc>
                <w:tcPr>
                  <w:tcW w:w="1250" w:type="pct"/>
                  <w:vAlign w:val="center"/>
                </w:tcPr>
                <w:p w14:paraId="3966545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图形颜色</w:t>
                  </w:r>
                </w:p>
              </w:tc>
            </w:tr>
            <w:tr w14:paraId="1581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vAlign w:val="center"/>
                </w:tcPr>
                <w:p w14:paraId="76DCF1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提示性图形符号</w:t>
                  </w:r>
                </w:p>
              </w:tc>
              <w:tc>
                <w:tcPr>
                  <w:tcW w:w="1249" w:type="pct"/>
                  <w:vAlign w:val="center"/>
                </w:tcPr>
                <w:p w14:paraId="3CA934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正方形边框</w:t>
                  </w:r>
                </w:p>
              </w:tc>
              <w:tc>
                <w:tcPr>
                  <w:tcW w:w="1250" w:type="pct"/>
                  <w:vAlign w:val="center"/>
                </w:tcPr>
                <w:p w14:paraId="1D3340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绿色</w:t>
                  </w:r>
                </w:p>
              </w:tc>
              <w:tc>
                <w:tcPr>
                  <w:tcW w:w="1250" w:type="pct"/>
                  <w:vAlign w:val="center"/>
                </w:tcPr>
                <w:p w14:paraId="6B88ED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白色</w:t>
                  </w:r>
                </w:p>
              </w:tc>
            </w:tr>
            <w:tr w14:paraId="0716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49" w:type="pct"/>
                  <w:vAlign w:val="center"/>
                </w:tcPr>
                <w:p w14:paraId="5BD682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警告图形符号</w:t>
                  </w:r>
                </w:p>
              </w:tc>
              <w:tc>
                <w:tcPr>
                  <w:tcW w:w="1249" w:type="pct"/>
                  <w:vAlign w:val="center"/>
                </w:tcPr>
                <w:p w14:paraId="19A283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三角形边框</w:t>
                  </w:r>
                </w:p>
              </w:tc>
              <w:tc>
                <w:tcPr>
                  <w:tcW w:w="1250" w:type="pct"/>
                  <w:vAlign w:val="center"/>
                </w:tcPr>
                <w:p w14:paraId="0C4A8D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黄色</w:t>
                  </w:r>
                </w:p>
              </w:tc>
              <w:tc>
                <w:tcPr>
                  <w:tcW w:w="1250" w:type="pct"/>
                  <w:vAlign w:val="center"/>
                </w:tcPr>
                <w:p w14:paraId="7C3D3A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黑色</w:t>
                  </w:r>
                </w:p>
              </w:tc>
            </w:tr>
          </w:tbl>
          <w:p w14:paraId="7F2ECDC1">
            <w:pPr>
              <w:keepNext w:val="0"/>
              <w:keepLines w:val="0"/>
              <w:suppressLineNumbers w:val="0"/>
              <w:spacing w:before="0" w:beforeAutospacing="0" w:after="0" w:afterAutospacing="0" w:line="360" w:lineRule="auto"/>
              <w:ind w:left="0" w:right="0"/>
              <w:rPr>
                <w:rFonts w:hint="eastAsia"/>
                <w:b/>
                <w:bCs/>
                <w:color w:val="auto"/>
                <w:sz w:val="24"/>
                <w:szCs w:val="24"/>
                <w:lang w:val="en-US" w:eastAsia="zh-CN"/>
              </w:rPr>
            </w:pPr>
            <w:r>
              <w:rPr>
                <w:rFonts w:hint="eastAsia"/>
                <w:b/>
                <w:bCs/>
                <w:color w:val="auto"/>
                <w:sz w:val="24"/>
                <w:szCs w:val="24"/>
                <w:lang w:val="en-US" w:eastAsia="zh-CN"/>
              </w:rPr>
              <w:t>4.10 项目三本账</w:t>
            </w:r>
          </w:p>
          <w:p w14:paraId="446E646D">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本项目污染物排总量一览表（单位：t/a）</w:t>
            </w:r>
          </w:p>
          <w:tbl>
            <w:tblPr>
              <w:tblStyle w:val="35"/>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686"/>
              <w:gridCol w:w="689"/>
              <w:gridCol w:w="968"/>
              <w:gridCol w:w="913"/>
              <w:gridCol w:w="955"/>
              <w:gridCol w:w="921"/>
              <w:gridCol w:w="1091"/>
              <w:gridCol w:w="936"/>
              <w:gridCol w:w="1081"/>
            </w:tblGrid>
            <w:tr w14:paraId="375A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5" w:type="pct"/>
                  <w:vMerge w:val="restart"/>
                  <w:tcBorders>
                    <w:top w:val="single" w:color="auto" w:sz="4" w:space="0"/>
                    <w:left w:val="single" w:color="auto" w:sz="4" w:space="0"/>
                    <w:bottom w:val="single" w:color="auto" w:sz="4" w:space="0"/>
                    <w:right w:val="single" w:color="auto" w:sz="4" w:space="0"/>
                  </w:tcBorders>
                  <w:noWrap w:val="0"/>
                  <w:vAlign w:val="center"/>
                </w:tcPr>
                <w:p w14:paraId="6107D443">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种类</w:t>
                  </w:r>
                </w:p>
              </w:tc>
              <w:tc>
                <w:tcPr>
                  <w:tcW w:w="780" w:type="pct"/>
                  <w:gridSpan w:val="2"/>
                  <w:vMerge w:val="restart"/>
                  <w:tcBorders>
                    <w:top w:val="single" w:color="auto" w:sz="4" w:space="0"/>
                    <w:left w:val="nil"/>
                    <w:bottom w:val="single" w:color="auto" w:sz="4" w:space="0"/>
                    <w:right w:val="single" w:color="auto" w:sz="4" w:space="0"/>
                  </w:tcBorders>
                  <w:noWrap w:val="0"/>
                  <w:vAlign w:val="center"/>
                </w:tcPr>
                <w:p w14:paraId="16CF27BF">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污染物名称</w:t>
                  </w:r>
                </w:p>
              </w:tc>
              <w:tc>
                <w:tcPr>
                  <w:tcW w:w="549" w:type="pct"/>
                  <w:vMerge w:val="restart"/>
                  <w:tcBorders>
                    <w:top w:val="single" w:color="auto" w:sz="4" w:space="0"/>
                    <w:left w:val="nil"/>
                    <w:bottom w:val="single" w:color="auto" w:sz="4" w:space="0"/>
                    <w:right w:val="single" w:color="auto" w:sz="4" w:space="0"/>
                  </w:tcBorders>
                  <w:noWrap w:val="0"/>
                  <w:vAlign w:val="center"/>
                </w:tcPr>
                <w:p w14:paraId="7CF36362">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现有项目排放量</w:t>
                  </w:r>
                </w:p>
              </w:tc>
              <w:tc>
                <w:tcPr>
                  <w:tcW w:w="1582" w:type="pct"/>
                  <w:gridSpan w:val="3"/>
                  <w:tcBorders>
                    <w:top w:val="single" w:color="auto" w:sz="4" w:space="0"/>
                    <w:left w:val="nil"/>
                    <w:bottom w:val="single" w:color="auto" w:sz="4" w:space="0"/>
                    <w:right w:val="single" w:color="auto" w:sz="4" w:space="0"/>
                  </w:tcBorders>
                  <w:noWrap w:val="0"/>
                  <w:vAlign w:val="center"/>
                </w:tcPr>
                <w:p w14:paraId="7D960EE3">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改造完成后全厂排放量</w:t>
                  </w:r>
                </w:p>
              </w:tc>
              <w:tc>
                <w:tcPr>
                  <w:tcW w:w="618" w:type="pct"/>
                  <w:vMerge w:val="restart"/>
                  <w:tcBorders>
                    <w:top w:val="single" w:color="auto" w:sz="4" w:space="0"/>
                    <w:left w:val="nil"/>
                    <w:bottom w:val="single" w:color="auto" w:sz="4" w:space="0"/>
                    <w:right w:val="single" w:color="auto" w:sz="4" w:space="0"/>
                  </w:tcBorders>
                  <w:noWrap w:val="0"/>
                  <w:vAlign w:val="center"/>
                </w:tcPr>
                <w:p w14:paraId="46A984DE">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“以新带老”削减量</w:t>
                  </w:r>
                </w:p>
              </w:tc>
              <w:tc>
                <w:tcPr>
                  <w:tcW w:w="530" w:type="pct"/>
                  <w:vMerge w:val="restart"/>
                  <w:tcBorders>
                    <w:top w:val="single" w:color="auto" w:sz="4" w:space="0"/>
                    <w:left w:val="nil"/>
                    <w:bottom w:val="single" w:color="auto" w:sz="4" w:space="0"/>
                    <w:right w:val="single" w:color="auto" w:sz="4" w:space="0"/>
                  </w:tcBorders>
                  <w:noWrap w:val="0"/>
                  <w:vAlign w:val="center"/>
                </w:tcPr>
                <w:p w14:paraId="4160D4FD">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全厂总排放量</w:t>
                  </w:r>
                </w:p>
              </w:tc>
              <w:tc>
                <w:tcPr>
                  <w:tcW w:w="613" w:type="pct"/>
                  <w:vMerge w:val="restart"/>
                  <w:tcBorders>
                    <w:top w:val="single" w:color="auto" w:sz="4" w:space="0"/>
                    <w:left w:val="nil"/>
                    <w:bottom w:val="single" w:color="auto" w:sz="4" w:space="0"/>
                    <w:right w:val="single" w:color="auto" w:sz="4" w:space="0"/>
                  </w:tcBorders>
                  <w:noWrap w:val="0"/>
                  <w:vAlign w:val="center"/>
                </w:tcPr>
                <w:p w14:paraId="5A86A351">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排放增减量</w:t>
                  </w:r>
                </w:p>
              </w:tc>
            </w:tr>
            <w:tr w14:paraId="422C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5" w:type="pct"/>
                  <w:vMerge w:val="continue"/>
                  <w:tcBorders>
                    <w:top w:val="single" w:color="auto" w:sz="4" w:space="0"/>
                    <w:left w:val="single" w:color="auto" w:sz="4" w:space="0"/>
                    <w:bottom w:val="single" w:color="auto" w:sz="4" w:space="0"/>
                    <w:right w:val="single" w:color="auto" w:sz="4" w:space="0"/>
                  </w:tcBorders>
                  <w:noWrap w:val="0"/>
                  <w:vAlign w:val="center"/>
                </w:tcPr>
                <w:p w14:paraId="073247B7">
                  <w:pPr>
                    <w:keepNext w:val="0"/>
                    <w:keepLines w:val="0"/>
                    <w:widowControl/>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vMerge w:val="continue"/>
                  <w:tcBorders>
                    <w:top w:val="single" w:color="auto" w:sz="4" w:space="0"/>
                    <w:left w:val="nil"/>
                    <w:bottom w:val="single" w:color="auto" w:sz="4" w:space="0"/>
                    <w:right w:val="single" w:color="auto" w:sz="4" w:space="0"/>
                  </w:tcBorders>
                  <w:noWrap w:val="0"/>
                  <w:vAlign w:val="center"/>
                </w:tcPr>
                <w:p w14:paraId="5513A765">
                  <w:pPr>
                    <w:keepNext w:val="0"/>
                    <w:keepLines w:val="0"/>
                    <w:widowControl/>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549" w:type="pct"/>
                  <w:vMerge w:val="continue"/>
                  <w:tcBorders>
                    <w:top w:val="single" w:color="auto" w:sz="4" w:space="0"/>
                    <w:left w:val="nil"/>
                    <w:bottom w:val="single" w:color="auto" w:sz="4" w:space="0"/>
                    <w:right w:val="single" w:color="auto" w:sz="4" w:space="0"/>
                  </w:tcBorders>
                  <w:noWrap w:val="0"/>
                  <w:vAlign w:val="center"/>
                </w:tcPr>
                <w:p w14:paraId="0431E86B">
                  <w:pPr>
                    <w:keepNext w:val="0"/>
                    <w:keepLines w:val="0"/>
                    <w:widowControl/>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517" w:type="pct"/>
                  <w:tcBorders>
                    <w:top w:val="single" w:color="auto" w:sz="4" w:space="0"/>
                    <w:left w:val="nil"/>
                    <w:bottom w:val="single" w:color="auto" w:sz="4" w:space="0"/>
                    <w:right w:val="single" w:color="auto" w:sz="4" w:space="0"/>
                  </w:tcBorders>
                  <w:noWrap w:val="0"/>
                  <w:vAlign w:val="center"/>
                </w:tcPr>
                <w:p w14:paraId="1BE587E7">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产生量</w:t>
                  </w:r>
                </w:p>
              </w:tc>
              <w:tc>
                <w:tcPr>
                  <w:tcW w:w="541" w:type="pct"/>
                  <w:tcBorders>
                    <w:top w:val="single" w:color="auto" w:sz="4" w:space="0"/>
                    <w:left w:val="nil"/>
                    <w:bottom w:val="single" w:color="auto" w:sz="4" w:space="0"/>
                    <w:right w:val="single" w:color="auto" w:sz="4" w:space="0"/>
                  </w:tcBorders>
                  <w:noWrap w:val="0"/>
                  <w:vAlign w:val="center"/>
                </w:tcPr>
                <w:p w14:paraId="593C6615">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削减量</w:t>
                  </w:r>
                </w:p>
              </w:tc>
              <w:tc>
                <w:tcPr>
                  <w:tcW w:w="522" w:type="pct"/>
                  <w:tcBorders>
                    <w:top w:val="single" w:color="auto" w:sz="4" w:space="0"/>
                    <w:left w:val="nil"/>
                    <w:bottom w:val="single" w:color="auto" w:sz="4" w:space="0"/>
                    <w:right w:val="single" w:color="auto" w:sz="4" w:space="0"/>
                  </w:tcBorders>
                  <w:noWrap w:val="0"/>
                  <w:vAlign w:val="center"/>
                </w:tcPr>
                <w:p w14:paraId="4F7881A2">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排放量</w:t>
                  </w:r>
                </w:p>
              </w:tc>
              <w:tc>
                <w:tcPr>
                  <w:tcW w:w="618" w:type="pct"/>
                  <w:vMerge w:val="continue"/>
                  <w:tcBorders>
                    <w:top w:val="single" w:color="auto" w:sz="4" w:space="0"/>
                    <w:left w:val="nil"/>
                    <w:bottom w:val="single" w:color="auto" w:sz="4" w:space="0"/>
                    <w:right w:val="single" w:color="auto" w:sz="4" w:space="0"/>
                  </w:tcBorders>
                  <w:noWrap w:val="0"/>
                  <w:vAlign w:val="center"/>
                </w:tcPr>
                <w:p w14:paraId="4A85B979">
                  <w:pPr>
                    <w:keepNext w:val="0"/>
                    <w:keepLines w:val="0"/>
                    <w:widowControl/>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530" w:type="pct"/>
                  <w:vMerge w:val="continue"/>
                  <w:tcBorders>
                    <w:top w:val="single" w:color="auto" w:sz="4" w:space="0"/>
                    <w:left w:val="nil"/>
                    <w:bottom w:val="single" w:color="auto" w:sz="4" w:space="0"/>
                    <w:right w:val="single" w:color="auto" w:sz="4" w:space="0"/>
                  </w:tcBorders>
                  <w:noWrap w:val="0"/>
                  <w:vAlign w:val="center"/>
                </w:tcPr>
                <w:p w14:paraId="68EA91C3">
                  <w:pPr>
                    <w:keepNext w:val="0"/>
                    <w:keepLines w:val="0"/>
                    <w:widowControl/>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613" w:type="pct"/>
                  <w:vMerge w:val="continue"/>
                  <w:tcBorders>
                    <w:top w:val="single" w:color="auto" w:sz="4" w:space="0"/>
                    <w:left w:val="nil"/>
                    <w:bottom w:val="single" w:color="auto" w:sz="4" w:space="0"/>
                    <w:right w:val="single" w:color="auto" w:sz="4" w:space="0"/>
                  </w:tcBorders>
                  <w:noWrap w:val="0"/>
                  <w:vAlign w:val="center"/>
                </w:tcPr>
                <w:p w14:paraId="5B5C48E9">
                  <w:pPr>
                    <w:keepNext w:val="0"/>
                    <w:keepLines w:val="0"/>
                    <w:widowControl/>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r>
            <w:tr w14:paraId="74CD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5" w:type="pct"/>
                  <w:vMerge w:val="restart"/>
                  <w:tcBorders>
                    <w:top w:val="nil"/>
                    <w:left w:val="single" w:color="auto" w:sz="4" w:space="0"/>
                    <w:right w:val="single" w:color="auto" w:sz="4" w:space="0"/>
                  </w:tcBorders>
                  <w:noWrap w:val="0"/>
                  <w:vAlign w:val="center"/>
                </w:tcPr>
                <w:p w14:paraId="44BA9C45">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w:t>
                  </w:r>
                </w:p>
              </w:tc>
              <w:tc>
                <w:tcPr>
                  <w:tcW w:w="389" w:type="pct"/>
                  <w:vMerge w:val="restart"/>
                  <w:tcBorders>
                    <w:top w:val="single" w:color="auto" w:sz="4" w:space="0"/>
                    <w:left w:val="nil"/>
                    <w:right w:val="single" w:color="auto" w:sz="4" w:space="0"/>
                  </w:tcBorders>
                  <w:noWrap w:val="0"/>
                  <w:vAlign w:val="center"/>
                </w:tcPr>
                <w:p w14:paraId="344800F9">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有组织</w:t>
                  </w:r>
                </w:p>
              </w:tc>
              <w:tc>
                <w:tcPr>
                  <w:tcW w:w="390" w:type="pct"/>
                  <w:tcBorders>
                    <w:top w:val="single" w:color="auto" w:sz="4" w:space="0"/>
                    <w:left w:val="nil"/>
                    <w:bottom w:val="single" w:color="auto" w:sz="4" w:space="0"/>
                    <w:right w:val="single" w:color="auto" w:sz="4" w:space="0"/>
                  </w:tcBorders>
                  <w:noWrap w:val="0"/>
                  <w:vAlign w:val="center"/>
                </w:tcPr>
                <w:p w14:paraId="6F47360B">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颗粒物</w:t>
                  </w:r>
                </w:p>
              </w:tc>
              <w:tc>
                <w:tcPr>
                  <w:tcW w:w="549" w:type="pct"/>
                  <w:tcBorders>
                    <w:top w:val="single" w:color="auto" w:sz="4" w:space="0"/>
                    <w:left w:val="nil"/>
                    <w:bottom w:val="single" w:color="auto" w:sz="4" w:space="0"/>
                    <w:right w:val="single" w:color="auto" w:sz="4" w:space="0"/>
                  </w:tcBorders>
                  <w:noWrap w:val="0"/>
                  <w:vAlign w:val="center"/>
                </w:tcPr>
                <w:p w14:paraId="0D14453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517" w:type="pct"/>
                  <w:tcBorders>
                    <w:top w:val="single" w:color="auto" w:sz="4" w:space="0"/>
                    <w:left w:val="nil"/>
                    <w:bottom w:val="single" w:color="auto" w:sz="4" w:space="0"/>
                    <w:right w:val="single" w:color="auto" w:sz="4" w:space="0"/>
                  </w:tcBorders>
                  <w:noWrap w:val="0"/>
                  <w:vAlign w:val="center"/>
                </w:tcPr>
                <w:p w14:paraId="5C37C8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3.906</w:t>
                  </w:r>
                </w:p>
              </w:tc>
              <w:tc>
                <w:tcPr>
                  <w:tcW w:w="541" w:type="pct"/>
                  <w:tcBorders>
                    <w:top w:val="single" w:color="auto" w:sz="4" w:space="0"/>
                    <w:left w:val="nil"/>
                    <w:bottom w:val="single" w:color="auto" w:sz="4" w:space="0"/>
                    <w:right w:val="single" w:color="auto" w:sz="4" w:space="0"/>
                  </w:tcBorders>
                  <w:noWrap w:val="0"/>
                  <w:vAlign w:val="center"/>
                </w:tcPr>
                <w:p w14:paraId="18A657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3.667</w:t>
                  </w:r>
                </w:p>
              </w:tc>
              <w:tc>
                <w:tcPr>
                  <w:tcW w:w="522" w:type="pct"/>
                  <w:tcBorders>
                    <w:top w:val="single" w:color="auto" w:sz="4" w:space="0"/>
                    <w:left w:val="nil"/>
                    <w:bottom w:val="single" w:color="auto" w:sz="4" w:space="0"/>
                    <w:right w:val="single" w:color="auto" w:sz="4" w:space="0"/>
                  </w:tcBorders>
                  <w:noWrap w:val="0"/>
                  <w:vAlign w:val="center"/>
                </w:tcPr>
                <w:p w14:paraId="4EDD80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u w:val="none"/>
                      <w:lang w:val="en-US" w:eastAsia="zh-CN"/>
                    </w:rPr>
                    <w:t>0.239</w:t>
                  </w:r>
                </w:p>
              </w:tc>
              <w:tc>
                <w:tcPr>
                  <w:tcW w:w="618" w:type="pct"/>
                  <w:tcBorders>
                    <w:top w:val="single" w:color="auto" w:sz="4" w:space="0"/>
                    <w:left w:val="nil"/>
                    <w:bottom w:val="single" w:color="auto" w:sz="4" w:space="0"/>
                    <w:right w:val="single" w:color="auto" w:sz="4" w:space="0"/>
                  </w:tcBorders>
                  <w:noWrap w:val="0"/>
                  <w:vAlign w:val="center"/>
                </w:tcPr>
                <w:p w14:paraId="113AB6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2F0D21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u w:val="none"/>
                      <w:lang w:val="en-US" w:eastAsia="zh-CN"/>
                    </w:rPr>
                    <w:t>0.239</w:t>
                  </w:r>
                </w:p>
              </w:tc>
              <w:tc>
                <w:tcPr>
                  <w:tcW w:w="613" w:type="pct"/>
                  <w:tcBorders>
                    <w:top w:val="single" w:color="auto" w:sz="4" w:space="0"/>
                    <w:left w:val="nil"/>
                    <w:bottom w:val="single" w:color="auto" w:sz="4" w:space="0"/>
                    <w:right w:val="single" w:color="auto" w:sz="4" w:space="0"/>
                  </w:tcBorders>
                  <w:shd w:val="clear" w:color="auto" w:fill="auto"/>
                  <w:noWrap w:val="0"/>
                  <w:vAlign w:val="center"/>
                </w:tcPr>
                <w:p w14:paraId="221CFA0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rPr>
                    <w:t>+0.239</w:t>
                  </w:r>
                </w:p>
              </w:tc>
            </w:tr>
            <w:tr w14:paraId="5739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5" w:type="pct"/>
                  <w:vMerge w:val="continue"/>
                  <w:tcBorders>
                    <w:left w:val="single" w:color="auto" w:sz="4" w:space="0"/>
                    <w:right w:val="single" w:color="auto" w:sz="4" w:space="0"/>
                  </w:tcBorders>
                  <w:noWrap w:val="0"/>
                  <w:vAlign w:val="center"/>
                </w:tcPr>
                <w:p w14:paraId="7FA0EC73">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389" w:type="pct"/>
                  <w:vMerge w:val="continue"/>
                  <w:tcBorders>
                    <w:left w:val="nil"/>
                    <w:right w:val="single" w:color="auto" w:sz="4" w:space="0"/>
                  </w:tcBorders>
                  <w:noWrap w:val="0"/>
                  <w:vAlign w:val="center"/>
                </w:tcPr>
                <w:p w14:paraId="127890EE">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390" w:type="pct"/>
                  <w:tcBorders>
                    <w:top w:val="single" w:color="auto" w:sz="4" w:space="0"/>
                    <w:left w:val="nil"/>
                    <w:bottom w:val="single" w:color="auto" w:sz="4" w:space="0"/>
                    <w:right w:val="single" w:color="auto" w:sz="4" w:space="0"/>
                  </w:tcBorders>
                  <w:shd w:val="clear" w:color="auto" w:fill="auto"/>
                  <w:noWrap w:val="0"/>
                  <w:vAlign w:val="center"/>
                </w:tcPr>
                <w:p w14:paraId="025D40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szCs w:val="22"/>
                      <w:highlight w:val="none"/>
                    </w:rPr>
                    <w:t>SO</w:t>
                  </w:r>
                  <w:r>
                    <w:rPr>
                      <w:rFonts w:hint="default" w:ascii="Times New Roman" w:hAnsi="Times New Roman" w:eastAsia="宋体" w:cs="Times New Roman"/>
                      <w:color w:val="auto"/>
                      <w:szCs w:val="22"/>
                      <w:highlight w:val="none"/>
                      <w:vertAlign w:val="subscript"/>
                    </w:rPr>
                    <w:t>2</w:t>
                  </w:r>
                </w:p>
              </w:tc>
              <w:tc>
                <w:tcPr>
                  <w:tcW w:w="549" w:type="pct"/>
                  <w:tcBorders>
                    <w:top w:val="single" w:color="auto" w:sz="4" w:space="0"/>
                    <w:left w:val="nil"/>
                    <w:bottom w:val="single" w:color="auto" w:sz="4" w:space="0"/>
                    <w:right w:val="single" w:color="auto" w:sz="4" w:space="0"/>
                  </w:tcBorders>
                  <w:noWrap w:val="0"/>
                  <w:vAlign w:val="center"/>
                </w:tcPr>
                <w:p w14:paraId="24E6BAC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517" w:type="pct"/>
                  <w:tcBorders>
                    <w:top w:val="single" w:color="auto" w:sz="4" w:space="0"/>
                    <w:left w:val="nil"/>
                    <w:bottom w:val="single" w:color="auto" w:sz="4" w:space="0"/>
                    <w:right w:val="single" w:color="auto" w:sz="4" w:space="0"/>
                  </w:tcBorders>
                  <w:shd w:val="clear" w:color="auto" w:fill="auto"/>
                  <w:noWrap w:val="0"/>
                  <w:vAlign w:val="center"/>
                </w:tcPr>
                <w:p w14:paraId="4A938C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rPr>
                    <w:t>0.144</w:t>
                  </w:r>
                </w:p>
              </w:tc>
              <w:tc>
                <w:tcPr>
                  <w:tcW w:w="541" w:type="pct"/>
                  <w:tcBorders>
                    <w:top w:val="single" w:color="auto" w:sz="4" w:space="0"/>
                    <w:left w:val="nil"/>
                    <w:bottom w:val="single" w:color="auto" w:sz="4" w:space="0"/>
                    <w:right w:val="single" w:color="auto" w:sz="4" w:space="0"/>
                  </w:tcBorders>
                  <w:noWrap w:val="0"/>
                  <w:vAlign w:val="center"/>
                </w:tcPr>
                <w:p w14:paraId="7347A5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522" w:type="pct"/>
                  <w:tcBorders>
                    <w:top w:val="single" w:color="auto" w:sz="4" w:space="0"/>
                    <w:left w:val="nil"/>
                    <w:bottom w:val="single" w:color="auto" w:sz="4" w:space="0"/>
                    <w:right w:val="single" w:color="auto" w:sz="4" w:space="0"/>
                  </w:tcBorders>
                  <w:noWrap w:val="0"/>
                  <w:vAlign w:val="center"/>
                </w:tcPr>
                <w:p w14:paraId="1C5674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u w:val="none"/>
                      <w:lang w:val="en-US" w:eastAsia="zh-CN"/>
                    </w:rPr>
                    <w:t>0.144</w:t>
                  </w:r>
                </w:p>
              </w:tc>
              <w:tc>
                <w:tcPr>
                  <w:tcW w:w="618" w:type="pct"/>
                  <w:tcBorders>
                    <w:top w:val="single" w:color="auto" w:sz="4" w:space="0"/>
                    <w:left w:val="nil"/>
                    <w:bottom w:val="single" w:color="auto" w:sz="4" w:space="0"/>
                    <w:right w:val="single" w:color="auto" w:sz="4" w:space="0"/>
                  </w:tcBorders>
                  <w:noWrap w:val="0"/>
                  <w:vAlign w:val="center"/>
                </w:tcPr>
                <w:p w14:paraId="0CE4C1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627ECA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u w:val="none"/>
                      <w:lang w:val="en-US" w:eastAsia="zh-CN"/>
                    </w:rPr>
                    <w:t>0.144</w:t>
                  </w:r>
                </w:p>
              </w:tc>
              <w:tc>
                <w:tcPr>
                  <w:tcW w:w="613" w:type="pct"/>
                  <w:tcBorders>
                    <w:top w:val="single" w:color="auto" w:sz="4" w:space="0"/>
                    <w:left w:val="nil"/>
                    <w:bottom w:val="single" w:color="auto" w:sz="4" w:space="0"/>
                    <w:right w:val="single" w:color="auto" w:sz="4" w:space="0"/>
                  </w:tcBorders>
                  <w:shd w:val="clear" w:color="auto" w:fill="auto"/>
                  <w:noWrap w:val="0"/>
                  <w:vAlign w:val="center"/>
                </w:tcPr>
                <w:p w14:paraId="067FEC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rPr>
                    <w:t>+0.144</w:t>
                  </w:r>
                </w:p>
              </w:tc>
            </w:tr>
            <w:tr w14:paraId="6CEB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5" w:type="pct"/>
                  <w:vMerge w:val="continue"/>
                  <w:tcBorders>
                    <w:left w:val="single" w:color="auto" w:sz="4" w:space="0"/>
                    <w:right w:val="single" w:color="auto" w:sz="4" w:space="0"/>
                  </w:tcBorders>
                  <w:noWrap w:val="0"/>
                  <w:vAlign w:val="center"/>
                </w:tcPr>
                <w:p w14:paraId="03B1DCA3">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389" w:type="pct"/>
                  <w:vMerge w:val="continue"/>
                  <w:tcBorders>
                    <w:left w:val="nil"/>
                    <w:bottom w:val="single" w:color="auto" w:sz="4" w:space="0"/>
                    <w:right w:val="single" w:color="auto" w:sz="4" w:space="0"/>
                  </w:tcBorders>
                  <w:noWrap w:val="0"/>
                  <w:vAlign w:val="center"/>
                </w:tcPr>
                <w:p w14:paraId="29AE974D">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390" w:type="pct"/>
                  <w:tcBorders>
                    <w:top w:val="single" w:color="auto" w:sz="4" w:space="0"/>
                    <w:left w:val="nil"/>
                    <w:bottom w:val="single" w:color="auto" w:sz="4" w:space="0"/>
                    <w:right w:val="single" w:color="auto" w:sz="4" w:space="0"/>
                  </w:tcBorders>
                  <w:shd w:val="clear" w:color="auto" w:fill="auto"/>
                  <w:noWrap w:val="0"/>
                  <w:vAlign w:val="center"/>
                </w:tcPr>
                <w:p w14:paraId="759EC5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szCs w:val="22"/>
                      <w:highlight w:val="none"/>
                    </w:rPr>
                    <w:t>NO</w:t>
                  </w:r>
                  <w:r>
                    <w:rPr>
                      <w:rFonts w:hint="default" w:ascii="Times New Roman" w:hAnsi="Times New Roman" w:eastAsia="宋体" w:cs="Times New Roman"/>
                      <w:color w:val="auto"/>
                      <w:szCs w:val="22"/>
                      <w:highlight w:val="none"/>
                      <w:vertAlign w:val="subscript"/>
                    </w:rPr>
                    <w:t>x</w:t>
                  </w:r>
                </w:p>
              </w:tc>
              <w:tc>
                <w:tcPr>
                  <w:tcW w:w="549" w:type="pct"/>
                  <w:tcBorders>
                    <w:top w:val="single" w:color="auto" w:sz="4" w:space="0"/>
                    <w:left w:val="nil"/>
                    <w:bottom w:val="single" w:color="auto" w:sz="4" w:space="0"/>
                    <w:right w:val="single" w:color="auto" w:sz="4" w:space="0"/>
                  </w:tcBorders>
                  <w:shd w:val="clear" w:color="auto" w:fill="auto"/>
                  <w:noWrap w:val="0"/>
                  <w:vAlign w:val="center"/>
                </w:tcPr>
                <w:p w14:paraId="520FBD2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w:t>
                  </w:r>
                </w:p>
              </w:tc>
              <w:tc>
                <w:tcPr>
                  <w:tcW w:w="517" w:type="pct"/>
                  <w:tcBorders>
                    <w:top w:val="single" w:color="auto" w:sz="4" w:space="0"/>
                    <w:left w:val="nil"/>
                    <w:bottom w:val="single" w:color="auto" w:sz="4" w:space="0"/>
                    <w:right w:val="single" w:color="auto" w:sz="4" w:space="0"/>
                  </w:tcBorders>
                  <w:shd w:val="clear" w:color="auto" w:fill="auto"/>
                  <w:noWrap w:val="0"/>
                  <w:vAlign w:val="center"/>
                </w:tcPr>
                <w:p w14:paraId="52A3A2F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rPr>
                    <w:t>0.674</w:t>
                  </w:r>
                </w:p>
              </w:tc>
              <w:tc>
                <w:tcPr>
                  <w:tcW w:w="541" w:type="pct"/>
                  <w:tcBorders>
                    <w:top w:val="single" w:color="auto" w:sz="4" w:space="0"/>
                    <w:left w:val="nil"/>
                    <w:bottom w:val="single" w:color="auto" w:sz="4" w:space="0"/>
                    <w:right w:val="single" w:color="auto" w:sz="4" w:space="0"/>
                  </w:tcBorders>
                  <w:noWrap w:val="0"/>
                  <w:vAlign w:val="center"/>
                </w:tcPr>
                <w:p w14:paraId="6964A4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522" w:type="pct"/>
                  <w:tcBorders>
                    <w:top w:val="single" w:color="auto" w:sz="4" w:space="0"/>
                    <w:left w:val="nil"/>
                    <w:bottom w:val="single" w:color="auto" w:sz="4" w:space="0"/>
                    <w:right w:val="single" w:color="auto" w:sz="4" w:space="0"/>
                  </w:tcBorders>
                  <w:noWrap w:val="0"/>
                  <w:vAlign w:val="center"/>
                </w:tcPr>
                <w:p w14:paraId="6EC211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u w:val="none"/>
                      <w:lang w:val="en-US" w:eastAsia="zh-CN"/>
                    </w:rPr>
                    <w:t>0.674</w:t>
                  </w:r>
                </w:p>
              </w:tc>
              <w:tc>
                <w:tcPr>
                  <w:tcW w:w="618" w:type="pct"/>
                  <w:tcBorders>
                    <w:top w:val="single" w:color="auto" w:sz="4" w:space="0"/>
                    <w:left w:val="nil"/>
                    <w:bottom w:val="single" w:color="auto" w:sz="4" w:space="0"/>
                    <w:right w:val="single" w:color="auto" w:sz="4" w:space="0"/>
                  </w:tcBorders>
                  <w:noWrap w:val="0"/>
                  <w:vAlign w:val="center"/>
                </w:tcPr>
                <w:p w14:paraId="7CD9A1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4BFEF4B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u w:val="none"/>
                      <w:lang w:val="en-US" w:eastAsia="zh-CN"/>
                    </w:rPr>
                    <w:t>0.674</w:t>
                  </w:r>
                </w:p>
              </w:tc>
              <w:tc>
                <w:tcPr>
                  <w:tcW w:w="613" w:type="pct"/>
                  <w:tcBorders>
                    <w:top w:val="single" w:color="auto" w:sz="4" w:space="0"/>
                    <w:left w:val="nil"/>
                    <w:bottom w:val="single" w:color="auto" w:sz="4" w:space="0"/>
                    <w:right w:val="single" w:color="auto" w:sz="4" w:space="0"/>
                  </w:tcBorders>
                  <w:shd w:val="clear" w:color="auto" w:fill="auto"/>
                  <w:noWrap w:val="0"/>
                  <w:vAlign w:val="center"/>
                </w:tcPr>
                <w:p w14:paraId="085426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rPr>
                    <w:t>+0.674</w:t>
                  </w:r>
                </w:p>
              </w:tc>
            </w:tr>
            <w:tr w14:paraId="00A0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325" w:type="pct"/>
                  <w:vMerge w:val="continue"/>
                  <w:tcBorders>
                    <w:left w:val="single" w:color="auto" w:sz="4" w:space="0"/>
                    <w:right w:val="single" w:color="auto" w:sz="4" w:space="0"/>
                  </w:tcBorders>
                  <w:noWrap w:val="0"/>
                  <w:vAlign w:val="center"/>
                </w:tcPr>
                <w:p w14:paraId="3AA41191">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389" w:type="pct"/>
                  <w:tcBorders>
                    <w:top w:val="single" w:color="auto" w:sz="4" w:space="0"/>
                    <w:left w:val="nil"/>
                    <w:right w:val="single" w:color="auto" w:sz="4" w:space="0"/>
                  </w:tcBorders>
                  <w:noWrap w:val="0"/>
                  <w:vAlign w:val="center"/>
                </w:tcPr>
                <w:p w14:paraId="18A377AF">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无组织</w:t>
                  </w:r>
                </w:p>
              </w:tc>
              <w:tc>
                <w:tcPr>
                  <w:tcW w:w="390" w:type="pct"/>
                  <w:tcBorders>
                    <w:top w:val="single" w:color="auto" w:sz="4" w:space="0"/>
                    <w:left w:val="nil"/>
                    <w:bottom w:val="single" w:color="auto" w:sz="4" w:space="0"/>
                    <w:right w:val="single" w:color="auto" w:sz="4" w:space="0"/>
                  </w:tcBorders>
                  <w:noWrap w:val="0"/>
                  <w:vAlign w:val="center"/>
                </w:tcPr>
                <w:p w14:paraId="21820115">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颗粒物</w:t>
                  </w:r>
                </w:p>
              </w:tc>
              <w:tc>
                <w:tcPr>
                  <w:tcW w:w="549" w:type="pct"/>
                  <w:tcBorders>
                    <w:top w:val="single" w:color="auto" w:sz="4" w:space="0"/>
                    <w:left w:val="nil"/>
                    <w:bottom w:val="single" w:color="auto" w:sz="4" w:space="0"/>
                    <w:right w:val="single" w:color="auto" w:sz="4" w:space="0"/>
                  </w:tcBorders>
                  <w:shd w:val="clear" w:color="auto" w:fill="auto"/>
                  <w:noWrap w:val="0"/>
                  <w:vAlign w:val="center"/>
                </w:tcPr>
                <w:p w14:paraId="41A4284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w:t>
                  </w:r>
                </w:p>
              </w:tc>
              <w:tc>
                <w:tcPr>
                  <w:tcW w:w="517" w:type="pct"/>
                  <w:tcBorders>
                    <w:top w:val="single" w:color="auto" w:sz="4" w:space="0"/>
                    <w:left w:val="nil"/>
                    <w:bottom w:val="single" w:color="auto" w:sz="4" w:space="0"/>
                    <w:right w:val="single" w:color="auto" w:sz="4" w:space="0"/>
                  </w:tcBorders>
                  <w:noWrap w:val="0"/>
                  <w:vAlign w:val="center"/>
                </w:tcPr>
                <w:p w14:paraId="2FC184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0.37</w:t>
                  </w:r>
                </w:p>
              </w:tc>
              <w:tc>
                <w:tcPr>
                  <w:tcW w:w="541" w:type="pct"/>
                  <w:tcBorders>
                    <w:top w:val="single" w:color="auto" w:sz="4" w:space="0"/>
                    <w:left w:val="nil"/>
                    <w:bottom w:val="single" w:color="auto" w:sz="4" w:space="0"/>
                    <w:right w:val="single" w:color="auto" w:sz="4" w:space="0"/>
                  </w:tcBorders>
                  <w:noWrap w:val="0"/>
                  <w:vAlign w:val="center"/>
                </w:tcPr>
                <w:p w14:paraId="405F3E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w:t>
                  </w:r>
                </w:p>
              </w:tc>
              <w:tc>
                <w:tcPr>
                  <w:tcW w:w="522" w:type="pct"/>
                  <w:tcBorders>
                    <w:top w:val="single" w:color="auto" w:sz="4" w:space="0"/>
                    <w:left w:val="nil"/>
                    <w:bottom w:val="single" w:color="auto" w:sz="4" w:space="0"/>
                    <w:right w:val="single" w:color="auto" w:sz="4" w:space="0"/>
                  </w:tcBorders>
                  <w:noWrap w:val="0"/>
                  <w:vAlign w:val="center"/>
                </w:tcPr>
                <w:p w14:paraId="2736AB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0.37</w:t>
                  </w:r>
                </w:p>
              </w:tc>
              <w:tc>
                <w:tcPr>
                  <w:tcW w:w="618" w:type="pct"/>
                  <w:tcBorders>
                    <w:top w:val="single" w:color="auto" w:sz="4" w:space="0"/>
                    <w:left w:val="nil"/>
                    <w:bottom w:val="single" w:color="auto" w:sz="4" w:space="0"/>
                    <w:right w:val="single" w:color="auto" w:sz="4" w:space="0"/>
                  </w:tcBorders>
                  <w:noWrap w:val="0"/>
                  <w:vAlign w:val="center"/>
                </w:tcPr>
                <w:p w14:paraId="65999A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color w:val="auto"/>
                      <w:kern w:val="0"/>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6B736C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0.37</w:t>
                  </w:r>
                </w:p>
              </w:tc>
              <w:tc>
                <w:tcPr>
                  <w:tcW w:w="613" w:type="pct"/>
                  <w:tcBorders>
                    <w:top w:val="single" w:color="auto" w:sz="4" w:space="0"/>
                    <w:left w:val="nil"/>
                    <w:bottom w:val="single" w:color="auto" w:sz="4" w:space="0"/>
                    <w:right w:val="single" w:color="auto" w:sz="4" w:space="0"/>
                  </w:tcBorders>
                  <w:noWrap w:val="0"/>
                  <w:vAlign w:val="center"/>
                </w:tcPr>
                <w:p w14:paraId="098F20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+0.37</w:t>
                  </w:r>
                </w:p>
              </w:tc>
            </w:tr>
            <w:tr w14:paraId="324A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restart"/>
                  <w:tcBorders>
                    <w:top w:val="single" w:color="auto" w:sz="4" w:space="0"/>
                    <w:left w:val="single" w:color="auto" w:sz="4" w:space="0"/>
                    <w:right w:val="single" w:color="auto" w:sz="4" w:space="0"/>
                  </w:tcBorders>
                  <w:noWrap w:val="0"/>
                  <w:vAlign w:val="center"/>
                </w:tcPr>
                <w:p w14:paraId="569B5ED3">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780" w:type="pct"/>
                  <w:gridSpan w:val="2"/>
                  <w:tcBorders>
                    <w:top w:val="single" w:color="auto" w:sz="4" w:space="0"/>
                    <w:left w:val="nil"/>
                    <w:bottom w:val="single" w:color="auto" w:sz="4" w:space="0"/>
                    <w:right w:val="single" w:color="auto" w:sz="4" w:space="0"/>
                  </w:tcBorders>
                  <w:noWrap w:val="0"/>
                  <w:vAlign w:val="center"/>
                </w:tcPr>
                <w:p w14:paraId="2DB330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水量(m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/a)</w:t>
                  </w:r>
                </w:p>
              </w:tc>
              <w:tc>
                <w:tcPr>
                  <w:tcW w:w="549" w:type="pct"/>
                  <w:tcBorders>
                    <w:top w:val="single" w:color="auto" w:sz="4" w:space="0"/>
                    <w:left w:val="nil"/>
                    <w:bottom w:val="single" w:color="auto" w:sz="4" w:space="0"/>
                    <w:right w:val="single" w:color="auto" w:sz="4" w:space="0"/>
                  </w:tcBorders>
                  <w:noWrap w:val="0"/>
                  <w:vAlign w:val="center"/>
                </w:tcPr>
                <w:p w14:paraId="2545D4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120</w:t>
                  </w:r>
                </w:p>
              </w:tc>
              <w:tc>
                <w:tcPr>
                  <w:tcW w:w="517" w:type="pct"/>
                  <w:tcBorders>
                    <w:top w:val="single" w:color="auto" w:sz="4" w:space="0"/>
                    <w:left w:val="nil"/>
                    <w:bottom w:val="single" w:color="auto" w:sz="4" w:space="0"/>
                    <w:right w:val="single" w:color="auto" w:sz="4" w:space="0"/>
                  </w:tcBorders>
                  <w:noWrap w:val="0"/>
                  <w:vAlign w:val="center"/>
                </w:tcPr>
                <w:p w14:paraId="3A4216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1438.71</w:t>
                  </w:r>
                </w:p>
              </w:tc>
              <w:tc>
                <w:tcPr>
                  <w:tcW w:w="541" w:type="pct"/>
                  <w:tcBorders>
                    <w:top w:val="single" w:color="auto" w:sz="4" w:space="0"/>
                    <w:left w:val="nil"/>
                    <w:bottom w:val="single" w:color="auto" w:sz="4" w:space="0"/>
                    <w:right w:val="single" w:color="auto" w:sz="4" w:space="0"/>
                  </w:tcBorders>
                  <w:noWrap w:val="0"/>
                  <w:vAlign w:val="center"/>
                </w:tcPr>
                <w:p w14:paraId="5A65130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522" w:type="pct"/>
                  <w:tcBorders>
                    <w:top w:val="single" w:color="auto" w:sz="4" w:space="0"/>
                    <w:left w:val="nil"/>
                    <w:bottom w:val="single" w:color="auto" w:sz="4" w:space="0"/>
                    <w:right w:val="single" w:color="auto" w:sz="4" w:space="0"/>
                  </w:tcBorders>
                  <w:noWrap w:val="0"/>
                  <w:vAlign w:val="center"/>
                </w:tcPr>
                <w:p w14:paraId="2C46EA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1438.71</w:t>
                  </w:r>
                </w:p>
              </w:tc>
              <w:tc>
                <w:tcPr>
                  <w:tcW w:w="618" w:type="pct"/>
                  <w:tcBorders>
                    <w:top w:val="single" w:color="auto" w:sz="4" w:space="0"/>
                    <w:left w:val="nil"/>
                    <w:bottom w:val="single" w:color="auto" w:sz="4" w:space="0"/>
                    <w:right w:val="single" w:color="auto" w:sz="4" w:space="0"/>
                  </w:tcBorders>
                  <w:noWrap w:val="0"/>
                  <w:vAlign w:val="center"/>
                </w:tcPr>
                <w:p w14:paraId="4BF55E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kern w:val="0"/>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19544B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1438.71</w:t>
                  </w:r>
                </w:p>
              </w:tc>
              <w:tc>
                <w:tcPr>
                  <w:tcW w:w="613" w:type="pct"/>
                  <w:tcBorders>
                    <w:top w:val="single" w:color="auto" w:sz="4" w:space="0"/>
                    <w:left w:val="nil"/>
                    <w:bottom w:val="single" w:color="auto" w:sz="4" w:space="0"/>
                    <w:right w:val="single" w:color="auto" w:sz="4" w:space="0"/>
                  </w:tcBorders>
                  <w:shd w:val="clear" w:color="auto" w:fill="auto"/>
                  <w:noWrap w:val="0"/>
                  <w:vAlign w:val="center"/>
                </w:tcPr>
                <w:p w14:paraId="31C85C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1318.71</w:t>
                  </w:r>
                </w:p>
              </w:tc>
            </w:tr>
            <w:tr w14:paraId="2D8F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continue"/>
                  <w:tcBorders>
                    <w:left w:val="single" w:color="auto" w:sz="4" w:space="0"/>
                    <w:right w:val="single" w:color="auto" w:sz="4" w:space="0"/>
                  </w:tcBorders>
                  <w:noWrap w:val="0"/>
                  <w:vAlign w:val="center"/>
                </w:tcPr>
                <w:p w14:paraId="7A91EF8C">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tcBorders>
                    <w:top w:val="single" w:color="auto" w:sz="4" w:space="0"/>
                    <w:left w:val="nil"/>
                    <w:bottom w:val="single" w:color="auto" w:sz="4" w:space="0"/>
                    <w:right w:val="single" w:color="auto" w:sz="4" w:space="0"/>
                  </w:tcBorders>
                  <w:noWrap w:val="0"/>
                  <w:vAlign w:val="center"/>
                </w:tcPr>
                <w:p w14:paraId="5554F9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COD</w:t>
                  </w:r>
                </w:p>
              </w:tc>
              <w:tc>
                <w:tcPr>
                  <w:tcW w:w="549" w:type="pct"/>
                  <w:tcBorders>
                    <w:top w:val="single" w:color="auto" w:sz="4" w:space="0"/>
                    <w:left w:val="nil"/>
                    <w:bottom w:val="single" w:color="auto" w:sz="4" w:space="0"/>
                    <w:right w:val="single" w:color="auto" w:sz="4" w:space="0"/>
                  </w:tcBorders>
                  <w:noWrap w:val="0"/>
                  <w:vAlign w:val="center"/>
                </w:tcPr>
                <w:p w14:paraId="6CC76E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lang w:val="en-US" w:eastAsia="zh-CN"/>
                    </w:rPr>
                    <w:t>0.042</w:t>
                  </w:r>
                </w:p>
              </w:tc>
              <w:tc>
                <w:tcPr>
                  <w:tcW w:w="517" w:type="pct"/>
                  <w:tcBorders>
                    <w:top w:val="single" w:color="auto" w:sz="4" w:space="0"/>
                    <w:left w:val="nil"/>
                    <w:bottom w:val="single" w:color="auto" w:sz="4" w:space="0"/>
                    <w:right w:val="single" w:color="auto" w:sz="4" w:space="0"/>
                  </w:tcBorders>
                  <w:noWrap w:val="0"/>
                  <w:vAlign w:val="center"/>
                </w:tcPr>
                <w:p w14:paraId="279F7C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1.050</w:t>
                  </w:r>
                </w:p>
              </w:tc>
              <w:tc>
                <w:tcPr>
                  <w:tcW w:w="955" w:type="dxa"/>
                  <w:tcBorders>
                    <w:top w:val="single" w:color="auto" w:sz="4" w:space="0"/>
                    <w:left w:val="nil"/>
                    <w:bottom w:val="single" w:color="auto" w:sz="4" w:space="0"/>
                    <w:right w:val="single" w:color="auto" w:sz="4" w:space="0"/>
                  </w:tcBorders>
                  <w:noWrap w:val="0"/>
                  <w:vAlign w:val="center"/>
                </w:tcPr>
                <w:p w14:paraId="785281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0.749</w:t>
                  </w:r>
                </w:p>
              </w:tc>
              <w:tc>
                <w:tcPr>
                  <w:tcW w:w="522" w:type="pct"/>
                  <w:tcBorders>
                    <w:top w:val="single" w:color="auto" w:sz="4" w:space="0"/>
                    <w:left w:val="nil"/>
                    <w:bottom w:val="single" w:color="auto" w:sz="4" w:space="0"/>
                    <w:right w:val="single" w:color="auto" w:sz="4" w:space="0"/>
                  </w:tcBorders>
                  <w:noWrap w:val="0"/>
                  <w:vAlign w:val="center"/>
                </w:tcPr>
                <w:p w14:paraId="5B4F24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rPr>
                  </w:pPr>
                  <w:r>
                    <w:rPr>
                      <w:rFonts w:hint="eastAsia" w:cs="Times New Roman"/>
                      <w:color w:val="auto"/>
                      <w:kern w:val="2"/>
                      <w:sz w:val="21"/>
                      <w:szCs w:val="21"/>
                      <w:lang w:val="en-US" w:eastAsia="zh-CN" w:bidi="ar-SA"/>
                    </w:rPr>
                    <w:t>0.301</w:t>
                  </w:r>
                </w:p>
              </w:tc>
              <w:tc>
                <w:tcPr>
                  <w:tcW w:w="618" w:type="pct"/>
                  <w:tcBorders>
                    <w:top w:val="single" w:color="auto" w:sz="4" w:space="0"/>
                    <w:left w:val="nil"/>
                    <w:bottom w:val="single" w:color="auto" w:sz="4" w:space="0"/>
                    <w:right w:val="single" w:color="auto" w:sz="4" w:space="0"/>
                  </w:tcBorders>
                  <w:noWrap w:val="0"/>
                  <w:vAlign w:val="center"/>
                </w:tcPr>
                <w:p w14:paraId="477FD2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color w:val="auto"/>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7220EB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rPr>
                  </w:pPr>
                  <w:r>
                    <w:rPr>
                      <w:rFonts w:hint="eastAsia" w:cs="Times New Roman"/>
                      <w:color w:val="auto"/>
                      <w:kern w:val="2"/>
                      <w:sz w:val="21"/>
                      <w:szCs w:val="21"/>
                      <w:lang w:val="en-US" w:eastAsia="zh-CN" w:bidi="ar-SA"/>
                    </w:rPr>
                    <w:t>0.301</w:t>
                  </w:r>
                </w:p>
              </w:tc>
              <w:tc>
                <w:tcPr>
                  <w:tcW w:w="1081" w:type="dxa"/>
                  <w:tcBorders>
                    <w:top w:val="single" w:color="auto" w:sz="4" w:space="0"/>
                    <w:left w:val="nil"/>
                    <w:bottom w:val="single" w:color="auto" w:sz="4" w:space="0"/>
                    <w:right w:val="single" w:color="auto" w:sz="4" w:space="0"/>
                  </w:tcBorders>
                  <w:noWrap w:val="0"/>
                  <w:vAlign w:val="center"/>
                </w:tcPr>
                <w:p w14:paraId="16472E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0.259</w:t>
                  </w:r>
                </w:p>
              </w:tc>
            </w:tr>
            <w:tr w14:paraId="78D9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continue"/>
                  <w:tcBorders>
                    <w:left w:val="single" w:color="auto" w:sz="4" w:space="0"/>
                    <w:right w:val="single" w:color="auto" w:sz="4" w:space="0"/>
                  </w:tcBorders>
                  <w:noWrap w:val="0"/>
                  <w:vAlign w:val="center"/>
                </w:tcPr>
                <w:p w14:paraId="3878E0F8">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tcBorders>
                    <w:top w:val="single" w:color="auto" w:sz="4" w:space="0"/>
                    <w:left w:val="nil"/>
                    <w:bottom w:val="single" w:color="auto" w:sz="4" w:space="0"/>
                    <w:right w:val="single" w:color="auto" w:sz="4" w:space="0"/>
                  </w:tcBorders>
                  <w:noWrap w:val="0"/>
                  <w:vAlign w:val="center"/>
                </w:tcPr>
                <w:p w14:paraId="67793A5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Cs w:val="21"/>
                      <w:highlight w:val="none"/>
                    </w:rPr>
                    <w:t>BOD</w:t>
                  </w:r>
                  <w:r>
                    <w:rPr>
                      <w:rFonts w:hint="eastAsia" w:ascii="Times New Roman" w:hAnsi="Times New Roman" w:eastAsia="宋体" w:cs="Times New Roman"/>
                      <w:color w:val="auto"/>
                      <w:kern w:val="0"/>
                      <w:szCs w:val="21"/>
                      <w:highlight w:val="none"/>
                      <w:vertAlign w:val="subscript"/>
                      <w:lang w:val="en-US" w:eastAsia="zh-CN"/>
                    </w:rPr>
                    <w:t>5</w:t>
                  </w:r>
                </w:p>
              </w:tc>
              <w:tc>
                <w:tcPr>
                  <w:tcW w:w="549" w:type="pct"/>
                  <w:tcBorders>
                    <w:top w:val="single" w:color="auto" w:sz="4" w:space="0"/>
                    <w:left w:val="nil"/>
                    <w:bottom w:val="single" w:color="auto" w:sz="4" w:space="0"/>
                    <w:right w:val="single" w:color="auto" w:sz="4" w:space="0"/>
                  </w:tcBorders>
                  <w:noWrap w:val="0"/>
                  <w:vAlign w:val="center"/>
                </w:tcPr>
                <w:p w14:paraId="09A00C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lang w:val="en-US" w:eastAsia="zh-CN"/>
                    </w:rPr>
                    <w:t>0.018</w:t>
                  </w:r>
                </w:p>
              </w:tc>
              <w:tc>
                <w:tcPr>
                  <w:tcW w:w="517" w:type="pct"/>
                  <w:tcBorders>
                    <w:top w:val="single" w:color="auto" w:sz="4" w:space="0"/>
                    <w:left w:val="nil"/>
                    <w:bottom w:val="single" w:color="auto" w:sz="4" w:space="0"/>
                    <w:right w:val="single" w:color="auto" w:sz="4" w:space="0"/>
                  </w:tcBorders>
                  <w:noWrap w:val="0"/>
                  <w:vAlign w:val="center"/>
                </w:tcPr>
                <w:p w14:paraId="7BEB7F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0.407</w:t>
                  </w:r>
                </w:p>
              </w:tc>
              <w:tc>
                <w:tcPr>
                  <w:tcW w:w="955" w:type="dxa"/>
                  <w:tcBorders>
                    <w:top w:val="single" w:color="auto" w:sz="4" w:space="0"/>
                    <w:left w:val="nil"/>
                    <w:bottom w:val="single" w:color="auto" w:sz="4" w:space="0"/>
                    <w:right w:val="single" w:color="auto" w:sz="4" w:space="0"/>
                  </w:tcBorders>
                  <w:noWrap w:val="0"/>
                  <w:vAlign w:val="center"/>
                </w:tcPr>
                <w:p w14:paraId="2A4563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0.366</w:t>
                  </w:r>
                </w:p>
              </w:tc>
              <w:tc>
                <w:tcPr>
                  <w:tcW w:w="522" w:type="pct"/>
                  <w:tcBorders>
                    <w:top w:val="single" w:color="auto" w:sz="4" w:space="0"/>
                    <w:left w:val="nil"/>
                    <w:bottom w:val="single" w:color="auto" w:sz="4" w:space="0"/>
                    <w:right w:val="single" w:color="auto" w:sz="4" w:space="0"/>
                  </w:tcBorders>
                  <w:noWrap w:val="0"/>
                  <w:vAlign w:val="center"/>
                </w:tcPr>
                <w:p w14:paraId="2765F8F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rPr>
                  </w:pPr>
                  <w:r>
                    <w:rPr>
                      <w:rFonts w:hint="eastAsia" w:cs="Times New Roman"/>
                      <w:color w:val="auto"/>
                      <w:szCs w:val="21"/>
                      <w:lang w:val="en-US" w:eastAsia="zh-CN"/>
                    </w:rPr>
                    <w:t>0.041</w:t>
                  </w:r>
                </w:p>
              </w:tc>
              <w:tc>
                <w:tcPr>
                  <w:tcW w:w="618" w:type="pct"/>
                  <w:tcBorders>
                    <w:top w:val="single" w:color="auto" w:sz="4" w:space="0"/>
                    <w:left w:val="nil"/>
                    <w:bottom w:val="single" w:color="auto" w:sz="4" w:space="0"/>
                    <w:right w:val="single" w:color="auto" w:sz="4" w:space="0"/>
                  </w:tcBorders>
                  <w:noWrap w:val="0"/>
                  <w:vAlign w:val="center"/>
                </w:tcPr>
                <w:p w14:paraId="1C2B3D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color w:val="auto"/>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342B5C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rPr>
                  </w:pPr>
                  <w:r>
                    <w:rPr>
                      <w:rFonts w:hint="eastAsia" w:cs="Times New Roman"/>
                      <w:color w:val="auto"/>
                      <w:szCs w:val="21"/>
                      <w:lang w:val="en-US" w:eastAsia="zh-CN"/>
                    </w:rPr>
                    <w:t>0.041</w:t>
                  </w:r>
                </w:p>
              </w:tc>
              <w:tc>
                <w:tcPr>
                  <w:tcW w:w="1081" w:type="dxa"/>
                  <w:tcBorders>
                    <w:top w:val="single" w:color="auto" w:sz="4" w:space="0"/>
                    <w:left w:val="nil"/>
                    <w:bottom w:val="single" w:color="auto" w:sz="4" w:space="0"/>
                    <w:right w:val="single" w:color="auto" w:sz="4" w:space="0"/>
                  </w:tcBorders>
                  <w:noWrap w:val="0"/>
                  <w:vAlign w:val="center"/>
                </w:tcPr>
                <w:p w14:paraId="1AE7B9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0.023</w:t>
                  </w:r>
                </w:p>
              </w:tc>
            </w:tr>
            <w:tr w14:paraId="3731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continue"/>
                  <w:tcBorders>
                    <w:left w:val="single" w:color="auto" w:sz="4" w:space="0"/>
                    <w:right w:val="single" w:color="auto" w:sz="4" w:space="0"/>
                  </w:tcBorders>
                  <w:noWrap w:val="0"/>
                  <w:vAlign w:val="center"/>
                </w:tcPr>
                <w:p w14:paraId="49F00961">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tcBorders>
                    <w:top w:val="single" w:color="auto" w:sz="4" w:space="0"/>
                    <w:left w:val="nil"/>
                    <w:bottom w:val="single" w:color="auto" w:sz="4" w:space="0"/>
                    <w:right w:val="single" w:color="auto" w:sz="4" w:space="0"/>
                  </w:tcBorders>
                  <w:noWrap w:val="0"/>
                  <w:vAlign w:val="center"/>
                </w:tcPr>
                <w:p w14:paraId="342890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szCs w:val="21"/>
                      <w:highlight w:val="none"/>
                      <w:u w:val="none"/>
                    </w:rPr>
                    <w:t>-N</w:t>
                  </w:r>
                </w:p>
              </w:tc>
              <w:tc>
                <w:tcPr>
                  <w:tcW w:w="549" w:type="pct"/>
                  <w:tcBorders>
                    <w:top w:val="single" w:color="auto" w:sz="4" w:space="0"/>
                    <w:left w:val="nil"/>
                    <w:bottom w:val="single" w:color="auto" w:sz="4" w:space="0"/>
                    <w:right w:val="single" w:color="auto" w:sz="4" w:space="0"/>
                  </w:tcBorders>
                  <w:noWrap w:val="0"/>
                  <w:vAlign w:val="center"/>
                </w:tcPr>
                <w:p w14:paraId="32D9E4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lang w:val="en-US" w:eastAsia="zh-CN"/>
                    </w:rPr>
                    <w:t>0.004</w:t>
                  </w:r>
                </w:p>
              </w:tc>
              <w:tc>
                <w:tcPr>
                  <w:tcW w:w="517" w:type="pct"/>
                  <w:tcBorders>
                    <w:top w:val="single" w:color="auto" w:sz="4" w:space="0"/>
                    <w:left w:val="nil"/>
                    <w:bottom w:val="single" w:color="auto" w:sz="4" w:space="0"/>
                    <w:right w:val="single" w:color="auto" w:sz="4" w:space="0"/>
                  </w:tcBorders>
                  <w:noWrap w:val="0"/>
                  <w:vAlign w:val="center"/>
                </w:tcPr>
                <w:p w14:paraId="2095FA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0.046</w:t>
                  </w:r>
                </w:p>
              </w:tc>
              <w:tc>
                <w:tcPr>
                  <w:tcW w:w="955" w:type="dxa"/>
                  <w:tcBorders>
                    <w:top w:val="single" w:color="auto" w:sz="4" w:space="0"/>
                    <w:left w:val="nil"/>
                    <w:bottom w:val="single" w:color="auto" w:sz="4" w:space="0"/>
                    <w:right w:val="single" w:color="auto" w:sz="4" w:space="0"/>
                  </w:tcBorders>
                  <w:noWrap w:val="0"/>
                  <w:vAlign w:val="center"/>
                </w:tcPr>
                <w:p w14:paraId="741B8B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0.014</w:t>
                  </w:r>
                </w:p>
              </w:tc>
              <w:tc>
                <w:tcPr>
                  <w:tcW w:w="522" w:type="pct"/>
                  <w:tcBorders>
                    <w:top w:val="single" w:color="auto" w:sz="4" w:space="0"/>
                    <w:left w:val="nil"/>
                    <w:bottom w:val="single" w:color="auto" w:sz="4" w:space="0"/>
                    <w:right w:val="single" w:color="auto" w:sz="4" w:space="0"/>
                  </w:tcBorders>
                  <w:noWrap w:val="0"/>
                  <w:vAlign w:val="center"/>
                </w:tcPr>
                <w:p w14:paraId="5CCF27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lang w:val="en-US"/>
                    </w:rPr>
                  </w:pPr>
                  <w:r>
                    <w:rPr>
                      <w:rFonts w:hint="eastAsia" w:cs="Times New Roman"/>
                      <w:color w:val="auto"/>
                      <w:kern w:val="2"/>
                      <w:sz w:val="21"/>
                      <w:szCs w:val="21"/>
                      <w:lang w:val="en-US" w:eastAsia="zh-CN" w:bidi="ar-SA"/>
                    </w:rPr>
                    <w:t>0.032</w:t>
                  </w:r>
                </w:p>
              </w:tc>
              <w:tc>
                <w:tcPr>
                  <w:tcW w:w="618" w:type="pct"/>
                  <w:tcBorders>
                    <w:top w:val="single" w:color="auto" w:sz="4" w:space="0"/>
                    <w:left w:val="nil"/>
                    <w:bottom w:val="single" w:color="auto" w:sz="4" w:space="0"/>
                    <w:right w:val="single" w:color="auto" w:sz="4" w:space="0"/>
                  </w:tcBorders>
                  <w:noWrap w:val="0"/>
                  <w:vAlign w:val="center"/>
                </w:tcPr>
                <w:p w14:paraId="69B3E6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color w:val="auto"/>
                      <w:kern w:val="0"/>
                      <w:szCs w:val="21"/>
                      <w:highlight w:val="none"/>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034FC61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rPr>
                  </w:pPr>
                  <w:r>
                    <w:rPr>
                      <w:rFonts w:hint="eastAsia" w:cs="Times New Roman"/>
                      <w:color w:val="auto"/>
                      <w:kern w:val="2"/>
                      <w:sz w:val="21"/>
                      <w:szCs w:val="21"/>
                      <w:lang w:val="en-US" w:eastAsia="zh-CN" w:bidi="ar-SA"/>
                    </w:rPr>
                    <w:t>0.149</w:t>
                  </w:r>
                </w:p>
              </w:tc>
              <w:tc>
                <w:tcPr>
                  <w:tcW w:w="1081" w:type="dxa"/>
                  <w:tcBorders>
                    <w:top w:val="single" w:color="auto" w:sz="4" w:space="0"/>
                    <w:left w:val="nil"/>
                    <w:bottom w:val="single" w:color="auto" w:sz="4" w:space="0"/>
                    <w:right w:val="single" w:color="auto" w:sz="4" w:space="0"/>
                  </w:tcBorders>
                  <w:noWrap w:val="0"/>
                  <w:vAlign w:val="center"/>
                </w:tcPr>
                <w:p w14:paraId="585F42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0.145</w:t>
                  </w:r>
                </w:p>
              </w:tc>
            </w:tr>
            <w:tr w14:paraId="1698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continue"/>
                  <w:tcBorders>
                    <w:left w:val="single" w:color="auto" w:sz="4" w:space="0"/>
                    <w:right w:val="single" w:color="auto" w:sz="4" w:space="0"/>
                  </w:tcBorders>
                  <w:noWrap w:val="0"/>
                  <w:vAlign w:val="center"/>
                </w:tcPr>
                <w:p w14:paraId="1B666D68">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tcBorders>
                    <w:top w:val="single" w:color="auto" w:sz="4" w:space="0"/>
                    <w:left w:val="nil"/>
                    <w:bottom w:val="single" w:color="auto" w:sz="4" w:space="0"/>
                    <w:right w:val="single" w:color="auto" w:sz="4" w:space="0"/>
                  </w:tcBorders>
                  <w:noWrap w:val="0"/>
                  <w:vAlign w:val="center"/>
                </w:tcPr>
                <w:p w14:paraId="27BF62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SS</w:t>
                  </w:r>
                </w:p>
              </w:tc>
              <w:tc>
                <w:tcPr>
                  <w:tcW w:w="549" w:type="pct"/>
                  <w:tcBorders>
                    <w:top w:val="single" w:color="auto" w:sz="4" w:space="0"/>
                    <w:left w:val="nil"/>
                    <w:bottom w:val="single" w:color="auto" w:sz="4" w:space="0"/>
                    <w:right w:val="single" w:color="auto" w:sz="4" w:space="0"/>
                  </w:tcBorders>
                  <w:noWrap w:val="0"/>
                  <w:vAlign w:val="center"/>
                </w:tcPr>
                <w:p w14:paraId="5486ED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lang w:val="en-US" w:eastAsia="zh-CN"/>
                    </w:rPr>
                    <w:t>0.024</w:t>
                  </w:r>
                </w:p>
              </w:tc>
              <w:tc>
                <w:tcPr>
                  <w:tcW w:w="517" w:type="pct"/>
                  <w:tcBorders>
                    <w:top w:val="single" w:color="auto" w:sz="4" w:space="0"/>
                    <w:left w:val="nil"/>
                    <w:bottom w:val="single" w:color="auto" w:sz="4" w:space="0"/>
                    <w:right w:val="single" w:color="auto" w:sz="4" w:space="0"/>
                  </w:tcBorders>
                  <w:noWrap w:val="0"/>
                  <w:vAlign w:val="center"/>
                </w:tcPr>
                <w:p w14:paraId="12CFB9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0.475</w:t>
                  </w:r>
                </w:p>
              </w:tc>
              <w:tc>
                <w:tcPr>
                  <w:tcW w:w="955" w:type="dxa"/>
                  <w:tcBorders>
                    <w:top w:val="single" w:color="auto" w:sz="4" w:space="0"/>
                    <w:left w:val="nil"/>
                    <w:bottom w:val="single" w:color="auto" w:sz="4" w:space="0"/>
                    <w:right w:val="single" w:color="auto" w:sz="4" w:space="0"/>
                  </w:tcBorders>
                  <w:noWrap w:val="0"/>
                  <w:vAlign w:val="center"/>
                </w:tcPr>
                <w:p w14:paraId="65BDF5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0.326</w:t>
                  </w:r>
                </w:p>
              </w:tc>
              <w:tc>
                <w:tcPr>
                  <w:tcW w:w="522" w:type="pct"/>
                  <w:tcBorders>
                    <w:top w:val="single" w:color="auto" w:sz="4" w:space="0"/>
                    <w:left w:val="nil"/>
                    <w:bottom w:val="single" w:color="auto" w:sz="4" w:space="0"/>
                    <w:right w:val="single" w:color="auto" w:sz="4" w:space="0"/>
                  </w:tcBorders>
                  <w:noWrap w:val="0"/>
                  <w:vAlign w:val="center"/>
                </w:tcPr>
                <w:p w14:paraId="2DFF87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rPr>
                  </w:pPr>
                  <w:r>
                    <w:rPr>
                      <w:rFonts w:hint="eastAsia" w:cs="Times New Roman"/>
                      <w:color w:val="auto"/>
                      <w:szCs w:val="21"/>
                      <w:lang w:val="en-US" w:eastAsia="zh-CN"/>
                    </w:rPr>
                    <w:t>0.149</w:t>
                  </w:r>
                </w:p>
              </w:tc>
              <w:tc>
                <w:tcPr>
                  <w:tcW w:w="618" w:type="pct"/>
                  <w:tcBorders>
                    <w:top w:val="single" w:color="auto" w:sz="4" w:space="0"/>
                    <w:left w:val="nil"/>
                    <w:bottom w:val="single" w:color="auto" w:sz="4" w:space="0"/>
                    <w:right w:val="single" w:color="auto" w:sz="4" w:space="0"/>
                  </w:tcBorders>
                  <w:noWrap w:val="0"/>
                  <w:vAlign w:val="center"/>
                </w:tcPr>
                <w:p w14:paraId="35C37D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kern w:val="0"/>
                      <w:szCs w:val="21"/>
                      <w:highlight w:val="none"/>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7176F7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rPr>
                  </w:pPr>
                  <w:r>
                    <w:rPr>
                      <w:rFonts w:hint="eastAsia" w:cs="Times New Roman"/>
                      <w:color w:val="auto"/>
                      <w:szCs w:val="21"/>
                      <w:lang w:val="en-US" w:eastAsia="zh-CN"/>
                    </w:rPr>
                    <w:t>0.032</w:t>
                  </w:r>
                </w:p>
              </w:tc>
              <w:tc>
                <w:tcPr>
                  <w:tcW w:w="1081" w:type="dxa"/>
                  <w:tcBorders>
                    <w:top w:val="single" w:color="auto" w:sz="4" w:space="0"/>
                    <w:left w:val="nil"/>
                    <w:bottom w:val="single" w:color="auto" w:sz="4" w:space="0"/>
                    <w:right w:val="single" w:color="auto" w:sz="4" w:space="0"/>
                  </w:tcBorders>
                  <w:noWrap w:val="0"/>
                  <w:vAlign w:val="center"/>
                </w:tcPr>
                <w:p w14:paraId="0CEDB5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0.008</w:t>
                  </w:r>
                </w:p>
              </w:tc>
            </w:tr>
            <w:tr w14:paraId="6298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restart"/>
                  <w:tcBorders>
                    <w:left w:val="single" w:color="auto" w:sz="4" w:space="0"/>
                    <w:right w:val="single" w:color="auto" w:sz="4" w:space="0"/>
                  </w:tcBorders>
                  <w:noWrap w:val="0"/>
                  <w:vAlign w:val="center"/>
                </w:tcPr>
                <w:p w14:paraId="7F3BB0FC">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w:t>
                  </w:r>
                </w:p>
              </w:tc>
              <w:tc>
                <w:tcPr>
                  <w:tcW w:w="780" w:type="pct"/>
                  <w:gridSpan w:val="2"/>
                  <w:tcBorders>
                    <w:top w:val="single" w:color="auto" w:sz="4" w:space="0"/>
                    <w:left w:val="nil"/>
                    <w:bottom w:val="single" w:color="auto" w:sz="4" w:space="0"/>
                    <w:right w:val="single" w:color="auto" w:sz="4" w:space="0"/>
                  </w:tcBorders>
                  <w:noWrap w:val="0"/>
                  <w:vAlign w:val="center"/>
                </w:tcPr>
                <w:p w14:paraId="2CCE0539">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一般工业废物</w:t>
                  </w:r>
                </w:p>
              </w:tc>
              <w:tc>
                <w:tcPr>
                  <w:tcW w:w="549" w:type="pct"/>
                  <w:tcBorders>
                    <w:top w:val="single" w:color="auto" w:sz="4" w:space="0"/>
                    <w:left w:val="nil"/>
                    <w:bottom w:val="single" w:color="auto" w:sz="4" w:space="0"/>
                    <w:right w:val="single" w:color="auto" w:sz="4" w:space="0"/>
                  </w:tcBorders>
                  <w:noWrap w:val="0"/>
                  <w:vAlign w:val="center"/>
                </w:tcPr>
                <w:p w14:paraId="4177A275">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w:t>
                  </w:r>
                </w:p>
              </w:tc>
              <w:tc>
                <w:tcPr>
                  <w:tcW w:w="913" w:type="dxa"/>
                  <w:tcBorders>
                    <w:top w:val="single" w:color="auto" w:sz="4" w:space="0"/>
                    <w:left w:val="nil"/>
                    <w:bottom w:val="single" w:color="auto" w:sz="4" w:space="0"/>
                    <w:right w:val="single" w:color="auto" w:sz="4" w:space="0"/>
                  </w:tcBorders>
                  <w:noWrap w:val="0"/>
                  <w:vAlign w:val="center"/>
                </w:tcPr>
                <w:p w14:paraId="64117A8A">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8.96</w:t>
                  </w:r>
                </w:p>
              </w:tc>
              <w:tc>
                <w:tcPr>
                  <w:tcW w:w="955" w:type="dxa"/>
                  <w:tcBorders>
                    <w:top w:val="single" w:color="auto" w:sz="4" w:space="0"/>
                    <w:left w:val="nil"/>
                    <w:bottom w:val="single" w:color="auto" w:sz="4" w:space="0"/>
                    <w:right w:val="single" w:color="auto" w:sz="4" w:space="0"/>
                  </w:tcBorders>
                  <w:noWrap w:val="0"/>
                  <w:vAlign w:val="center"/>
                </w:tcPr>
                <w:p w14:paraId="58480A22">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8.96</w:t>
                  </w:r>
                </w:p>
              </w:tc>
              <w:tc>
                <w:tcPr>
                  <w:tcW w:w="522" w:type="pct"/>
                  <w:tcBorders>
                    <w:top w:val="single" w:color="auto" w:sz="4" w:space="0"/>
                    <w:left w:val="nil"/>
                    <w:bottom w:val="single" w:color="auto" w:sz="4" w:space="0"/>
                    <w:right w:val="single" w:color="auto" w:sz="4" w:space="0"/>
                  </w:tcBorders>
                  <w:noWrap w:val="0"/>
                  <w:vAlign w:val="center"/>
                </w:tcPr>
                <w:p w14:paraId="519FCC1C">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w:t>
                  </w:r>
                </w:p>
              </w:tc>
              <w:tc>
                <w:tcPr>
                  <w:tcW w:w="618" w:type="pct"/>
                  <w:tcBorders>
                    <w:top w:val="single" w:color="auto" w:sz="4" w:space="0"/>
                    <w:left w:val="nil"/>
                    <w:bottom w:val="single" w:color="auto" w:sz="4" w:space="0"/>
                    <w:right w:val="single" w:color="auto" w:sz="4" w:space="0"/>
                  </w:tcBorders>
                  <w:noWrap w:val="0"/>
                  <w:vAlign w:val="center"/>
                </w:tcPr>
                <w:p w14:paraId="67A75A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kern w:val="0"/>
                      <w:szCs w:val="21"/>
                      <w:highlight w:val="none"/>
                      <w:lang w:val="en-US" w:eastAsia="zh-CN"/>
                    </w:rPr>
                    <w:t>0</w:t>
                  </w:r>
                </w:p>
              </w:tc>
              <w:tc>
                <w:tcPr>
                  <w:tcW w:w="936" w:type="dxa"/>
                  <w:tcBorders>
                    <w:top w:val="single" w:color="auto" w:sz="4" w:space="0"/>
                    <w:left w:val="nil"/>
                    <w:bottom w:val="single" w:color="auto" w:sz="4" w:space="0"/>
                    <w:right w:val="single" w:color="auto" w:sz="4" w:space="0"/>
                  </w:tcBorders>
                  <w:noWrap w:val="0"/>
                  <w:vAlign w:val="center"/>
                </w:tcPr>
                <w:p w14:paraId="75D24AA0">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w:t>
                  </w:r>
                </w:p>
              </w:tc>
              <w:tc>
                <w:tcPr>
                  <w:tcW w:w="1081" w:type="dxa"/>
                  <w:tcBorders>
                    <w:top w:val="single" w:color="auto" w:sz="4" w:space="0"/>
                    <w:left w:val="nil"/>
                    <w:bottom w:val="single" w:color="auto" w:sz="4" w:space="0"/>
                    <w:right w:val="single" w:color="auto" w:sz="4" w:space="0"/>
                  </w:tcBorders>
                  <w:noWrap w:val="0"/>
                  <w:vAlign w:val="center"/>
                </w:tcPr>
                <w:p w14:paraId="5547F1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kern w:val="0"/>
                      <w:szCs w:val="21"/>
                      <w:highlight w:val="none"/>
                      <w:lang w:val="en-US" w:eastAsia="zh-CN"/>
                    </w:rPr>
                    <w:t>0</w:t>
                  </w:r>
                </w:p>
              </w:tc>
            </w:tr>
            <w:tr w14:paraId="2D74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 w:hRule="atLeast"/>
                <w:jc w:val="center"/>
              </w:trPr>
              <w:tc>
                <w:tcPr>
                  <w:tcW w:w="325" w:type="pct"/>
                  <w:vMerge w:val="continue"/>
                  <w:tcBorders>
                    <w:left w:val="single" w:color="auto" w:sz="4" w:space="0"/>
                    <w:right w:val="single" w:color="auto" w:sz="4" w:space="0"/>
                  </w:tcBorders>
                  <w:noWrap w:val="0"/>
                  <w:vAlign w:val="center"/>
                </w:tcPr>
                <w:p w14:paraId="07DDFA45">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tcBorders>
                    <w:top w:val="single" w:color="auto" w:sz="4" w:space="0"/>
                    <w:left w:val="nil"/>
                    <w:bottom w:val="single" w:color="auto" w:sz="4" w:space="0"/>
                    <w:right w:val="single" w:color="auto" w:sz="4" w:space="0"/>
                  </w:tcBorders>
                  <w:noWrap w:val="0"/>
                  <w:vAlign w:val="center"/>
                </w:tcPr>
                <w:p w14:paraId="5D36B818">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549" w:type="pct"/>
                  <w:tcBorders>
                    <w:top w:val="single" w:color="auto" w:sz="4" w:space="0"/>
                    <w:left w:val="nil"/>
                    <w:bottom w:val="single" w:color="auto" w:sz="4" w:space="0"/>
                    <w:right w:val="single" w:color="auto" w:sz="4" w:space="0"/>
                  </w:tcBorders>
                  <w:noWrap w:val="0"/>
                  <w:vAlign w:val="center"/>
                </w:tcPr>
                <w:p w14:paraId="5131782D">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913" w:type="dxa"/>
                  <w:tcBorders>
                    <w:top w:val="single" w:color="auto" w:sz="4" w:space="0"/>
                    <w:left w:val="nil"/>
                    <w:bottom w:val="single" w:color="auto" w:sz="4" w:space="0"/>
                    <w:right w:val="single" w:color="auto" w:sz="4" w:space="0"/>
                  </w:tcBorders>
                  <w:noWrap w:val="0"/>
                  <w:vAlign w:val="center"/>
                </w:tcPr>
                <w:p w14:paraId="351B4511">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w:t>
                  </w:r>
                </w:p>
              </w:tc>
              <w:tc>
                <w:tcPr>
                  <w:tcW w:w="955" w:type="dxa"/>
                  <w:tcBorders>
                    <w:top w:val="single" w:color="auto" w:sz="4" w:space="0"/>
                    <w:left w:val="nil"/>
                    <w:bottom w:val="single" w:color="auto" w:sz="4" w:space="0"/>
                    <w:right w:val="single" w:color="auto" w:sz="4" w:space="0"/>
                  </w:tcBorders>
                  <w:noWrap w:val="0"/>
                  <w:vAlign w:val="center"/>
                </w:tcPr>
                <w:p w14:paraId="6C4A7EAE">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0.1</w:t>
                  </w:r>
                </w:p>
              </w:tc>
              <w:tc>
                <w:tcPr>
                  <w:tcW w:w="522" w:type="pct"/>
                  <w:tcBorders>
                    <w:top w:val="single" w:color="auto" w:sz="4" w:space="0"/>
                    <w:left w:val="nil"/>
                    <w:bottom w:val="single" w:color="auto" w:sz="4" w:space="0"/>
                    <w:right w:val="single" w:color="auto" w:sz="4" w:space="0"/>
                  </w:tcBorders>
                  <w:noWrap w:val="0"/>
                  <w:vAlign w:val="center"/>
                </w:tcPr>
                <w:p w14:paraId="5B962488">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w:t>
                  </w:r>
                </w:p>
              </w:tc>
              <w:tc>
                <w:tcPr>
                  <w:tcW w:w="618" w:type="pct"/>
                  <w:tcBorders>
                    <w:top w:val="single" w:color="auto" w:sz="4" w:space="0"/>
                    <w:left w:val="nil"/>
                    <w:bottom w:val="single" w:color="auto" w:sz="4" w:space="0"/>
                    <w:right w:val="single" w:color="auto" w:sz="4" w:space="0"/>
                  </w:tcBorders>
                  <w:noWrap w:val="0"/>
                  <w:vAlign w:val="center"/>
                </w:tcPr>
                <w:p w14:paraId="32594B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szCs w:val="21"/>
                      <w:highlight w:val="none"/>
                      <w:lang w:val="en-US" w:eastAsia="zh-CN"/>
                    </w:rPr>
                    <w:t>0</w:t>
                  </w:r>
                </w:p>
              </w:tc>
              <w:tc>
                <w:tcPr>
                  <w:tcW w:w="936" w:type="dxa"/>
                  <w:tcBorders>
                    <w:top w:val="single" w:color="auto" w:sz="4" w:space="0"/>
                    <w:left w:val="nil"/>
                    <w:bottom w:val="single" w:color="auto" w:sz="4" w:space="0"/>
                    <w:right w:val="single" w:color="auto" w:sz="4" w:space="0"/>
                  </w:tcBorders>
                  <w:noWrap w:val="0"/>
                  <w:vAlign w:val="center"/>
                </w:tcPr>
                <w:p w14:paraId="4C17FB67">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w:t>
                  </w:r>
                </w:p>
              </w:tc>
              <w:tc>
                <w:tcPr>
                  <w:tcW w:w="1081" w:type="dxa"/>
                  <w:tcBorders>
                    <w:top w:val="single" w:color="auto" w:sz="4" w:space="0"/>
                    <w:left w:val="nil"/>
                    <w:bottom w:val="single" w:color="auto" w:sz="4" w:space="0"/>
                    <w:right w:val="single" w:color="auto" w:sz="4" w:space="0"/>
                  </w:tcBorders>
                  <w:noWrap w:val="0"/>
                  <w:vAlign w:val="center"/>
                </w:tcPr>
                <w:p w14:paraId="1FAC4C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szCs w:val="21"/>
                      <w:highlight w:val="none"/>
                      <w:lang w:val="en-US" w:eastAsia="zh-CN"/>
                    </w:rPr>
                    <w:t>0</w:t>
                  </w:r>
                </w:p>
              </w:tc>
            </w:tr>
            <w:tr w14:paraId="126C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continue"/>
                  <w:tcBorders>
                    <w:left w:val="single" w:color="auto" w:sz="4" w:space="0"/>
                    <w:right w:val="single" w:color="auto" w:sz="4" w:space="0"/>
                  </w:tcBorders>
                  <w:noWrap w:val="0"/>
                  <w:vAlign w:val="center"/>
                </w:tcPr>
                <w:p w14:paraId="25E746F1">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tcBorders>
                    <w:top w:val="single" w:color="auto" w:sz="4" w:space="0"/>
                    <w:left w:val="nil"/>
                    <w:bottom w:val="single" w:color="auto" w:sz="4" w:space="0"/>
                    <w:right w:val="single" w:color="auto" w:sz="4" w:space="0"/>
                  </w:tcBorders>
                  <w:noWrap w:val="0"/>
                  <w:vAlign w:val="center"/>
                </w:tcPr>
                <w:p w14:paraId="1D439FAC">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w:t>
                  </w:r>
                </w:p>
              </w:tc>
              <w:tc>
                <w:tcPr>
                  <w:tcW w:w="549" w:type="pct"/>
                  <w:tcBorders>
                    <w:top w:val="single" w:color="auto" w:sz="4" w:space="0"/>
                    <w:left w:val="nil"/>
                    <w:bottom w:val="single" w:color="auto" w:sz="4" w:space="0"/>
                    <w:right w:val="single" w:color="auto" w:sz="4" w:space="0"/>
                  </w:tcBorders>
                  <w:noWrap w:val="0"/>
                  <w:vAlign w:val="center"/>
                </w:tcPr>
                <w:p w14:paraId="414B71D0">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0.9</w:t>
                  </w:r>
                </w:p>
              </w:tc>
              <w:tc>
                <w:tcPr>
                  <w:tcW w:w="913" w:type="dxa"/>
                  <w:tcBorders>
                    <w:top w:val="single" w:color="auto" w:sz="4" w:space="0"/>
                    <w:left w:val="nil"/>
                    <w:bottom w:val="single" w:color="auto" w:sz="4" w:space="0"/>
                    <w:right w:val="single" w:color="auto" w:sz="4" w:space="0"/>
                  </w:tcBorders>
                  <w:noWrap w:val="0"/>
                  <w:vAlign w:val="center"/>
                </w:tcPr>
                <w:p w14:paraId="24878041">
                  <w:pPr>
                    <w:keepNext w:val="0"/>
                    <w:keepLines w:val="0"/>
                    <w:suppressLineNumbers w:val="0"/>
                    <w:adjustRightInd w:val="0"/>
                    <w:snapToGrid w:val="0"/>
                    <w:spacing w:before="0" w:beforeAutospacing="0" w:after="0" w:afterAutospacing="0"/>
                    <w:ind w:left="-84" w:leftChars="-40" w:right="-84" w:rightChars="-4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955" w:type="dxa"/>
                  <w:tcBorders>
                    <w:top w:val="single" w:color="auto" w:sz="4" w:space="0"/>
                    <w:left w:val="nil"/>
                    <w:bottom w:val="single" w:color="auto" w:sz="4" w:space="0"/>
                    <w:right w:val="single" w:color="auto" w:sz="4" w:space="0"/>
                  </w:tcBorders>
                  <w:noWrap w:val="0"/>
                  <w:vAlign w:val="center"/>
                </w:tcPr>
                <w:p w14:paraId="46C57D71">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9</w:t>
                  </w:r>
                </w:p>
              </w:tc>
              <w:tc>
                <w:tcPr>
                  <w:tcW w:w="522" w:type="pct"/>
                  <w:tcBorders>
                    <w:top w:val="single" w:color="auto" w:sz="4" w:space="0"/>
                    <w:left w:val="nil"/>
                    <w:bottom w:val="single" w:color="auto" w:sz="4" w:space="0"/>
                    <w:right w:val="single" w:color="auto" w:sz="4" w:space="0"/>
                  </w:tcBorders>
                  <w:noWrap w:val="0"/>
                  <w:vAlign w:val="center"/>
                </w:tcPr>
                <w:p w14:paraId="34322ABB">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w:t>
                  </w:r>
                </w:p>
              </w:tc>
              <w:tc>
                <w:tcPr>
                  <w:tcW w:w="618" w:type="pct"/>
                  <w:tcBorders>
                    <w:top w:val="single" w:color="auto" w:sz="4" w:space="0"/>
                    <w:left w:val="nil"/>
                    <w:bottom w:val="single" w:color="auto" w:sz="4" w:space="0"/>
                    <w:right w:val="single" w:color="auto" w:sz="4" w:space="0"/>
                  </w:tcBorders>
                  <w:noWrap w:val="0"/>
                  <w:vAlign w:val="center"/>
                </w:tcPr>
                <w:p w14:paraId="4C2AB3D9">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color w:val="auto"/>
                      <w:szCs w:val="21"/>
                      <w:lang w:val="en-US" w:eastAsia="zh-CN"/>
                    </w:rPr>
                    <w:t>0</w:t>
                  </w:r>
                </w:p>
              </w:tc>
              <w:tc>
                <w:tcPr>
                  <w:tcW w:w="936" w:type="dxa"/>
                  <w:tcBorders>
                    <w:top w:val="single" w:color="auto" w:sz="4" w:space="0"/>
                    <w:left w:val="nil"/>
                    <w:bottom w:val="single" w:color="auto" w:sz="4" w:space="0"/>
                    <w:right w:val="single" w:color="auto" w:sz="4" w:space="0"/>
                  </w:tcBorders>
                  <w:noWrap w:val="0"/>
                  <w:vAlign w:val="center"/>
                </w:tcPr>
                <w:p w14:paraId="016C5E60">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w:t>
                  </w:r>
                </w:p>
              </w:tc>
              <w:tc>
                <w:tcPr>
                  <w:tcW w:w="1081" w:type="dxa"/>
                  <w:tcBorders>
                    <w:top w:val="single" w:color="auto" w:sz="4" w:space="0"/>
                    <w:left w:val="nil"/>
                    <w:bottom w:val="single" w:color="auto" w:sz="4" w:space="0"/>
                    <w:right w:val="single" w:color="auto" w:sz="4" w:space="0"/>
                  </w:tcBorders>
                  <w:noWrap w:val="0"/>
                  <w:vAlign w:val="center"/>
                </w:tcPr>
                <w:p w14:paraId="42516C2B">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color w:val="auto"/>
                      <w:szCs w:val="21"/>
                      <w:lang w:val="en-US" w:eastAsia="zh-CN"/>
                    </w:rPr>
                    <w:t>0</w:t>
                  </w:r>
                </w:p>
              </w:tc>
            </w:tr>
          </w:tbl>
          <w:p w14:paraId="71880E9A">
            <w:pPr>
              <w:keepNext w:val="0"/>
              <w:keepLines w:val="0"/>
              <w:suppressLineNumbers w:val="0"/>
              <w:spacing w:before="0" w:beforeAutospacing="0" w:after="0" w:afterAutospacing="0" w:line="360" w:lineRule="auto"/>
              <w:ind w:left="0" w:right="0"/>
              <w:rPr>
                <w:rFonts w:hint="default" w:eastAsia="宋体"/>
                <w:color w:val="auto"/>
                <w:lang w:val="en-US" w:eastAsia="zh-CN"/>
              </w:rPr>
            </w:pPr>
          </w:p>
        </w:tc>
      </w:tr>
    </w:tbl>
    <w:p w14:paraId="6A811843">
      <w:pPr>
        <w:pStyle w:val="31"/>
        <w:jc w:val="center"/>
        <w:outlineLvl w:val="0"/>
        <w:rPr>
          <w:rFonts w:ascii="Times New Roman" w:hAnsi="Times New Roman"/>
          <w:b/>
          <w:snapToGrid w:val="0"/>
          <w:sz w:val="30"/>
          <w:szCs w:val="30"/>
        </w:rPr>
      </w:pPr>
      <w:r>
        <w:rPr>
          <w:rFonts w:ascii="Times New Roman" w:hAnsi="Times New Roman"/>
          <w:b/>
          <w:snapToGrid w:val="0"/>
          <w:sz w:val="30"/>
          <w:szCs w:val="30"/>
        </w:rPr>
        <w:t>五、</w:t>
      </w:r>
      <w:bookmarkStart w:id="7" w:name="_Hlk54167917"/>
      <w:r>
        <w:rPr>
          <w:rFonts w:ascii="Times New Roman" w:hAnsi="Times New Roman"/>
          <w:b/>
          <w:snapToGrid w:val="0"/>
          <w:sz w:val="30"/>
          <w:szCs w:val="30"/>
        </w:rPr>
        <w:t>环境保护措施监督检查清单</w:t>
      </w:r>
      <w:bookmarkEnd w:id="7"/>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645"/>
        <w:gridCol w:w="1280"/>
        <w:gridCol w:w="3031"/>
        <w:gridCol w:w="2512"/>
      </w:tblGrid>
      <w:tr w14:paraId="2657F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tblHeader/>
          <w:jc w:val="center"/>
        </w:trPr>
        <w:tc>
          <w:tcPr>
            <w:tcW w:w="1135" w:type="dxa"/>
          </w:tcPr>
          <w:p w14:paraId="2D95DC74">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内容</w:t>
            </w:r>
          </w:p>
          <w:p w14:paraId="6B3A7DF7">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要素</w:t>
            </w:r>
          </w:p>
        </w:tc>
        <w:tc>
          <w:tcPr>
            <w:tcW w:w="1645" w:type="dxa"/>
            <w:vAlign w:val="center"/>
          </w:tcPr>
          <w:p w14:paraId="1E104AFA">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排放口(编号、</w:t>
            </w:r>
          </w:p>
          <w:p w14:paraId="0D82E180">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名称)/污染源)</w:t>
            </w:r>
          </w:p>
        </w:tc>
        <w:tc>
          <w:tcPr>
            <w:tcW w:w="1280" w:type="dxa"/>
            <w:vAlign w:val="center"/>
          </w:tcPr>
          <w:p w14:paraId="443596F3">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污染物</w:t>
            </w:r>
          </w:p>
          <w:p w14:paraId="313A98EE">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项目</w:t>
            </w:r>
          </w:p>
        </w:tc>
        <w:tc>
          <w:tcPr>
            <w:tcW w:w="3031" w:type="dxa"/>
            <w:vAlign w:val="center"/>
          </w:tcPr>
          <w:p w14:paraId="6BA6EBFF">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环境保护措施</w:t>
            </w:r>
          </w:p>
        </w:tc>
        <w:tc>
          <w:tcPr>
            <w:tcW w:w="2512" w:type="dxa"/>
            <w:vAlign w:val="center"/>
          </w:tcPr>
          <w:p w14:paraId="23D8C238">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执行标准</w:t>
            </w:r>
          </w:p>
        </w:tc>
      </w:tr>
      <w:tr w14:paraId="3CA0F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1135" w:type="dxa"/>
            <w:vMerge w:val="restart"/>
            <w:vAlign w:val="center"/>
          </w:tcPr>
          <w:p w14:paraId="71E8AE71">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rPr>
            </w:pPr>
            <w:r>
              <w:rPr>
                <w:rFonts w:hint="eastAsia"/>
                <w:b/>
                <w:color w:val="auto"/>
                <w:sz w:val="21"/>
                <w:szCs w:val="21"/>
              </w:rPr>
              <w:t>大气环境</w:t>
            </w:r>
          </w:p>
        </w:tc>
        <w:tc>
          <w:tcPr>
            <w:tcW w:w="1645" w:type="dxa"/>
            <w:shd w:val="clear" w:color="auto" w:fill="auto"/>
            <w:vAlign w:val="center"/>
          </w:tcPr>
          <w:p w14:paraId="1DB85991">
            <w:pPr>
              <w:keepNext w:val="0"/>
              <w:keepLines w:val="0"/>
              <w:suppressLineNumbers w:val="0"/>
              <w:spacing w:before="0" w:beforeAutospacing="0" w:after="0" w:afterAutospacing="0"/>
              <w:ind w:left="-84" w:leftChars="-40" w:right="-84" w:rightChars="-40"/>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投料混合粉尘</w:t>
            </w:r>
          </w:p>
          <w:p w14:paraId="2AD4A9F3">
            <w:pPr>
              <w:keepNext w:val="0"/>
              <w:keepLines w:val="0"/>
              <w:suppressLineNumbers w:val="0"/>
              <w:spacing w:before="0" w:beforeAutospacing="0" w:after="0" w:afterAutospacing="0"/>
              <w:ind w:left="-84" w:leftChars="-40" w:right="-84" w:rightChars="-4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DA001</w:t>
            </w:r>
          </w:p>
        </w:tc>
        <w:tc>
          <w:tcPr>
            <w:tcW w:w="1280" w:type="dxa"/>
            <w:shd w:val="clear" w:color="auto" w:fill="auto"/>
            <w:vAlign w:val="center"/>
          </w:tcPr>
          <w:p w14:paraId="61B851AE">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颗粒物</w:t>
            </w:r>
          </w:p>
        </w:tc>
        <w:tc>
          <w:tcPr>
            <w:tcW w:w="3031" w:type="dxa"/>
            <w:shd w:val="clear" w:color="auto" w:fill="auto"/>
            <w:vAlign w:val="center"/>
          </w:tcPr>
          <w:p w14:paraId="7D28F94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设置集气罩收集废气，废气收集后引入1套布袋除尘器进行处理，处理达标后通过1根15m高排气筒排放</w:t>
            </w:r>
          </w:p>
        </w:tc>
        <w:tc>
          <w:tcPr>
            <w:tcW w:w="2512" w:type="dxa"/>
            <w:shd w:val="clear" w:color="auto" w:fill="auto"/>
            <w:vAlign w:val="center"/>
          </w:tcPr>
          <w:p w14:paraId="3261DFF6">
            <w:pPr>
              <w:pStyle w:val="70"/>
              <w:keepNext w:val="0"/>
              <w:keepLines w:val="0"/>
              <w:suppressLineNumbers w:val="0"/>
              <w:spacing w:before="0" w:beforeAutospacing="0" w:after="0" w:afterAutospacing="0" w:line="240" w:lineRule="auto"/>
              <w:ind w:left="0" w:right="0"/>
              <w:rPr>
                <w:rFonts w:hint="eastAsia" w:ascii="宋体"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pacing w:val="4"/>
                <w:kern w:val="0"/>
                <w:szCs w:val="21"/>
                <w:lang w:val="en-US" w:eastAsia="zh-CN"/>
              </w:rPr>
              <w:t>《大气污染物综合排放标准》（GB16297-1996）</w:t>
            </w:r>
          </w:p>
        </w:tc>
      </w:tr>
      <w:tr w14:paraId="23153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1135" w:type="dxa"/>
            <w:vMerge w:val="continue"/>
            <w:vAlign w:val="center"/>
          </w:tcPr>
          <w:p w14:paraId="61FF647E">
            <w:pPr>
              <w:keepNext w:val="0"/>
              <w:keepLines w:val="0"/>
              <w:suppressLineNumbers w:val="0"/>
              <w:spacing w:before="0" w:beforeAutospacing="0" w:after="0" w:afterAutospacing="0"/>
              <w:ind w:left="0" w:right="0"/>
              <w:jc w:val="center"/>
              <w:rPr>
                <w:rFonts w:hint="default"/>
                <w:color w:val="auto"/>
              </w:rPr>
            </w:pPr>
          </w:p>
        </w:tc>
        <w:tc>
          <w:tcPr>
            <w:tcW w:w="1645" w:type="dxa"/>
            <w:shd w:val="clear" w:color="auto" w:fill="auto"/>
            <w:vAlign w:val="center"/>
          </w:tcPr>
          <w:p w14:paraId="6ACDB4A8">
            <w:pPr>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天然气燃烧废气</w:t>
            </w:r>
          </w:p>
          <w:p w14:paraId="127A6C14">
            <w:pPr>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DA002</w:t>
            </w:r>
          </w:p>
        </w:tc>
        <w:tc>
          <w:tcPr>
            <w:tcW w:w="1280" w:type="dxa"/>
            <w:shd w:val="clear" w:color="auto" w:fill="auto"/>
            <w:vAlign w:val="center"/>
          </w:tcPr>
          <w:p w14:paraId="6F452AC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bCs/>
                <w:color w:val="auto"/>
                <w:kern w:val="2"/>
                <w:sz w:val="21"/>
                <w:szCs w:val="21"/>
                <w:lang w:val="en-US" w:eastAsia="zh-CN" w:bidi="ar-SA"/>
              </w:rPr>
              <w:t>颗粒物、SO</w:t>
            </w:r>
            <w:r>
              <w:rPr>
                <w:rFonts w:hint="eastAsia" w:ascii="Times New Roman" w:hAnsi="Times New Roman" w:eastAsia="宋体" w:cs="Times New Roman"/>
                <w:bCs/>
                <w:color w:val="auto"/>
                <w:kern w:val="2"/>
                <w:sz w:val="21"/>
                <w:szCs w:val="21"/>
                <w:vertAlign w:val="subscript"/>
                <w:lang w:val="en-US" w:eastAsia="zh-CN" w:bidi="ar-SA"/>
              </w:rPr>
              <w:t>2</w:t>
            </w:r>
            <w:r>
              <w:rPr>
                <w:rFonts w:hint="eastAsia" w:ascii="Times New Roman" w:hAnsi="Times New Roman" w:eastAsia="宋体" w:cs="Times New Roman"/>
                <w:bCs/>
                <w:color w:val="auto"/>
                <w:kern w:val="2"/>
                <w:sz w:val="21"/>
                <w:szCs w:val="21"/>
                <w:vertAlign w:val="baseline"/>
                <w:lang w:val="en-US" w:eastAsia="zh-CN" w:bidi="ar-SA"/>
              </w:rPr>
              <w:t>、NO</w:t>
            </w:r>
            <w:r>
              <w:rPr>
                <w:rFonts w:hint="eastAsia" w:ascii="Times New Roman" w:hAnsi="Times New Roman" w:eastAsia="宋体" w:cs="Times New Roman"/>
                <w:bCs/>
                <w:color w:val="auto"/>
                <w:kern w:val="2"/>
                <w:sz w:val="21"/>
                <w:szCs w:val="21"/>
                <w:vertAlign w:val="subscript"/>
                <w:lang w:val="en-US" w:eastAsia="zh-CN" w:bidi="ar-SA"/>
              </w:rPr>
              <w:t>x</w:t>
            </w:r>
          </w:p>
        </w:tc>
        <w:tc>
          <w:tcPr>
            <w:tcW w:w="3031" w:type="dxa"/>
            <w:shd w:val="clear" w:color="auto" w:fill="auto"/>
            <w:vAlign w:val="center"/>
          </w:tcPr>
          <w:p w14:paraId="40EFD20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采取低氮燃烧方式，燃烧废气经管道引入1根</w:t>
            </w:r>
            <w:r>
              <w:rPr>
                <w:rFonts w:hint="eastAsia" w:cs="Times New Roman"/>
                <w:color w:val="auto"/>
                <w:kern w:val="2"/>
                <w:sz w:val="21"/>
                <w:szCs w:val="24"/>
                <w:lang w:val="en-US" w:eastAsia="zh-CN" w:bidi="ar-SA"/>
              </w:rPr>
              <w:t>不低于8m</w:t>
            </w:r>
            <w:r>
              <w:rPr>
                <w:rFonts w:hint="default" w:ascii="Times New Roman" w:hAnsi="Times New Roman" w:eastAsia="宋体" w:cs="Times New Roman"/>
                <w:color w:val="auto"/>
                <w:kern w:val="2"/>
                <w:sz w:val="21"/>
                <w:szCs w:val="24"/>
                <w:lang w:val="en-US" w:eastAsia="zh-CN" w:bidi="ar-SA"/>
              </w:rPr>
              <w:t>高的排气筒排放</w:t>
            </w:r>
          </w:p>
        </w:tc>
        <w:tc>
          <w:tcPr>
            <w:tcW w:w="2512" w:type="dxa"/>
            <w:shd w:val="clear" w:color="auto" w:fill="auto"/>
            <w:vAlign w:val="center"/>
          </w:tcPr>
          <w:p w14:paraId="46CEFE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kern w:val="0"/>
                <w:sz w:val="21"/>
                <w:szCs w:val="21"/>
                <w:lang w:val="en-US" w:eastAsia="zh-CN" w:bidi="ar-SA"/>
              </w:rPr>
              <w:t>《锅炉大气污染物排放标准》（GB13271-2014）表3中排放限值</w:t>
            </w:r>
            <w:r>
              <w:rPr>
                <w:rFonts w:hint="eastAsia" w:cs="Times New Roman"/>
                <w:color w:val="auto"/>
                <w:spacing w:val="4"/>
                <w:kern w:val="0"/>
                <w:sz w:val="21"/>
                <w:szCs w:val="21"/>
                <w:lang w:val="en-US" w:eastAsia="zh-CN" w:bidi="ar-SA"/>
              </w:rPr>
              <w:t>要求和《安徽省大气办关于印发&lt;安徽省2020年大气污染防治重点工作任务&gt;的通知》中相关规定</w:t>
            </w:r>
          </w:p>
        </w:tc>
      </w:tr>
      <w:tr w14:paraId="420C9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1135" w:type="dxa"/>
            <w:vAlign w:val="center"/>
          </w:tcPr>
          <w:p w14:paraId="0421E874">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地表水环境</w:t>
            </w:r>
          </w:p>
        </w:tc>
        <w:tc>
          <w:tcPr>
            <w:tcW w:w="1645" w:type="dxa"/>
            <w:vAlign w:val="center"/>
          </w:tcPr>
          <w:p w14:paraId="459DAE62">
            <w:pPr>
              <w:keepNext w:val="0"/>
              <w:keepLines w:val="0"/>
              <w:suppressLineNumbers w:val="0"/>
              <w:adjustRightInd w:val="0"/>
              <w:snapToGrid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DW001</w:t>
            </w:r>
          </w:p>
          <w:p w14:paraId="620FC000">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eastAsia"/>
                <w:color w:val="auto"/>
                <w:sz w:val="21"/>
                <w:szCs w:val="21"/>
                <w:lang w:val="en-US" w:eastAsia="zh-CN"/>
              </w:rPr>
              <w:t>厂区总排口</w:t>
            </w:r>
          </w:p>
        </w:tc>
        <w:tc>
          <w:tcPr>
            <w:tcW w:w="1280" w:type="dxa"/>
            <w:vAlign w:val="center"/>
          </w:tcPr>
          <w:p w14:paraId="481B7B8E">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default"/>
                <w:color w:val="auto"/>
                <w:sz w:val="21"/>
                <w:szCs w:val="21"/>
              </w:rPr>
              <w:t>pH、COD、BOD</w:t>
            </w:r>
            <w:r>
              <w:rPr>
                <w:rFonts w:hint="eastAsia"/>
                <w:color w:val="auto"/>
                <w:sz w:val="21"/>
                <w:szCs w:val="21"/>
                <w:vertAlign w:val="subscript"/>
              </w:rPr>
              <w:t>5</w:t>
            </w:r>
            <w:r>
              <w:rPr>
                <w:rFonts w:hint="default"/>
                <w:color w:val="auto"/>
                <w:sz w:val="21"/>
                <w:szCs w:val="21"/>
              </w:rPr>
              <w:t>、</w:t>
            </w:r>
            <w:r>
              <w:rPr>
                <w:rFonts w:hint="eastAsia"/>
                <w:color w:val="auto"/>
                <w:sz w:val="21"/>
                <w:szCs w:val="21"/>
                <w:lang w:val="en-US" w:eastAsia="zh-CN"/>
              </w:rPr>
              <w:t>SS</w:t>
            </w:r>
            <w:r>
              <w:rPr>
                <w:rFonts w:hint="eastAsia"/>
                <w:color w:val="auto"/>
                <w:sz w:val="21"/>
                <w:szCs w:val="21"/>
              </w:rPr>
              <w:t>、</w:t>
            </w:r>
            <w:r>
              <w:rPr>
                <w:rFonts w:hint="eastAsia"/>
                <w:color w:val="auto"/>
                <w:sz w:val="21"/>
                <w:szCs w:val="21"/>
                <w:lang w:val="en-US" w:eastAsia="zh-CN"/>
              </w:rPr>
              <w:t>NH</w:t>
            </w:r>
            <w:r>
              <w:rPr>
                <w:rFonts w:hint="eastAsia"/>
                <w:color w:val="auto"/>
                <w:sz w:val="21"/>
                <w:szCs w:val="21"/>
                <w:vertAlign w:val="subscript"/>
                <w:lang w:val="en-US" w:eastAsia="zh-CN"/>
              </w:rPr>
              <w:t>3</w:t>
            </w:r>
            <w:r>
              <w:rPr>
                <w:rFonts w:hint="eastAsia"/>
                <w:color w:val="auto"/>
                <w:sz w:val="21"/>
                <w:szCs w:val="21"/>
                <w:lang w:val="en-US" w:eastAsia="zh-CN"/>
              </w:rPr>
              <w:t>-N、TP、动植物油</w:t>
            </w:r>
          </w:p>
        </w:tc>
        <w:tc>
          <w:tcPr>
            <w:tcW w:w="3031" w:type="dxa"/>
            <w:shd w:val="clear" w:color="auto" w:fill="auto"/>
            <w:vAlign w:val="center"/>
          </w:tcPr>
          <w:p w14:paraId="4A7016B8">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生活污水经隔油池+化粪池处理；设备清洗废水、保洁废水</w:t>
            </w:r>
            <w:r>
              <w:rPr>
                <w:rFonts w:hint="eastAsia" w:cs="Times New Roman"/>
                <w:color w:val="auto"/>
                <w:kern w:val="0"/>
                <w:sz w:val="21"/>
                <w:szCs w:val="21"/>
                <w:lang w:val="en-US" w:eastAsia="zh-CN" w:bidi="ar-SA"/>
              </w:rPr>
              <w:t>、实验室清洗废水</w:t>
            </w:r>
            <w:r>
              <w:rPr>
                <w:rFonts w:hint="eastAsia" w:ascii="Times New Roman" w:hAnsi="Times New Roman" w:eastAsia="宋体" w:cs="Times New Roman"/>
                <w:color w:val="auto"/>
                <w:kern w:val="0"/>
                <w:sz w:val="21"/>
                <w:szCs w:val="21"/>
                <w:lang w:val="en-US" w:eastAsia="zh-CN" w:bidi="ar-SA"/>
              </w:rPr>
              <w:t>经调节池+水解酸化池+接触氧化池+沉淀池处理后与纯水制备废水、</w:t>
            </w:r>
            <w:r>
              <w:rPr>
                <w:rFonts w:hint="eastAsia" w:cs="Times New Roman"/>
                <w:color w:val="auto"/>
                <w:kern w:val="0"/>
                <w:sz w:val="21"/>
                <w:szCs w:val="21"/>
                <w:lang w:val="en-US" w:eastAsia="zh-CN" w:bidi="ar-SA"/>
              </w:rPr>
              <w:t>处理后的</w:t>
            </w:r>
            <w:r>
              <w:rPr>
                <w:rFonts w:hint="eastAsia" w:ascii="Times New Roman" w:hAnsi="Times New Roman" w:eastAsia="宋体" w:cs="Times New Roman"/>
                <w:color w:val="auto"/>
                <w:kern w:val="0"/>
                <w:sz w:val="21"/>
                <w:szCs w:val="21"/>
                <w:lang w:val="en-US" w:eastAsia="zh-CN" w:bidi="ar-SA"/>
              </w:rPr>
              <w:t>生活污水一起接管排放至汴北污水处理厂</w:t>
            </w:r>
          </w:p>
        </w:tc>
        <w:tc>
          <w:tcPr>
            <w:tcW w:w="2512" w:type="dxa"/>
            <w:shd w:val="clear" w:color="auto" w:fill="auto"/>
            <w:vAlign w:val="center"/>
          </w:tcPr>
          <w:p w14:paraId="71D7CFB9">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《污水综合排放标准》（GB8978-1996）表4中三级标准</w:t>
            </w:r>
            <w:r>
              <w:rPr>
                <w:rFonts w:hint="eastAsia" w:cs="Times New Roman"/>
                <w:color w:val="auto"/>
                <w:kern w:val="0"/>
                <w:sz w:val="21"/>
                <w:szCs w:val="21"/>
                <w:lang w:val="en-US" w:eastAsia="zh-CN" w:bidi="ar-SA"/>
              </w:rPr>
              <w:t>、《食品加工制造业水污染物排放标准》（GB 46817-2025）</w:t>
            </w:r>
            <w:r>
              <w:rPr>
                <w:rFonts w:hint="default" w:ascii="Times New Roman" w:hAnsi="Times New Roman" w:eastAsia="宋体" w:cs="Times New Roman"/>
                <w:color w:val="auto"/>
                <w:kern w:val="0"/>
                <w:sz w:val="21"/>
                <w:szCs w:val="21"/>
                <w:lang w:val="en-US" w:eastAsia="zh-CN" w:bidi="ar-SA"/>
              </w:rPr>
              <w:t>及宿州市</w:t>
            </w:r>
            <w:r>
              <w:rPr>
                <w:rFonts w:hint="eastAsia" w:cs="Times New Roman"/>
                <w:color w:val="auto"/>
                <w:kern w:val="0"/>
                <w:sz w:val="21"/>
                <w:szCs w:val="21"/>
                <w:lang w:val="en-US" w:eastAsia="zh-CN" w:bidi="ar-SA"/>
              </w:rPr>
              <w:t>汴北</w:t>
            </w:r>
            <w:r>
              <w:rPr>
                <w:rFonts w:hint="default" w:ascii="Times New Roman" w:hAnsi="Times New Roman" w:eastAsia="宋体" w:cs="Times New Roman"/>
                <w:color w:val="auto"/>
                <w:kern w:val="0"/>
                <w:sz w:val="21"/>
                <w:szCs w:val="21"/>
                <w:lang w:val="en-US" w:eastAsia="zh-CN" w:bidi="ar-SA"/>
              </w:rPr>
              <w:t>污水处理厂接管标准</w:t>
            </w:r>
          </w:p>
        </w:tc>
      </w:tr>
      <w:tr w14:paraId="7B7DE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5" w:type="dxa"/>
            <w:vAlign w:val="center"/>
          </w:tcPr>
          <w:p w14:paraId="4B8BE816">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声环境</w:t>
            </w:r>
          </w:p>
        </w:tc>
        <w:tc>
          <w:tcPr>
            <w:tcW w:w="1645" w:type="dxa"/>
            <w:vAlign w:val="center"/>
          </w:tcPr>
          <w:p w14:paraId="0AA5BDC1">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设备运行噪声</w:t>
            </w:r>
          </w:p>
        </w:tc>
        <w:tc>
          <w:tcPr>
            <w:tcW w:w="1280" w:type="dxa"/>
            <w:vAlign w:val="center"/>
          </w:tcPr>
          <w:p w14:paraId="1CE80752">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噪声</w:t>
            </w:r>
          </w:p>
        </w:tc>
        <w:tc>
          <w:tcPr>
            <w:tcW w:w="3031" w:type="dxa"/>
            <w:vAlign w:val="center"/>
          </w:tcPr>
          <w:p w14:paraId="5D82267B">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kern w:val="0"/>
                <w:sz w:val="21"/>
                <w:szCs w:val="21"/>
              </w:rPr>
              <w:t>选用低噪声设备，设减振垫及减振基础，加装消声措施等</w:t>
            </w:r>
          </w:p>
        </w:tc>
        <w:tc>
          <w:tcPr>
            <w:tcW w:w="2512" w:type="dxa"/>
            <w:vAlign w:val="center"/>
          </w:tcPr>
          <w:p w14:paraId="027E7E10">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kern w:val="0"/>
                <w:sz w:val="21"/>
                <w:szCs w:val="21"/>
              </w:rPr>
              <w:t>厂界噪声排放执行《工业企业厂界环境噪声排放标准》（GB</w:t>
            </w:r>
            <w:r>
              <w:rPr>
                <w:rFonts w:hint="eastAsia"/>
                <w:color w:val="auto"/>
                <w:kern w:val="0"/>
                <w:sz w:val="21"/>
                <w:szCs w:val="21"/>
                <w:lang w:val="en-US" w:eastAsia="zh-CN"/>
              </w:rPr>
              <w:t>12348</w:t>
            </w:r>
            <w:r>
              <w:rPr>
                <w:rFonts w:hint="default"/>
                <w:color w:val="auto"/>
                <w:kern w:val="0"/>
                <w:sz w:val="21"/>
                <w:szCs w:val="21"/>
              </w:rPr>
              <w:t>-2008）</w:t>
            </w:r>
            <w:r>
              <w:rPr>
                <w:rFonts w:hint="eastAsia"/>
                <w:color w:val="auto"/>
                <w:kern w:val="0"/>
                <w:sz w:val="21"/>
                <w:szCs w:val="21"/>
                <w:lang w:val="en-US" w:eastAsia="zh-CN"/>
              </w:rPr>
              <w:t>3</w:t>
            </w:r>
            <w:r>
              <w:rPr>
                <w:rFonts w:hint="default"/>
                <w:color w:val="auto"/>
                <w:kern w:val="0"/>
                <w:sz w:val="21"/>
                <w:szCs w:val="21"/>
              </w:rPr>
              <w:t>类</w:t>
            </w:r>
            <w:r>
              <w:rPr>
                <w:rFonts w:hint="eastAsia"/>
                <w:color w:val="auto"/>
                <w:kern w:val="0"/>
                <w:sz w:val="21"/>
                <w:szCs w:val="21"/>
                <w:lang w:val="en-US" w:eastAsia="zh-CN"/>
              </w:rPr>
              <w:t>标准</w:t>
            </w:r>
          </w:p>
        </w:tc>
      </w:tr>
      <w:tr w14:paraId="02E24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135" w:type="dxa"/>
            <w:vAlign w:val="center"/>
          </w:tcPr>
          <w:p w14:paraId="31B689EF">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电磁辐射</w:t>
            </w:r>
          </w:p>
        </w:tc>
        <w:tc>
          <w:tcPr>
            <w:tcW w:w="1645" w:type="dxa"/>
            <w:vAlign w:val="center"/>
          </w:tcPr>
          <w:p w14:paraId="380926BB">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无</w:t>
            </w:r>
          </w:p>
        </w:tc>
        <w:tc>
          <w:tcPr>
            <w:tcW w:w="1280" w:type="dxa"/>
            <w:vAlign w:val="center"/>
          </w:tcPr>
          <w:p w14:paraId="110F60C5">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w:t>
            </w:r>
          </w:p>
        </w:tc>
        <w:tc>
          <w:tcPr>
            <w:tcW w:w="3031" w:type="dxa"/>
            <w:vAlign w:val="center"/>
          </w:tcPr>
          <w:p w14:paraId="308E7B76">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w:t>
            </w:r>
          </w:p>
        </w:tc>
        <w:tc>
          <w:tcPr>
            <w:tcW w:w="2512" w:type="dxa"/>
            <w:vAlign w:val="center"/>
          </w:tcPr>
          <w:p w14:paraId="729C8980">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w:t>
            </w:r>
          </w:p>
        </w:tc>
      </w:tr>
      <w:tr w14:paraId="34458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1135" w:type="dxa"/>
            <w:vAlign w:val="center"/>
          </w:tcPr>
          <w:p w14:paraId="5A65C65F">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固体废物</w:t>
            </w:r>
          </w:p>
        </w:tc>
        <w:tc>
          <w:tcPr>
            <w:tcW w:w="8468" w:type="dxa"/>
            <w:gridSpan w:val="4"/>
            <w:vAlign w:val="center"/>
          </w:tcPr>
          <w:p w14:paraId="378F7F6F">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eastAsia="宋体"/>
                <w:color w:val="auto"/>
                <w:sz w:val="21"/>
                <w:szCs w:val="21"/>
                <w:lang w:val="en-US" w:eastAsia="zh-CN"/>
              </w:rPr>
            </w:pPr>
            <w:r>
              <w:rPr>
                <w:rFonts w:hint="default" w:ascii="Times New Roman" w:hAnsi="Times New Roman" w:eastAsia="宋体" w:cs="Times New Roman"/>
                <w:color w:val="auto"/>
                <w:kern w:val="0"/>
                <w:sz w:val="21"/>
                <w:szCs w:val="21"/>
                <w:lang w:eastAsia="zh-CN"/>
              </w:rPr>
              <w:t>生活垃圾经袋装或桶装分类收集后委托环卫部门统一处理；废包装材料、除尘器收集粉尘分类收集后外售综合利用；</w:t>
            </w:r>
            <w:r>
              <w:rPr>
                <w:rFonts w:hint="default" w:ascii="Times New Roman" w:hAnsi="Times New Roman" w:eastAsia="宋体" w:cs="Times New Roman"/>
                <w:color w:val="auto"/>
                <w:kern w:val="0"/>
                <w:sz w:val="21"/>
                <w:szCs w:val="21"/>
                <w:lang w:val="en-US" w:eastAsia="zh-CN"/>
              </w:rPr>
              <w:t>金检不合格品收集后由回收公司处置；粉状类包装不合格品回用于生产工序，饮品及果冻类产品集中收集后交由回收公司处理</w:t>
            </w:r>
            <w:r>
              <w:rPr>
                <w:rFonts w:hint="default" w:ascii="Times New Roman" w:hAnsi="Times New Roman" w:eastAsia="宋体" w:cs="Times New Roman"/>
                <w:color w:val="auto"/>
                <w:kern w:val="0"/>
                <w:sz w:val="21"/>
                <w:szCs w:val="21"/>
                <w:lang w:eastAsia="zh-CN"/>
              </w:rPr>
              <w:t>；废滤芯由厂家回收利用；</w:t>
            </w:r>
            <w:r>
              <w:rPr>
                <w:rFonts w:hint="default" w:ascii="Times New Roman" w:hAnsi="Times New Roman" w:eastAsia="宋体" w:cs="Times New Roman"/>
                <w:color w:val="auto"/>
                <w:kern w:val="0"/>
                <w:sz w:val="21"/>
                <w:szCs w:val="21"/>
                <w:lang w:val="en-US" w:eastAsia="zh-CN"/>
              </w:rPr>
              <w:t>污水站污泥委托处理</w:t>
            </w:r>
            <w:r>
              <w:rPr>
                <w:rFonts w:hint="eastAsia" w:cs="Times New Roman"/>
                <w:color w:val="auto"/>
                <w:kern w:val="0"/>
                <w:sz w:val="21"/>
                <w:szCs w:val="21"/>
                <w:lang w:val="en-US" w:eastAsia="zh-CN"/>
              </w:rPr>
              <w:t>；</w:t>
            </w:r>
            <w:r>
              <w:rPr>
                <w:rFonts w:hint="eastAsia" w:ascii="Times New Roman" w:hAnsi="Times New Roman" w:eastAsia="宋体" w:cs="Times New Roman"/>
                <w:color w:val="auto"/>
                <w:szCs w:val="21"/>
                <w:highlight w:val="none"/>
                <w:lang w:val="en-US" w:eastAsia="zh-CN"/>
              </w:rPr>
              <w:t>实验室废液厂区暂存后委托有资质单位处置。</w:t>
            </w:r>
          </w:p>
        </w:tc>
      </w:tr>
      <w:tr w14:paraId="4C817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135" w:type="dxa"/>
            <w:vAlign w:val="center"/>
          </w:tcPr>
          <w:p w14:paraId="3D6447DF">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地下水及土壤污染防治措施</w:t>
            </w:r>
          </w:p>
        </w:tc>
        <w:tc>
          <w:tcPr>
            <w:tcW w:w="8468" w:type="dxa"/>
            <w:gridSpan w:val="4"/>
            <w:vAlign w:val="center"/>
          </w:tcPr>
          <w:p w14:paraId="53DD7D89">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Style w:val="41"/>
                <w:rFonts w:hint="eastAsia"/>
                <w:color w:val="auto"/>
                <w:kern w:val="0"/>
                <w:sz w:val="21"/>
                <w:szCs w:val="21"/>
              </w:rPr>
              <w:t>厂区内采取分区防渗的措施，</w:t>
            </w:r>
            <w:r>
              <w:rPr>
                <w:rFonts w:hint="default"/>
                <w:color w:val="auto"/>
                <w:sz w:val="21"/>
                <w:szCs w:val="21"/>
              </w:rPr>
              <w:t>重点</w:t>
            </w:r>
            <w:r>
              <w:rPr>
                <w:rFonts w:hint="eastAsia"/>
                <w:color w:val="auto"/>
                <w:sz w:val="21"/>
                <w:szCs w:val="21"/>
                <w:lang w:val="en-US" w:eastAsia="zh-CN"/>
              </w:rPr>
              <w:t>防渗</w:t>
            </w:r>
            <w:r>
              <w:rPr>
                <w:rFonts w:hint="default"/>
                <w:color w:val="auto"/>
                <w:sz w:val="21"/>
                <w:szCs w:val="21"/>
              </w:rPr>
              <w:t>区包括</w:t>
            </w:r>
            <w:r>
              <w:rPr>
                <w:rFonts w:hint="eastAsia"/>
                <w:color w:val="auto"/>
                <w:sz w:val="21"/>
                <w:szCs w:val="21"/>
                <w:lang w:val="en-US" w:eastAsia="zh-CN"/>
              </w:rPr>
              <w:t>废水处理设施、危废暂存间</w:t>
            </w:r>
            <w:r>
              <w:rPr>
                <w:rFonts w:hint="default"/>
                <w:color w:val="auto"/>
                <w:sz w:val="21"/>
                <w:szCs w:val="21"/>
              </w:rPr>
              <w:t>，其</w:t>
            </w:r>
            <w:r>
              <w:rPr>
                <w:rFonts w:hint="eastAsia"/>
                <w:color w:val="auto"/>
                <w:sz w:val="21"/>
                <w:szCs w:val="21"/>
                <w:lang w:val="en-US" w:eastAsia="zh-CN"/>
              </w:rPr>
              <w:t>等</w:t>
            </w:r>
            <w:r>
              <w:rPr>
                <w:rFonts w:hint="default"/>
                <w:color w:val="auto"/>
                <w:sz w:val="21"/>
                <w:szCs w:val="21"/>
              </w:rPr>
              <w:t>效黏土防渗层Mb≥6.0m，K≤1×10</w:t>
            </w:r>
            <w:r>
              <w:rPr>
                <w:rFonts w:hint="default"/>
                <w:color w:val="auto"/>
                <w:sz w:val="21"/>
                <w:szCs w:val="21"/>
                <w:vertAlign w:val="superscript"/>
              </w:rPr>
              <w:t>-</w:t>
            </w:r>
            <w:r>
              <w:rPr>
                <w:rFonts w:hint="eastAsia"/>
                <w:color w:val="auto"/>
                <w:sz w:val="21"/>
                <w:szCs w:val="21"/>
                <w:vertAlign w:val="superscript"/>
                <w:lang w:val="en-US" w:eastAsia="zh-CN"/>
              </w:rPr>
              <w:t>10</w:t>
            </w:r>
            <w:r>
              <w:rPr>
                <w:rFonts w:hint="default"/>
                <w:color w:val="auto"/>
                <w:sz w:val="21"/>
                <w:szCs w:val="21"/>
              </w:rPr>
              <w:t>cm/s；一般防渗区，主要包括</w:t>
            </w:r>
            <w:r>
              <w:rPr>
                <w:rFonts w:hint="eastAsia"/>
                <w:color w:val="auto"/>
                <w:sz w:val="21"/>
                <w:szCs w:val="21"/>
                <w:lang w:val="en-US" w:eastAsia="zh-CN"/>
              </w:rPr>
              <w:t>其他生产车间</w:t>
            </w:r>
            <w:r>
              <w:rPr>
                <w:rFonts w:hint="eastAsia"/>
                <w:color w:val="auto"/>
                <w:sz w:val="21"/>
                <w:szCs w:val="21"/>
              </w:rPr>
              <w:t>区域</w:t>
            </w:r>
            <w:r>
              <w:rPr>
                <w:rFonts w:hint="default"/>
                <w:color w:val="auto"/>
                <w:sz w:val="21"/>
                <w:szCs w:val="21"/>
              </w:rPr>
              <w:t>等，其等效黏土防渗层Mb≥1.5m，K≤1×10</w:t>
            </w:r>
            <w:r>
              <w:rPr>
                <w:rFonts w:hint="default"/>
                <w:color w:val="auto"/>
                <w:sz w:val="21"/>
                <w:szCs w:val="21"/>
                <w:vertAlign w:val="superscript"/>
              </w:rPr>
              <w:t>-7</w:t>
            </w:r>
            <w:r>
              <w:rPr>
                <w:rFonts w:hint="default"/>
                <w:color w:val="auto"/>
                <w:sz w:val="21"/>
                <w:szCs w:val="21"/>
              </w:rPr>
              <w:t>cm/s；简单防渗区，主要包括</w:t>
            </w:r>
            <w:r>
              <w:rPr>
                <w:rFonts w:hint="eastAsia"/>
                <w:color w:val="auto"/>
                <w:sz w:val="21"/>
                <w:szCs w:val="21"/>
                <w:lang w:val="en-US" w:eastAsia="zh-CN"/>
              </w:rPr>
              <w:t>厂区道路（依托租赁）</w:t>
            </w:r>
            <w:r>
              <w:rPr>
                <w:rFonts w:hint="default"/>
                <w:color w:val="auto"/>
                <w:sz w:val="21"/>
                <w:szCs w:val="21"/>
                <w:lang w:val="zh-CN"/>
              </w:rPr>
              <w:t>等，采取一般地面硬化的措施</w:t>
            </w:r>
          </w:p>
        </w:tc>
      </w:tr>
      <w:tr w14:paraId="0F52B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135" w:type="dxa"/>
            <w:vAlign w:val="center"/>
          </w:tcPr>
          <w:p w14:paraId="22B687C7">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生态保护措施</w:t>
            </w:r>
          </w:p>
        </w:tc>
        <w:tc>
          <w:tcPr>
            <w:tcW w:w="8468" w:type="dxa"/>
            <w:gridSpan w:val="4"/>
            <w:vAlign w:val="center"/>
          </w:tcPr>
          <w:p w14:paraId="0D432AD1">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无</w:t>
            </w:r>
          </w:p>
        </w:tc>
      </w:tr>
      <w:tr w14:paraId="49A43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1135" w:type="dxa"/>
            <w:vAlign w:val="center"/>
          </w:tcPr>
          <w:p w14:paraId="7D864CE6">
            <w:pPr>
              <w:keepNext w:val="0"/>
              <w:keepLines w:val="0"/>
              <w:suppressLineNumbers w:val="0"/>
              <w:adjustRightInd w:val="0"/>
              <w:snapToGrid w:val="0"/>
              <w:spacing w:before="0" w:beforeAutospacing="0" w:after="0" w:afterAutospacing="0"/>
              <w:ind w:left="0" w:right="0"/>
              <w:jc w:val="center"/>
              <w:rPr>
                <w:rFonts w:hint="default"/>
                <w:b/>
                <w:color w:val="auto"/>
                <w:spacing w:val="-8"/>
                <w:sz w:val="21"/>
                <w:szCs w:val="21"/>
              </w:rPr>
            </w:pPr>
            <w:r>
              <w:rPr>
                <w:rFonts w:hint="default"/>
                <w:b/>
                <w:color w:val="auto"/>
                <w:spacing w:val="-8"/>
                <w:sz w:val="21"/>
                <w:szCs w:val="21"/>
              </w:rPr>
              <w:t>环境风险防范措施</w:t>
            </w:r>
          </w:p>
        </w:tc>
        <w:tc>
          <w:tcPr>
            <w:tcW w:w="8468" w:type="dxa"/>
            <w:gridSpan w:val="4"/>
            <w:vAlign w:val="center"/>
          </w:tcPr>
          <w:p w14:paraId="264DDD13">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eastAsia"/>
                <w:color w:val="auto"/>
                <w:sz w:val="21"/>
                <w:szCs w:val="21"/>
              </w:rPr>
              <w:t>废</w:t>
            </w:r>
            <w:r>
              <w:rPr>
                <w:rFonts w:hint="eastAsia"/>
                <w:color w:val="auto"/>
                <w:sz w:val="21"/>
                <w:szCs w:val="21"/>
                <w:lang w:val="en-US" w:eastAsia="zh-CN"/>
              </w:rPr>
              <w:t>气</w:t>
            </w:r>
            <w:r>
              <w:rPr>
                <w:rFonts w:hint="eastAsia"/>
                <w:color w:val="auto"/>
                <w:sz w:val="21"/>
                <w:szCs w:val="21"/>
              </w:rPr>
              <w:t>治理设施故障防范措施</w:t>
            </w:r>
            <w:r>
              <w:rPr>
                <w:rFonts w:hint="eastAsia"/>
                <w:color w:val="auto"/>
                <w:sz w:val="21"/>
                <w:szCs w:val="21"/>
                <w:lang w:eastAsia="zh-CN"/>
              </w:rPr>
              <w:t>；</w:t>
            </w:r>
            <w:r>
              <w:rPr>
                <w:rFonts w:hint="eastAsia"/>
                <w:color w:val="auto"/>
                <w:sz w:val="21"/>
                <w:szCs w:val="21"/>
              </w:rPr>
              <w:t>废</w:t>
            </w:r>
            <w:r>
              <w:rPr>
                <w:rFonts w:hint="eastAsia"/>
                <w:color w:val="auto"/>
                <w:sz w:val="21"/>
                <w:szCs w:val="21"/>
                <w:lang w:val="en-US" w:eastAsia="zh-CN"/>
              </w:rPr>
              <w:t>水</w:t>
            </w:r>
            <w:r>
              <w:rPr>
                <w:rFonts w:hint="eastAsia"/>
                <w:color w:val="auto"/>
                <w:sz w:val="21"/>
                <w:szCs w:val="21"/>
              </w:rPr>
              <w:t>治理设施故障防范措施；</w:t>
            </w:r>
            <w:r>
              <w:rPr>
                <w:rFonts w:hint="eastAsia"/>
                <w:color w:val="auto"/>
                <w:sz w:val="21"/>
                <w:szCs w:val="21"/>
                <w:lang w:val="en-US" w:eastAsia="zh-CN"/>
              </w:rPr>
              <w:t>厂区火灾</w:t>
            </w:r>
            <w:r>
              <w:rPr>
                <w:rFonts w:hint="eastAsia"/>
                <w:color w:val="auto"/>
                <w:sz w:val="21"/>
                <w:szCs w:val="21"/>
              </w:rPr>
              <w:t>的风险防范措施</w:t>
            </w:r>
          </w:p>
        </w:tc>
      </w:tr>
      <w:tr w14:paraId="03BCF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2" w:hRule="atLeast"/>
          <w:jc w:val="center"/>
        </w:trPr>
        <w:tc>
          <w:tcPr>
            <w:tcW w:w="1135" w:type="dxa"/>
            <w:vAlign w:val="center"/>
          </w:tcPr>
          <w:p w14:paraId="1FE8D073">
            <w:pPr>
              <w:keepNext w:val="0"/>
              <w:keepLines w:val="0"/>
              <w:suppressLineNumbers w:val="0"/>
              <w:adjustRightInd w:val="0"/>
              <w:snapToGrid w:val="0"/>
              <w:spacing w:before="0" w:beforeAutospacing="0" w:after="0" w:afterAutospacing="0"/>
              <w:ind w:left="0" w:right="0"/>
              <w:jc w:val="center"/>
              <w:rPr>
                <w:rFonts w:hint="default"/>
                <w:b/>
                <w:color w:val="auto"/>
                <w:spacing w:val="-8"/>
                <w:sz w:val="21"/>
                <w:szCs w:val="21"/>
              </w:rPr>
            </w:pPr>
            <w:r>
              <w:rPr>
                <w:rFonts w:hint="default"/>
                <w:b/>
                <w:color w:val="auto"/>
                <w:spacing w:val="-8"/>
                <w:sz w:val="21"/>
                <w:szCs w:val="21"/>
              </w:rPr>
              <w:t>其他环境</w:t>
            </w:r>
          </w:p>
          <w:p w14:paraId="02D9A486">
            <w:pPr>
              <w:keepNext w:val="0"/>
              <w:keepLines w:val="0"/>
              <w:suppressLineNumbers w:val="0"/>
              <w:adjustRightInd w:val="0"/>
              <w:snapToGrid w:val="0"/>
              <w:spacing w:before="0" w:beforeAutospacing="0" w:after="0" w:afterAutospacing="0"/>
              <w:ind w:left="0" w:right="0"/>
              <w:jc w:val="center"/>
              <w:rPr>
                <w:rFonts w:hint="default"/>
                <w:b/>
                <w:color w:val="auto"/>
                <w:spacing w:val="-8"/>
                <w:sz w:val="21"/>
                <w:szCs w:val="21"/>
              </w:rPr>
            </w:pPr>
            <w:r>
              <w:rPr>
                <w:rFonts w:hint="default"/>
                <w:b/>
                <w:color w:val="auto"/>
                <w:spacing w:val="-8"/>
                <w:sz w:val="21"/>
                <w:szCs w:val="21"/>
              </w:rPr>
              <w:t>管理要求</w:t>
            </w:r>
          </w:p>
        </w:tc>
        <w:tc>
          <w:tcPr>
            <w:tcW w:w="8468" w:type="dxa"/>
            <w:gridSpan w:val="4"/>
            <w:vAlign w:val="center"/>
          </w:tcPr>
          <w:p w14:paraId="52372B0F">
            <w:pPr>
              <w:pStyle w:val="8"/>
              <w:keepNext w:val="0"/>
              <w:keepLines w:val="0"/>
              <w:suppressLineNumbers w:val="0"/>
              <w:spacing w:before="0" w:beforeAutospacing="0" w:after="0" w:afterAutospacing="0"/>
              <w:ind w:left="105" w:leftChars="50" w:right="105" w:rightChars="50"/>
              <w:rPr>
                <w:rFonts w:hint="default"/>
                <w:color w:val="auto"/>
                <w:sz w:val="21"/>
                <w:szCs w:val="21"/>
              </w:rPr>
            </w:pPr>
            <w:r>
              <w:rPr>
                <w:rFonts w:hint="default"/>
                <w:color w:val="auto"/>
                <w:sz w:val="21"/>
                <w:szCs w:val="21"/>
              </w:rPr>
              <w:t>《中华人民共和国环境保护法》明确指出，我国环境保护的任务是保证在社会主义现代化建设中，合理利用自然资源，防止环境污染和生态破坏，为人民创造清洁适宜的生活和劳动环境，保护人民健康，促进经济发展。</w:t>
            </w:r>
          </w:p>
          <w:p w14:paraId="5CE8756F">
            <w:pPr>
              <w:pStyle w:val="8"/>
              <w:keepNext w:val="0"/>
              <w:keepLines w:val="0"/>
              <w:suppressLineNumbers w:val="0"/>
              <w:spacing w:before="0" w:beforeAutospacing="0" w:after="0" w:afterAutospacing="0"/>
              <w:ind w:left="105" w:leftChars="50" w:right="105" w:rightChars="50"/>
              <w:rPr>
                <w:rFonts w:hint="default"/>
                <w:color w:val="auto"/>
                <w:sz w:val="21"/>
                <w:szCs w:val="21"/>
              </w:rPr>
            </w:pPr>
            <w:r>
              <w:rPr>
                <w:rFonts w:hint="default"/>
                <w:color w:val="auto"/>
                <w:sz w:val="21"/>
                <w:szCs w:val="21"/>
              </w:rPr>
              <w:t>因此，本建设单位设立环境管理机构，负责项目运营期的环境管理工作，其主要的职责与功能如下：</w:t>
            </w:r>
          </w:p>
          <w:p w14:paraId="6C11ABDE">
            <w:pPr>
              <w:pStyle w:val="8"/>
              <w:keepNext w:val="0"/>
              <w:keepLines w:val="0"/>
              <w:numPr>
                <w:ilvl w:val="0"/>
                <w:numId w:val="26"/>
              </w:numPr>
              <w:suppressLineNumbers w:val="0"/>
              <w:spacing w:before="0" w:beforeAutospacing="0" w:after="0" w:afterAutospacing="0"/>
              <w:ind w:left="105" w:leftChars="50" w:right="105" w:rightChars="50"/>
              <w:rPr>
                <w:rFonts w:hint="eastAsia"/>
                <w:color w:val="auto"/>
                <w:sz w:val="21"/>
                <w:szCs w:val="21"/>
              </w:rPr>
            </w:pPr>
            <w:r>
              <w:rPr>
                <w:rFonts w:hint="default"/>
                <w:color w:val="auto"/>
                <w:sz w:val="21"/>
                <w:szCs w:val="21"/>
              </w:rPr>
              <w:t>应尽快按照</w:t>
            </w:r>
            <w:r>
              <w:rPr>
                <w:rFonts w:hint="eastAsia"/>
                <w:color w:val="auto"/>
                <w:sz w:val="21"/>
                <w:szCs w:val="21"/>
                <w:lang w:val="en-US" w:eastAsia="zh-CN"/>
              </w:rPr>
              <w:t>《排污单位自行监测技术指南 食品制造》（HJ1084-2020）、《排污许可证申请与核发技术规范酒、饮料制造工业》（HJ1028-2019），在正式排污前进行排污许可登记</w:t>
            </w:r>
            <w:r>
              <w:rPr>
                <w:rFonts w:hint="default"/>
                <w:color w:val="auto"/>
                <w:sz w:val="21"/>
                <w:szCs w:val="21"/>
              </w:rPr>
              <w:t>。</w:t>
            </w:r>
          </w:p>
          <w:p w14:paraId="317A0B87">
            <w:pPr>
              <w:pStyle w:val="8"/>
              <w:keepNext w:val="0"/>
              <w:keepLines w:val="0"/>
              <w:suppressLineNumbers w:val="0"/>
              <w:spacing w:before="0" w:beforeAutospacing="0" w:after="0" w:afterAutospacing="0"/>
              <w:ind w:left="105" w:leftChars="50" w:right="105" w:rightChars="50"/>
              <w:rPr>
                <w:rFonts w:hint="default"/>
                <w:color w:val="auto"/>
                <w:sz w:val="21"/>
                <w:szCs w:val="21"/>
              </w:rPr>
            </w:pPr>
            <w:r>
              <w:rPr>
                <w:rFonts w:hint="default"/>
                <w:color w:val="auto"/>
                <w:sz w:val="21"/>
                <w:szCs w:val="21"/>
              </w:rPr>
              <w:t>（2）项目环保竣工验收：建设单位应根据环保竣工验收相关要求，自主开展相关工作。建设项目配套建设的环境保护设施经验收合格，方可投入生产或者使用，未经验收或者验收不合格的，不得投入生产或者使用。</w:t>
            </w:r>
          </w:p>
          <w:p w14:paraId="11EC37D6">
            <w:pPr>
              <w:pStyle w:val="8"/>
              <w:keepNext w:val="0"/>
              <w:keepLines w:val="0"/>
              <w:suppressLineNumbers w:val="0"/>
              <w:spacing w:before="0" w:beforeAutospacing="0" w:after="0" w:afterAutospacing="0"/>
              <w:ind w:left="105" w:leftChars="50" w:right="105" w:rightChars="50"/>
              <w:rPr>
                <w:rFonts w:hint="default"/>
                <w:color w:val="auto"/>
                <w:sz w:val="21"/>
                <w:szCs w:val="21"/>
              </w:rPr>
            </w:pPr>
            <w:r>
              <w:rPr>
                <w:rFonts w:hint="default"/>
                <w:color w:val="auto"/>
                <w:sz w:val="21"/>
                <w:szCs w:val="21"/>
              </w:rPr>
              <w:t>（3）在运营期，项目环境管理部门负责检查厂区</w:t>
            </w:r>
            <w:r>
              <w:rPr>
                <w:rFonts w:hint="eastAsia"/>
                <w:color w:val="auto"/>
                <w:sz w:val="21"/>
                <w:szCs w:val="21"/>
                <w:lang w:val="en-US" w:eastAsia="zh-CN"/>
              </w:rPr>
              <w:t>废水处理设施</w:t>
            </w:r>
            <w:r>
              <w:rPr>
                <w:rFonts w:hint="eastAsia"/>
                <w:color w:val="auto"/>
                <w:sz w:val="21"/>
                <w:szCs w:val="21"/>
              </w:rPr>
              <w:t>等环保设施</w:t>
            </w:r>
            <w:r>
              <w:rPr>
                <w:rFonts w:hint="default"/>
                <w:color w:val="auto"/>
                <w:sz w:val="21"/>
                <w:szCs w:val="21"/>
              </w:rPr>
              <w:t>的运行情况，确保其有效运行，如有故障应及时维修或更换。</w:t>
            </w:r>
          </w:p>
          <w:p w14:paraId="00DC8DAA">
            <w:pPr>
              <w:pStyle w:val="8"/>
              <w:keepNext w:val="0"/>
              <w:keepLines w:val="0"/>
              <w:suppressLineNumbers w:val="0"/>
              <w:spacing w:before="0" w:beforeAutospacing="0" w:after="0" w:afterAutospacing="0"/>
              <w:ind w:left="105" w:leftChars="50" w:right="105" w:rightChars="50"/>
              <w:rPr>
                <w:rFonts w:hint="eastAsia" w:eastAsia="宋体"/>
                <w:color w:val="auto"/>
                <w:sz w:val="21"/>
                <w:szCs w:val="21"/>
                <w:lang w:eastAsia="zh-CN"/>
              </w:rPr>
            </w:pPr>
            <w:r>
              <w:rPr>
                <w:rFonts w:hint="default"/>
                <w:color w:val="auto"/>
                <w:sz w:val="21"/>
                <w:szCs w:val="21"/>
              </w:rPr>
              <w:t>（4）加强项目原辅生产材料、固废和危废的管理工作</w:t>
            </w:r>
            <w:r>
              <w:rPr>
                <w:rFonts w:hint="eastAsia"/>
                <w:color w:val="auto"/>
                <w:sz w:val="21"/>
                <w:szCs w:val="21"/>
                <w:lang w:eastAsia="zh-CN"/>
              </w:rPr>
              <w:t>。</w:t>
            </w:r>
          </w:p>
        </w:tc>
      </w:tr>
    </w:tbl>
    <w:p w14:paraId="7D954192">
      <w:pPr>
        <w:pStyle w:val="31"/>
        <w:spacing w:before="0" w:beforeAutospacing="0" w:after="0" w:afterAutospacing="0" w:line="276" w:lineRule="auto"/>
        <w:jc w:val="center"/>
        <w:outlineLvl w:val="0"/>
        <w:rPr>
          <w:rFonts w:ascii="Times New Roman" w:hAnsi="Times New Roman"/>
          <w:snapToGrid w:val="0"/>
          <w:sz w:val="30"/>
          <w:szCs w:val="30"/>
        </w:rPr>
      </w:pPr>
      <w:r>
        <w:rPr>
          <w:rFonts w:ascii="Times New Roman" w:hAnsi="Times New Roman"/>
          <w:snapToGrid w:val="0"/>
        </w:rPr>
        <w:br w:type="page"/>
      </w:r>
      <w:r>
        <w:rPr>
          <w:rFonts w:ascii="Times New Roman" w:hAnsi="Times New Roman"/>
          <w:snapToGrid w:val="0"/>
          <w:sz w:val="30"/>
          <w:szCs w:val="30"/>
        </w:rPr>
        <w:t>六、结论</w:t>
      </w:r>
    </w:p>
    <w:tbl>
      <w:tblPr>
        <w:tblStyle w:val="35"/>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577"/>
      </w:tblGrid>
      <w:tr w14:paraId="2AFD656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778" w:hRule="atLeast"/>
          <w:jc w:val="center"/>
        </w:trPr>
        <w:tc>
          <w:tcPr>
            <w:tcW w:w="9577" w:type="dxa"/>
          </w:tcPr>
          <w:p w14:paraId="78C8B136">
            <w:pPr>
              <w:keepNext w:val="0"/>
              <w:keepLines w:val="0"/>
              <w:suppressLineNumbers w:val="0"/>
              <w:spacing w:before="0" w:beforeAutospacing="0" w:after="0" w:afterAutospacing="0" w:line="360" w:lineRule="auto"/>
              <w:ind w:left="0" w:right="0" w:firstLine="480" w:firstLineChars="200"/>
              <w:rPr>
                <w:rFonts w:hint="eastAsia"/>
                <w:sz w:val="24"/>
              </w:rPr>
            </w:pPr>
            <w:r>
              <w:rPr>
                <w:rFonts w:hint="default"/>
                <w:sz w:val="24"/>
              </w:rPr>
              <w:t>综上所述，</w:t>
            </w:r>
            <w:r>
              <w:rPr>
                <w:rFonts w:hint="default"/>
                <w:sz w:val="24"/>
                <w:lang w:val="en-US" w:eastAsia="zh-CN"/>
              </w:rPr>
              <w:t>益生菌、运动营养及保健食品柔性生产线升级技改项目</w:t>
            </w:r>
            <w:r>
              <w:rPr>
                <w:rFonts w:hint="default"/>
                <w:sz w:val="24"/>
              </w:rPr>
              <w:t>的建设符合国家产业政策，项目选址符合当地规划要求。项目所在区域大气环境判定为不达标区域，地方政府已提出相应的大气污染物削减方案，所在区地表水以及声环境质量现状良好</w:t>
            </w:r>
            <w:r>
              <w:rPr>
                <w:rFonts w:hint="eastAsia"/>
                <w:sz w:val="24"/>
              </w:rPr>
              <w:t>。</w:t>
            </w:r>
            <w:r>
              <w:rPr>
                <w:rFonts w:hint="default"/>
                <w:spacing w:val="2"/>
                <w:sz w:val="24"/>
              </w:rPr>
              <w:t>本项目</w:t>
            </w:r>
            <w:r>
              <w:rPr>
                <w:rFonts w:hint="eastAsia"/>
                <w:spacing w:val="2"/>
                <w:sz w:val="24"/>
              </w:rPr>
              <w:t>建成后落实本环评</w:t>
            </w:r>
            <w:r>
              <w:rPr>
                <w:rFonts w:hint="default"/>
                <w:kern w:val="0"/>
                <w:sz w:val="24"/>
              </w:rPr>
              <w:t>所提出的各项污染防治措施，</w:t>
            </w:r>
            <w:r>
              <w:rPr>
                <w:rFonts w:hint="eastAsia"/>
                <w:kern w:val="0"/>
                <w:sz w:val="24"/>
              </w:rPr>
              <w:t>在</w:t>
            </w:r>
            <w:r>
              <w:rPr>
                <w:rFonts w:hint="default"/>
                <w:kern w:val="0"/>
                <w:sz w:val="24"/>
              </w:rPr>
              <w:t>各项污染防治措施</w:t>
            </w:r>
            <w:r>
              <w:rPr>
                <w:rFonts w:hint="eastAsia"/>
                <w:kern w:val="0"/>
                <w:sz w:val="24"/>
              </w:rPr>
              <w:t>正常运行且各项污染物达标排放情况下，对周围环境影响较小；在切实采取相应风险防范措施和应急预案的前提下，环境风险可控；</w:t>
            </w:r>
            <w:r>
              <w:rPr>
                <w:rFonts w:hint="default"/>
                <w:kern w:val="0"/>
                <w:sz w:val="24"/>
              </w:rPr>
              <w:t>从环境影响角度</w:t>
            </w:r>
            <w:r>
              <w:rPr>
                <w:rFonts w:hint="eastAsia"/>
                <w:kern w:val="0"/>
                <w:sz w:val="24"/>
              </w:rPr>
              <w:t>分析</w:t>
            </w:r>
            <w:r>
              <w:rPr>
                <w:rFonts w:hint="default"/>
                <w:kern w:val="0"/>
                <w:sz w:val="24"/>
              </w:rPr>
              <w:t>，</w:t>
            </w:r>
            <w:r>
              <w:rPr>
                <w:rFonts w:hint="eastAsia"/>
                <w:kern w:val="0"/>
                <w:sz w:val="24"/>
              </w:rPr>
              <w:t>本次</w:t>
            </w:r>
            <w:r>
              <w:rPr>
                <w:rFonts w:hint="eastAsia" w:ascii="宋体"/>
                <w:sz w:val="24"/>
              </w:rPr>
              <w:t>项目</w:t>
            </w:r>
            <w:r>
              <w:rPr>
                <w:rFonts w:hint="default"/>
                <w:kern w:val="0"/>
                <w:sz w:val="24"/>
              </w:rPr>
              <w:t>建设可行</w:t>
            </w:r>
            <w:r>
              <w:rPr>
                <w:rFonts w:hint="eastAsia"/>
                <w:kern w:val="0"/>
                <w:sz w:val="24"/>
              </w:rPr>
              <w:t>。</w:t>
            </w:r>
          </w:p>
          <w:p w14:paraId="12FA0AAC">
            <w:pPr>
              <w:keepNext w:val="0"/>
              <w:keepLines w:val="0"/>
              <w:suppressLineNumbers w:val="0"/>
              <w:spacing w:before="0" w:beforeAutospacing="0" w:after="0" w:afterAutospacing="0" w:line="360" w:lineRule="auto"/>
              <w:ind w:left="0" w:right="0"/>
              <w:rPr>
                <w:rFonts w:hint="eastAsia" w:ascii="宋体" w:hAnsi="宋体" w:cs="宋体"/>
                <w:sz w:val="24"/>
              </w:rPr>
            </w:pPr>
          </w:p>
          <w:p w14:paraId="09004DC9">
            <w:pPr>
              <w:keepNext w:val="0"/>
              <w:keepLines w:val="0"/>
              <w:suppressLineNumbers w:val="0"/>
              <w:spacing w:before="0" w:beforeAutospacing="0" w:after="0" w:afterAutospacing="0" w:line="360" w:lineRule="auto"/>
              <w:ind w:left="0" w:right="0"/>
              <w:rPr>
                <w:rFonts w:hint="eastAsia" w:ascii="宋体" w:hAnsi="宋体" w:cs="宋体"/>
                <w:sz w:val="24"/>
              </w:rPr>
            </w:pPr>
          </w:p>
          <w:p w14:paraId="2F958B45">
            <w:pPr>
              <w:keepNext w:val="0"/>
              <w:keepLines w:val="0"/>
              <w:suppressLineNumbers w:val="0"/>
              <w:spacing w:before="0" w:beforeAutospacing="0" w:after="0" w:afterAutospacing="0" w:line="360" w:lineRule="auto"/>
              <w:ind w:left="0" w:right="0"/>
              <w:rPr>
                <w:rFonts w:hint="eastAsia" w:ascii="宋体" w:hAnsi="宋体" w:cs="宋体"/>
                <w:sz w:val="24"/>
              </w:rPr>
            </w:pPr>
          </w:p>
          <w:p w14:paraId="456037F0">
            <w:pPr>
              <w:keepNext w:val="0"/>
              <w:keepLines w:val="0"/>
              <w:suppressLineNumbers w:val="0"/>
              <w:spacing w:before="0" w:beforeAutospacing="0" w:after="0" w:afterAutospacing="0" w:line="360" w:lineRule="auto"/>
              <w:ind w:left="0" w:right="0"/>
              <w:rPr>
                <w:rFonts w:hint="eastAsia" w:ascii="宋体" w:hAnsi="宋体" w:cs="宋体"/>
                <w:sz w:val="24"/>
              </w:rPr>
            </w:pPr>
          </w:p>
          <w:p w14:paraId="68C34E57">
            <w:pPr>
              <w:keepNext w:val="0"/>
              <w:keepLines w:val="0"/>
              <w:suppressLineNumbers w:val="0"/>
              <w:spacing w:before="0" w:beforeAutospacing="0" w:after="0" w:afterAutospacing="0" w:line="360" w:lineRule="auto"/>
              <w:ind w:left="0" w:right="0"/>
              <w:rPr>
                <w:rFonts w:hint="eastAsia" w:ascii="宋体" w:hAnsi="宋体" w:cs="宋体"/>
                <w:sz w:val="24"/>
              </w:rPr>
            </w:pPr>
          </w:p>
          <w:p w14:paraId="543AEDB1">
            <w:pPr>
              <w:keepNext w:val="0"/>
              <w:keepLines w:val="0"/>
              <w:suppressLineNumbers w:val="0"/>
              <w:spacing w:before="0" w:beforeAutospacing="0" w:after="0" w:afterAutospacing="0" w:line="360" w:lineRule="auto"/>
              <w:ind w:left="0" w:right="0"/>
              <w:rPr>
                <w:rFonts w:hint="eastAsia" w:ascii="宋体" w:hAnsi="宋体" w:cs="宋体"/>
                <w:sz w:val="24"/>
              </w:rPr>
            </w:pPr>
          </w:p>
          <w:p w14:paraId="6E04563E">
            <w:pPr>
              <w:keepNext w:val="0"/>
              <w:keepLines w:val="0"/>
              <w:suppressLineNumbers w:val="0"/>
              <w:spacing w:before="0" w:beforeAutospacing="0" w:after="0" w:afterAutospacing="0" w:line="360" w:lineRule="auto"/>
              <w:ind w:left="0" w:right="0"/>
              <w:rPr>
                <w:rFonts w:hint="eastAsia" w:ascii="宋体" w:hAnsi="宋体" w:cs="宋体"/>
                <w:sz w:val="24"/>
              </w:rPr>
            </w:pPr>
          </w:p>
          <w:p w14:paraId="3B416359">
            <w:pPr>
              <w:keepNext w:val="0"/>
              <w:keepLines w:val="0"/>
              <w:suppressLineNumbers w:val="0"/>
              <w:spacing w:before="0" w:beforeAutospacing="0" w:after="0" w:afterAutospacing="0" w:line="360" w:lineRule="auto"/>
              <w:ind w:left="0" w:right="0"/>
              <w:rPr>
                <w:rFonts w:hint="eastAsia" w:ascii="宋体" w:hAnsi="宋体" w:cs="宋体"/>
                <w:sz w:val="24"/>
              </w:rPr>
            </w:pPr>
          </w:p>
          <w:p w14:paraId="636FEDE8">
            <w:pPr>
              <w:keepNext w:val="0"/>
              <w:keepLines w:val="0"/>
              <w:suppressLineNumbers w:val="0"/>
              <w:spacing w:before="0" w:beforeAutospacing="0" w:after="0" w:afterAutospacing="0" w:line="360" w:lineRule="auto"/>
              <w:ind w:left="0" w:right="0"/>
              <w:rPr>
                <w:rFonts w:hint="eastAsia" w:ascii="宋体" w:hAnsi="宋体" w:cs="宋体"/>
                <w:sz w:val="24"/>
              </w:rPr>
            </w:pPr>
          </w:p>
          <w:p w14:paraId="762EC341">
            <w:pPr>
              <w:keepNext w:val="0"/>
              <w:keepLines w:val="0"/>
              <w:suppressLineNumbers w:val="0"/>
              <w:spacing w:before="0" w:beforeAutospacing="0" w:after="0" w:afterAutospacing="0" w:line="360" w:lineRule="auto"/>
              <w:ind w:left="0" w:right="0"/>
              <w:rPr>
                <w:rFonts w:hint="eastAsia" w:ascii="宋体" w:hAnsi="宋体" w:cs="宋体"/>
                <w:sz w:val="24"/>
              </w:rPr>
            </w:pPr>
          </w:p>
          <w:p w14:paraId="121E8F4F">
            <w:pPr>
              <w:keepNext w:val="0"/>
              <w:keepLines w:val="0"/>
              <w:suppressLineNumbers w:val="0"/>
              <w:spacing w:before="0" w:beforeAutospacing="0" w:after="0" w:afterAutospacing="0" w:line="360" w:lineRule="auto"/>
              <w:ind w:left="0" w:right="0"/>
              <w:rPr>
                <w:rFonts w:hint="eastAsia" w:ascii="宋体" w:hAnsi="宋体" w:cs="宋体"/>
                <w:sz w:val="24"/>
              </w:rPr>
            </w:pPr>
          </w:p>
          <w:p w14:paraId="564948D4">
            <w:pPr>
              <w:keepNext w:val="0"/>
              <w:keepLines w:val="0"/>
              <w:suppressLineNumbers w:val="0"/>
              <w:spacing w:before="0" w:beforeAutospacing="0" w:after="0" w:afterAutospacing="0" w:line="360" w:lineRule="auto"/>
              <w:ind w:left="0" w:right="0"/>
              <w:rPr>
                <w:rFonts w:hint="eastAsia" w:ascii="宋体" w:hAnsi="宋体" w:cs="宋体"/>
                <w:sz w:val="24"/>
              </w:rPr>
            </w:pPr>
          </w:p>
          <w:p w14:paraId="7B2D5118">
            <w:pPr>
              <w:keepNext w:val="0"/>
              <w:keepLines w:val="0"/>
              <w:suppressLineNumbers w:val="0"/>
              <w:spacing w:before="0" w:beforeAutospacing="0" w:after="0" w:afterAutospacing="0" w:line="360" w:lineRule="auto"/>
              <w:ind w:left="0" w:right="0"/>
              <w:rPr>
                <w:rFonts w:hint="eastAsia" w:ascii="宋体" w:hAnsi="宋体" w:cs="宋体"/>
                <w:sz w:val="24"/>
              </w:rPr>
            </w:pPr>
          </w:p>
          <w:p w14:paraId="66F2E4B0">
            <w:pPr>
              <w:keepNext w:val="0"/>
              <w:keepLines w:val="0"/>
              <w:suppressLineNumbers w:val="0"/>
              <w:spacing w:before="0" w:beforeAutospacing="0" w:after="0" w:afterAutospacing="0" w:line="360" w:lineRule="auto"/>
              <w:ind w:left="0" w:right="0"/>
              <w:rPr>
                <w:rFonts w:hint="eastAsia" w:ascii="宋体" w:hAnsi="宋体" w:cs="宋体"/>
                <w:sz w:val="24"/>
              </w:rPr>
            </w:pPr>
          </w:p>
          <w:p w14:paraId="59F1008D">
            <w:pPr>
              <w:keepNext w:val="0"/>
              <w:keepLines w:val="0"/>
              <w:suppressLineNumbers w:val="0"/>
              <w:spacing w:before="0" w:beforeAutospacing="0" w:after="0" w:afterAutospacing="0" w:line="360" w:lineRule="auto"/>
              <w:ind w:left="0" w:right="0"/>
              <w:rPr>
                <w:rFonts w:hint="eastAsia" w:ascii="宋体" w:hAnsi="宋体" w:cs="宋体"/>
                <w:sz w:val="24"/>
              </w:rPr>
            </w:pPr>
          </w:p>
          <w:p w14:paraId="6AE5933D">
            <w:pPr>
              <w:keepNext w:val="0"/>
              <w:keepLines w:val="0"/>
              <w:suppressLineNumbers w:val="0"/>
              <w:spacing w:before="0" w:beforeAutospacing="0" w:after="0" w:afterAutospacing="0" w:line="360" w:lineRule="auto"/>
              <w:ind w:left="0" w:right="0"/>
              <w:rPr>
                <w:rFonts w:hint="eastAsia" w:ascii="宋体" w:hAnsi="宋体" w:cs="宋体"/>
                <w:sz w:val="24"/>
              </w:rPr>
            </w:pPr>
          </w:p>
          <w:p w14:paraId="0867322C">
            <w:pPr>
              <w:keepNext w:val="0"/>
              <w:keepLines w:val="0"/>
              <w:suppressLineNumbers w:val="0"/>
              <w:spacing w:before="0" w:beforeAutospacing="0" w:after="0" w:afterAutospacing="0" w:line="360" w:lineRule="auto"/>
              <w:ind w:left="0" w:right="0"/>
              <w:rPr>
                <w:rFonts w:hint="eastAsia" w:ascii="宋体" w:hAnsi="宋体" w:cs="宋体"/>
                <w:sz w:val="24"/>
              </w:rPr>
            </w:pPr>
          </w:p>
          <w:p w14:paraId="36A46B49">
            <w:pPr>
              <w:keepNext w:val="0"/>
              <w:keepLines w:val="0"/>
              <w:suppressLineNumbers w:val="0"/>
              <w:spacing w:before="0" w:beforeAutospacing="0" w:after="0" w:afterAutospacing="0" w:line="360" w:lineRule="auto"/>
              <w:ind w:left="0" w:right="0"/>
              <w:rPr>
                <w:rFonts w:hint="eastAsia" w:ascii="宋体" w:hAnsi="宋体" w:cs="宋体"/>
                <w:sz w:val="24"/>
              </w:rPr>
            </w:pPr>
          </w:p>
          <w:p w14:paraId="47849C1A">
            <w:pPr>
              <w:keepNext w:val="0"/>
              <w:keepLines w:val="0"/>
              <w:suppressLineNumbers w:val="0"/>
              <w:spacing w:before="0" w:beforeAutospacing="0" w:after="0" w:afterAutospacing="0" w:line="360" w:lineRule="auto"/>
              <w:ind w:left="0" w:right="0"/>
              <w:rPr>
                <w:rFonts w:hint="eastAsia" w:ascii="宋体" w:hAnsi="宋体" w:cs="宋体"/>
                <w:sz w:val="24"/>
              </w:rPr>
            </w:pPr>
          </w:p>
          <w:p w14:paraId="6835C30F">
            <w:pPr>
              <w:keepNext w:val="0"/>
              <w:keepLines w:val="0"/>
              <w:suppressLineNumbers w:val="0"/>
              <w:spacing w:before="0" w:beforeAutospacing="0" w:after="0" w:afterAutospacing="0" w:line="360" w:lineRule="auto"/>
              <w:ind w:left="0" w:right="0"/>
              <w:rPr>
                <w:rFonts w:hint="eastAsia" w:ascii="宋体" w:hAnsi="宋体" w:cs="宋体"/>
                <w:sz w:val="24"/>
              </w:rPr>
            </w:pPr>
          </w:p>
          <w:p w14:paraId="27DA84BB">
            <w:pPr>
              <w:keepNext w:val="0"/>
              <w:keepLines w:val="0"/>
              <w:suppressLineNumbers w:val="0"/>
              <w:spacing w:before="0" w:beforeAutospacing="0" w:after="0" w:afterAutospacing="0" w:line="360" w:lineRule="auto"/>
              <w:ind w:left="0" w:right="0"/>
              <w:rPr>
                <w:rFonts w:hint="eastAsia" w:ascii="宋体" w:hAnsi="宋体" w:cs="宋体"/>
                <w:sz w:val="24"/>
              </w:rPr>
            </w:pPr>
          </w:p>
          <w:p w14:paraId="4E5D34C6">
            <w:pPr>
              <w:keepNext w:val="0"/>
              <w:keepLines w:val="0"/>
              <w:suppressLineNumbers w:val="0"/>
              <w:spacing w:before="0" w:beforeAutospacing="0" w:after="0" w:afterAutospacing="0" w:line="360" w:lineRule="auto"/>
              <w:ind w:left="0" w:right="0"/>
              <w:rPr>
                <w:rFonts w:hint="eastAsia" w:ascii="宋体" w:hAnsi="宋体" w:cs="宋体"/>
                <w:sz w:val="24"/>
              </w:rPr>
            </w:pPr>
          </w:p>
        </w:tc>
      </w:tr>
    </w:tbl>
    <w:p w14:paraId="3336E634">
      <w:pPr>
        <w:rPr>
          <w:rFonts w:hint="eastAsia"/>
        </w:rPr>
        <w:sectPr>
          <w:pgSz w:w="11906" w:h="16838"/>
          <w:pgMar w:top="1418" w:right="1134" w:bottom="1418" w:left="1247" w:header="851" w:footer="851" w:gutter="0"/>
          <w:cols w:space="720" w:num="1"/>
          <w:docGrid w:linePitch="312" w:charSpace="0"/>
        </w:sectPr>
      </w:pPr>
    </w:p>
    <w:p w14:paraId="793D0789">
      <w:pPr>
        <w:rPr>
          <w:rFonts w:ascii="Times New Roman" w:hAnsi="Times New Roman"/>
          <w:snapToGrid w:val="0"/>
          <w:sz w:val="32"/>
          <w:szCs w:val="32"/>
        </w:rPr>
      </w:pPr>
      <w:r>
        <w:rPr>
          <w:rFonts w:ascii="Times New Roman" w:hAnsi="Times New Roman"/>
          <w:snapToGrid w:val="0"/>
          <w:sz w:val="32"/>
          <w:szCs w:val="32"/>
        </w:rPr>
        <w:t>附表</w:t>
      </w:r>
    </w:p>
    <w:p w14:paraId="220B75A1">
      <w:pPr>
        <w:pStyle w:val="31"/>
        <w:adjustRightInd w:val="0"/>
        <w:snapToGrid w:val="0"/>
        <w:spacing w:before="0" w:beforeAutospacing="0" w:after="0" w:afterAutospacing="0" w:line="276" w:lineRule="auto"/>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876"/>
        <w:gridCol w:w="1767"/>
        <w:gridCol w:w="1398"/>
        <w:gridCol w:w="1579"/>
        <w:gridCol w:w="1559"/>
        <w:gridCol w:w="1761"/>
        <w:gridCol w:w="1640"/>
        <w:gridCol w:w="1366"/>
      </w:tblGrid>
      <w:tr w14:paraId="15752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tblHeader/>
        </w:trPr>
        <w:tc>
          <w:tcPr>
            <w:tcW w:w="1063" w:type="dxa"/>
            <w:tcMar>
              <w:left w:w="28" w:type="dxa"/>
              <w:right w:w="28" w:type="dxa"/>
            </w:tcMar>
            <w:vAlign w:val="center"/>
          </w:tcPr>
          <w:p w14:paraId="34BEA811">
            <w:pPr>
              <w:pStyle w:val="70"/>
              <w:keepNext w:val="0"/>
              <w:keepLines w:val="0"/>
              <w:suppressLineNumbers w:val="0"/>
              <w:spacing w:before="0" w:beforeAutospacing="0" w:after="0" w:afterAutospacing="0" w:line="360" w:lineRule="exact"/>
              <w:ind w:left="0" w:right="0"/>
              <w:jc w:val="right"/>
              <w:rPr>
                <w:rFonts w:hint="default" w:ascii="Times New Roman"/>
                <w:snapToGrid w:val="0"/>
                <w:color w:val="auto"/>
                <w:spacing w:val="-6"/>
                <w:kern w:val="21"/>
                <w:szCs w:val="21"/>
              </w:rPr>
            </w:pPr>
            <w:r>
              <w:rPr>
                <w:rFonts w:hint="default"/>
                <w:color w:val="auto"/>
              </w:rPr>
              <mc:AlternateContent>
                <mc:Choice Requires="wps">
                  <w:drawing>
                    <wp:anchor distT="0" distB="0" distL="0" distR="0" simplePos="0" relativeHeight="251659264" behindDoc="0" locked="0" layoutInCell="1" allowOverlap="1">
                      <wp:simplePos x="0" y="0"/>
                      <wp:positionH relativeFrom="column">
                        <wp:posOffset>-16510</wp:posOffset>
                      </wp:positionH>
                      <wp:positionV relativeFrom="paragraph">
                        <wp:posOffset>8890</wp:posOffset>
                      </wp:positionV>
                      <wp:extent cx="692785" cy="538480"/>
                      <wp:effectExtent l="3175" t="3810" r="8890" b="10160"/>
                      <wp:wrapNone/>
                      <wp:docPr id="1063" name="直线 110"/>
                      <wp:cNvGraphicFramePr/>
                      <a:graphic xmlns:a="http://schemas.openxmlformats.org/drawingml/2006/main">
                        <a:graphicData uri="http://schemas.microsoft.com/office/word/2010/wordprocessingShape">
                          <wps:wsp>
                            <wps:cNvCnPr/>
                            <wps:spPr>
                              <a:xfrm flipH="1" flipV="1">
                                <a:off x="0" y="0"/>
                                <a:ext cx="692785" cy="53848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直线 110" o:spid="_x0000_s1026" o:spt="20" style="position:absolute;left:0pt;flip:x y;margin-left:-1.3pt;margin-top:0.7pt;height:42.4pt;width:54.55pt;z-index:251659264;mso-width-relative:page;mso-height-relative:page;" filled="f" stroked="t" coordsize="21600,21600" o:gfxdata="UEsDBAoAAAAAAIdO4kAAAAAAAAAAAAAAAAAEAAAAZHJzL1BLAwQUAAAACACHTuJAopxdp9EAAAAH&#10;AQAADwAAAGRycy9kb3ducmV2LnhtbE2OTW7CMBCF95V6B2uQugM7URuiNA4LJA4ArVCXJh6SqPY4&#10;xIbQ23dYtcv3o/e+enP3TtxwikMgDdlKgUBqgx2o0/D5sVuWIGIyZI0LhBp+MMKmeX6qTWXDTHu8&#10;HVIneIRiZTT0KY2VlLHt0Zu4CiMSZ+cweZNYTp20k5l53DuZK1VIbwbih96MuO2x/T5cvQZXqvJy&#10;3K7nr73ll93R9bTOtH5ZZOodRMJ7+ivDA5/RoWGmU7iSjcJpWOYFN9l/BfGIVfEG4qShLHKQTS3/&#10;8ze/UEsDBBQAAAAIAIdO4kA0YbLs+QEAAPYDAAAOAAAAZHJzL2Uyb0RvYy54bWytU0uOEzEQ3SNx&#10;B8t70p0MCZlWOrOYMLBAEAmYveNP2pJ/cjnp5CxcgxUbjjPXmLI7ZJhhkwW9sMququd6r58XNwdr&#10;yF5G0N61dDyqKZGOe6HdtqXfv929mVMCiTnBjHeypUcJ9Gb5+tWiD42c+M4bISNBEAdNH1rapRSa&#10;qgLeSctg5IN0mFQ+WpZwG7eViKxHdGuqSV3Pqt5HEaLnEgBPV0OSnhDjJYBeKc3lyvOdlS4NqFEa&#10;lpASdDoAXZZplZI8fVEKZCKmpcg0lRUvwXiT12q5YM02stBpfhqBXTLCC06WaYeXnqFWLDGyi/of&#10;KKt59OBVGnFvq4FIUQRZjOsX2nztWJCFC0oN4Sw6/D9Y/nm/jkQLdEI9u6LEMYv//OHHz4dfv8l4&#10;XATqAzRYd+vWEeXKOwjrmNkeVLREGR0+Yj8t0X2Ocg65kUMR+ngWWh4S4Xg4u568m08p4ZiaXs3f&#10;zss91QCYm0OE9EF6S3LQUqNd1oE1bP8JEg6BpX9K8rFxpG/p9XSSMRmaUqEZMLQBiYHbll7wRos7&#10;bUzugLjd3JpI9iwbo3zZC4j7rCxfsmLQDXUlNVgm+p0TxTydZOK9EyQdAyrn8M3QPIyVghIj8Ynl&#10;qFQmps0llTiEcTjLk9I52nhxLD+gnKMdyrQn62a//b0v3U/Pd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pxdp9EAAAAHAQAADwAAAAAAAAABACAAAAAiAAAAZHJzL2Rvd25yZXYueG1sUEsBAhQA&#10;FAAAAAgAh07iQDRhsuz5AQAA9gMAAA4AAAAAAAAAAQAgAAAAIAEAAGRycy9lMm9Eb2MueG1sUEsF&#10;BgAAAAAGAAYAWQEAAIsFAAAAAA==&#10;">
                      <v:fill on="f" focussize="0,0"/>
                      <v:stroke color="#000000" joinstyle="round"/>
                      <v:imagedata o:title=""/>
                      <o:lock v:ext="edit" aspectratio="f"/>
                    </v:line>
                  </w:pict>
                </mc:Fallback>
              </mc:AlternateContent>
            </w:r>
            <w:r>
              <w:rPr>
                <w:rFonts w:hint="default" w:ascii="Times New Roman"/>
                <w:snapToGrid w:val="0"/>
                <w:color w:val="auto"/>
                <w:spacing w:val="-6"/>
                <w:kern w:val="21"/>
                <w:szCs w:val="21"/>
              </w:rPr>
              <w:t>项目</w:t>
            </w:r>
          </w:p>
          <w:p w14:paraId="4DC672B0">
            <w:pPr>
              <w:pStyle w:val="70"/>
              <w:keepNext w:val="0"/>
              <w:keepLines w:val="0"/>
              <w:suppressLineNumbers w:val="0"/>
              <w:spacing w:before="0" w:beforeAutospacing="0" w:after="0" w:afterAutospacing="0" w:line="360" w:lineRule="exact"/>
              <w:ind w:left="0" w:right="0"/>
              <w:jc w:val="left"/>
              <w:rPr>
                <w:rFonts w:hint="default" w:ascii="Times New Roman"/>
                <w:snapToGrid w:val="0"/>
                <w:color w:val="auto"/>
                <w:spacing w:val="-6"/>
                <w:kern w:val="21"/>
                <w:szCs w:val="21"/>
              </w:rPr>
            </w:pPr>
            <w:r>
              <w:rPr>
                <w:rFonts w:hint="default" w:ascii="Times New Roman"/>
                <w:snapToGrid w:val="0"/>
                <w:color w:val="auto"/>
                <w:spacing w:val="-6"/>
                <w:kern w:val="21"/>
                <w:szCs w:val="21"/>
              </w:rPr>
              <w:t>分类</w:t>
            </w:r>
          </w:p>
        </w:tc>
        <w:tc>
          <w:tcPr>
            <w:tcW w:w="1876" w:type="dxa"/>
            <w:tcMar>
              <w:left w:w="28" w:type="dxa"/>
              <w:right w:w="28" w:type="dxa"/>
            </w:tcMar>
            <w:vAlign w:val="center"/>
          </w:tcPr>
          <w:p w14:paraId="72AE6D7F">
            <w:pPr>
              <w:pStyle w:val="70"/>
              <w:keepNext w:val="0"/>
              <w:keepLines w:val="0"/>
              <w:suppressLineNumbers w:val="0"/>
              <w:spacing w:before="0" w:beforeAutospacing="0" w:after="0" w:afterAutospacing="0" w:line="360" w:lineRule="exact"/>
              <w:ind w:left="0" w:right="0"/>
              <w:rPr>
                <w:rFonts w:hint="default" w:ascii="Times New Roman"/>
                <w:snapToGrid w:val="0"/>
                <w:color w:val="auto"/>
                <w:spacing w:val="-6"/>
                <w:kern w:val="21"/>
                <w:szCs w:val="21"/>
              </w:rPr>
            </w:pPr>
            <w:r>
              <w:rPr>
                <w:rFonts w:hint="default" w:ascii="Times New Roman"/>
                <w:snapToGrid w:val="0"/>
                <w:color w:val="auto"/>
                <w:spacing w:val="-6"/>
                <w:kern w:val="21"/>
                <w:szCs w:val="21"/>
              </w:rPr>
              <w:t>污染物名称</w:t>
            </w:r>
          </w:p>
        </w:tc>
        <w:tc>
          <w:tcPr>
            <w:tcW w:w="1767" w:type="dxa"/>
            <w:tcMar>
              <w:left w:w="28" w:type="dxa"/>
              <w:right w:w="28" w:type="dxa"/>
            </w:tcMar>
            <w:vAlign w:val="center"/>
          </w:tcPr>
          <w:p w14:paraId="29B7238A">
            <w:pPr>
              <w:keepNext w:val="0"/>
              <w:keepLines w:val="0"/>
              <w:suppressLineNumbers w:val="0"/>
              <w:spacing w:before="0" w:beforeAutospacing="0" w:after="0" w:afterAutospacing="0"/>
              <w:ind w:left="0" w:right="0"/>
              <w:jc w:val="center"/>
              <w:rPr>
                <w:rFonts w:hint="default"/>
                <w:color w:val="auto"/>
              </w:rPr>
            </w:pPr>
            <w:r>
              <w:rPr>
                <w:rFonts w:hint="default"/>
                <w:color w:val="auto"/>
              </w:rPr>
              <w:t>现有工程</w:t>
            </w:r>
          </w:p>
          <w:p w14:paraId="29B916C0">
            <w:pPr>
              <w:keepNext w:val="0"/>
              <w:keepLines w:val="0"/>
              <w:suppressLineNumbers w:val="0"/>
              <w:spacing w:before="0" w:beforeAutospacing="0" w:after="0" w:afterAutospacing="0"/>
              <w:ind w:left="0" w:right="0"/>
              <w:jc w:val="center"/>
              <w:rPr>
                <w:rFonts w:hint="default"/>
                <w:color w:val="auto"/>
              </w:rPr>
            </w:pPr>
            <w:r>
              <w:rPr>
                <w:rFonts w:hint="default"/>
                <w:color w:val="auto"/>
              </w:rPr>
              <w:t>排放量（固体废物产生量）</w:t>
            </w:r>
            <w:r>
              <w:rPr>
                <w:rFonts w:hint="default"/>
                <w:color w:val="auto"/>
              </w:rPr>
              <w:fldChar w:fldCharType="begin"/>
            </w:r>
            <w:r>
              <w:rPr>
                <w:rFonts w:hint="default"/>
                <w:color w:val="auto"/>
              </w:rPr>
              <w:instrText xml:space="preserve"> = 1 \* GB3 \* MERGEFORMAT </w:instrText>
            </w:r>
            <w:r>
              <w:rPr>
                <w:rFonts w:hint="default"/>
                <w:color w:val="auto"/>
              </w:rPr>
              <w:fldChar w:fldCharType="separate"/>
            </w:r>
            <w:r>
              <w:rPr>
                <w:rFonts w:hint="default"/>
                <w:color w:val="auto"/>
              </w:rPr>
              <w:t>①</w:t>
            </w:r>
            <w:r>
              <w:rPr>
                <w:rFonts w:hint="default"/>
                <w:color w:val="auto"/>
              </w:rPr>
              <w:fldChar w:fldCharType="end"/>
            </w:r>
          </w:p>
        </w:tc>
        <w:tc>
          <w:tcPr>
            <w:tcW w:w="1398" w:type="dxa"/>
            <w:tcMar>
              <w:left w:w="28" w:type="dxa"/>
              <w:right w:w="28" w:type="dxa"/>
            </w:tcMar>
            <w:vAlign w:val="center"/>
          </w:tcPr>
          <w:p w14:paraId="02081279">
            <w:pPr>
              <w:keepNext w:val="0"/>
              <w:keepLines w:val="0"/>
              <w:suppressLineNumbers w:val="0"/>
              <w:spacing w:before="0" w:beforeAutospacing="0" w:after="0" w:afterAutospacing="0"/>
              <w:ind w:left="0" w:right="0"/>
              <w:jc w:val="center"/>
              <w:rPr>
                <w:rFonts w:hint="default"/>
                <w:color w:val="auto"/>
              </w:rPr>
            </w:pPr>
            <w:r>
              <w:rPr>
                <w:rFonts w:hint="default"/>
                <w:color w:val="auto"/>
              </w:rPr>
              <w:t>现有工程</w:t>
            </w:r>
          </w:p>
          <w:p w14:paraId="7CB1A569">
            <w:pPr>
              <w:keepNext w:val="0"/>
              <w:keepLines w:val="0"/>
              <w:suppressLineNumbers w:val="0"/>
              <w:spacing w:before="0" w:beforeAutospacing="0" w:after="0" w:afterAutospacing="0"/>
              <w:ind w:left="0" w:right="0"/>
              <w:jc w:val="center"/>
              <w:rPr>
                <w:rFonts w:hint="default"/>
                <w:color w:val="auto"/>
              </w:rPr>
            </w:pPr>
            <w:r>
              <w:rPr>
                <w:rFonts w:hint="default"/>
                <w:color w:val="auto"/>
              </w:rPr>
              <w:t>许可排放量</w:t>
            </w:r>
          </w:p>
          <w:p w14:paraId="41DF8EEB">
            <w:pPr>
              <w:keepNext w:val="0"/>
              <w:keepLines w:val="0"/>
              <w:suppressLineNumbers w:val="0"/>
              <w:spacing w:before="0" w:beforeAutospacing="0" w:after="0" w:afterAutospacing="0"/>
              <w:ind w:left="0" w:right="0"/>
              <w:jc w:val="center"/>
              <w:rPr>
                <w:rFonts w:hint="default"/>
                <w:color w:val="auto"/>
              </w:rPr>
            </w:pPr>
            <w:r>
              <w:rPr>
                <w:rFonts w:hint="default"/>
                <w:color w:val="auto"/>
              </w:rPr>
              <w:fldChar w:fldCharType="begin"/>
            </w:r>
            <w:r>
              <w:rPr>
                <w:rFonts w:hint="default"/>
                <w:color w:val="auto"/>
              </w:rPr>
              <w:instrText xml:space="preserve"> = 2 \* GB3 \* MERGEFORMAT </w:instrText>
            </w:r>
            <w:r>
              <w:rPr>
                <w:rFonts w:hint="default"/>
                <w:color w:val="auto"/>
              </w:rPr>
              <w:fldChar w:fldCharType="separate"/>
            </w:r>
            <w:r>
              <w:rPr>
                <w:rFonts w:hint="default"/>
                <w:color w:val="auto"/>
              </w:rPr>
              <w:t>②</w:t>
            </w:r>
            <w:r>
              <w:rPr>
                <w:rFonts w:hint="default"/>
                <w:color w:val="auto"/>
              </w:rPr>
              <w:fldChar w:fldCharType="end"/>
            </w:r>
          </w:p>
        </w:tc>
        <w:tc>
          <w:tcPr>
            <w:tcW w:w="1579" w:type="dxa"/>
            <w:tcMar>
              <w:left w:w="28" w:type="dxa"/>
              <w:right w:w="28" w:type="dxa"/>
            </w:tcMar>
            <w:vAlign w:val="center"/>
          </w:tcPr>
          <w:p w14:paraId="1D0A6B3A">
            <w:pPr>
              <w:keepNext w:val="0"/>
              <w:keepLines w:val="0"/>
              <w:suppressLineNumbers w:val="0"/>
              <w:spacing w:before="0" w:beforeAutospacing="0" w:after="0" w:afterAutospacing="0"/>
              <w:ind w:left="0" w:right="0"/>
              <w:jc w:val="center"/>
              <w:rPr>
                <w:rFonts w:hint="default"/>
                <w:color w:val="auto"/>
              </w:rPr>
            </w:pPr>
            <w:r>
              <w:rPr>
                <w:rFonts w:hint="default"/>
                <w:color w:val="auto"/>
              </w:rPr>
              <w:t>在建工程</w:t>
            </w:r>
          </w:p>
          <w:p w14:paraId="5E8BCF37">
            <w:pPr>
              <w:keepNext w:val="0"/>
              <w:keepLines w:val="0"/>
              <w:suppressLineNumbers w:val="0"/>
              <w:spacing w:before="0" w:beforeAutospacing="0" w:after="0" w:afterAutospacing="0"/>
              <w:ind w:left="0" w:right="0"/>
              <w:jc w:val="center"/>
              <w:rPr>
                <w:rFonts w:hint="default"/>
                <w:color w:val="auto"/>
              </w:rPr>
            </w:pPr>
            <w:r>
              <w:rPr>
                <w:rFonts w:hint="default"/>
                <w:color w:val="auto"/>
              </w:rPr>
              <w:t>排放量（固体废物产生量）</w:t>
            </w:r>
            <w:r>
              <w:rPr>
                <w:rFonts w:hint="default"/>
                <w:color w:val="auto"/>
              </w:rPr>
              <w:fldChar w:fldCharType="begin"/>
            </w:r>
            <w:r>
              <w:rPr>
                <w:rFonts w:hint="default"/>
                <w:color w:val="auto"/>
              </w:rPr>
              <w:instrText xml:space="preserve"> = 3 \* GB3 \* MERGEFORMAT </w:instrText>
            </w:r>
            <w:r>
              <w:rPr>
                <w:rFonts w:hint="default"/>
                <w:color w:val="auto"/>
              </w:rPr>
              <w:fldChar w:fldCharType="separate"/>
            </w:r>
            <w:r>
              <w:rPr>
                <w:rFonts w:hint="default"/>
                <w:color w:val="auto"/>
              </w:rPr>
              <w:t>③</w:t>
            </w:r>
            <w:r>
              <w:rPr>
                <w:rFonts w:hint="default"/>
                <w:color w:val="auto"/>
              </w:rPr>
              <w:fldChar w:fldCharType="end"/>
            </w:r>
          </w:p>
        </w:tc>
        <w:tc>
          <w:tcPr>
            <w:tcW w:w="1559" w:type="dxa"/>
            <w:tcMar>
              <w:left w:w="28" w:type="dxa"/>
              <w:right w:w="28" w:type="dxa"/>
            </w:tcMar>
            <w:vAlign w:val="center"/>
          </w:tcPr>
          <w:p w14:paraId="5D399C7E">
            <w:pPr>
              <w:keepNext w:val="0"/>
              <w:keepLines w:val="0"/>
              <w:suppressLineNumbers w:val="0"/>
              <w:spacing w:before="0" w:beforeAutospacing="0" w:after="0" w:afterAutospacing="0"/>
              <w:ind w:left="0" w:right="0"/>
              <w:jc w:val="center"/>
              <w:rPr>
                <w:rFonts w:hint="default"/>
                <w:color w:val="auto"/>
              </w:rPr>
            </w:pPr>
            <w:r>
              <w:rPr>
                <w:rFonts w:hint="default"/>
                <w:color w:val="auto"/>
              </w:rPr>
              <w:t>本项目</w:t>
            </w:r>
          </w:p>
          <w:p w14:paraId="1C1A0FD4">
            <w:pPr>
              <w:keepNext w:val="0"/>
              <w:keepLines w:val="0"/>
              <w:suppressLineNumbers w:val="0"/>
              <w:spacing w:before="0" w:beforeAutospacing="0" w:after="0" w:afterAutospacing="0"/>
              <w:ind w:left="0" w:right="0"/>
              <w:jc w:val="center"/>
              <w:rPr>
                <w:rFonts w:hint="default"/>
                <w:color w:val="auto"/>
              </w:rPr>
            </w:pPr>
            <w:r>
              <w:rPr>
                <w:rFonts w:hint="default"/>
                <w:color w:val="auto"/>
              </w:rPr>
              <w:t>排放量（固体废物产生量）</w:t>
            </w:r>
            <w:r>
              <w:rPr>
                <w:rFonts w:hint="default"/>
                <w:color w:val="auto"/>
              </w:rPr>
              <w:fldChar w:fldCharType="begin"/>
            </w:r>
            <w:r>
              <w:rPr>
                <w:rFonts w:hint="default"/>
                <w:color w:val="auto"/>
              </w:rPr>
              <w:instrText xml:space="preserve"> = 4 \* GB3 \* MERGEFORMAT </w:instrText>
            </w:r>
            <w:r>
              <w:rPr>
                <w:rFonts w:hint="default"/>
                <w:color w:val="auto"/>
              </w:rPr>
              <w:fldChar w:fldCharType="separate"/>
            </w:r>
            <w:r>
              <w:rPr>
                <w:rFonts w:hint="default"/>
                <w:color w:val="auto"/>
              </w:rPr>
              <w:t>④</w:t>
            </w:r>
            <w:r>
              <w:rPr>
                <w:rFonts w:hint="default"/>
                <w:color w:val="auto"/>
              </w:rPr>
              <w:fldChar w:fldCharType="end"/>
            </w:r>
          </w:p>
        </w:tc>
        <w:tc>
          <w:tcPr>
            <w:tcW w:w="1761" w:type="dxa"/>
            <w:tcMar>
              <w:left w:w="28" w:type="dxa"/>
              <w:right w:w="28" w:type="dxa"/>
            </w:tcMar>
            <w:vAlign w:val="center"/>
          </w:tcPr>
          <w:p w14:paraId="4D18D72C">
            <w:pPr>
              <w:keepNext w:val="0"/>
              <w:keepLines w:val="0"/>
              <w:suppressLineNumbers w:val="0"/>
              <w:spacing w:before="0" w:beforeAutospacing="0" w:after="0" w:afterAutospacing="0"/>
              <w:ind w:left="0" w:right="0"/>
              <w:jc w:val="center"/>
              <w:rPr>
                <w:rFonts w:hint="default"/>
                <w:color w:val="auto"/>
              </w:rPr>
            </w:pPr>
            <w:r>
              <w:rPr>
                <w:rFonts w:hint="default"/>
                <w:color w:val="auto"/>
              </w:rPr>
              <w:t>以新带老削减量</w:t>
            </w:r>
          </w:p>
          <w:p w14:paraId="13F89E28">
            <w:pPr>
              <w:keepNext w:val="0"/>
              <w:keepLines w:val="0"/>
              <w:suppressLineNumbers w:val="0"/>
              <w:spacing w:before="0" w:beforeAutospacing="0" w:after="0" w:afterAutospacing="0"/>
              <w:ind w:left="0" w:right="0"/>
              <w:jc w:val="center"/>
              <w:rPr>
                <w:rFonts w:hint="default"/>
                <w:color w:val="auto"/>
              </w:rPr>
            </w:pPr>
            <w:r>
              <w:rPr>
                <w:rFonts w:hint="default"/>
                <w:color w:val="auto"/>
              </w:rPr>
              <w:t>（新建项目不填）</w:t>
            </w:r>
            <w:r>
              <w:rPr>
                <w:rFonts w:hint="default"/>
                <w:color w:val="auto"/>
              </w:rPr>
              <w:fldChar w:fldCharType="begin"/>
            </w:r>
            <w:r>
              <w:rPr>
                <w:rFonts w:hint="default"/>
                <w:color w:val="auto"/>
              </w:rPr>
              <w:instrText xml:space="preserve"> = 5 \* GB3 \* MERGEFORMAT </w:instrText>
            </w:r>
            <w:r>
              <w:rPr>
                <w:rFonts w:hint="default"/>
                <w:color w:val="auto"/>
              </w:rPr>
              <w:fldChar w:fldCharType="separate"/>
            </w:r>
            <w:r>
              <w:rPr>
                <w:rFonts w:hint="default"/>
                <w:color w:val="auto"/>
              </w:rPr>
              <w:t>⑤</w:t>
            </w:r>
            <w:r>
              <w:rPr>
                <w:rFonts w:hint="default"/>
                <w:color w:val="auto"/>
              </w:rPr>
              <w:fldChar w:fldCharType="end"/>
            </w:r>
          </w:p>
        </w:tc>
        <w:tc>
          <w:tcPr>
            <w:tcW w:w="1640" w:type="dxa"/>
            <w:tcMar>
              <w:left w:w="28" w:type="dxa"/>
              <w:right w:w="28" w:type="dxa"/>
            </w:tcMar>
            <w:vAlign w:val="center"/>
          </w:tcPr>
          <w:p w14:paraId="22C97A4B">
            <w:pPr>
              <w:keepNext w:val="0"/>
              <w:keepLines w:val="0"/>
              <w:suppressLineNumbers w:val="0"/>
              <w:spacing w:before="0" w:beforeAutospacing="0" w:after="0" w:afterAutospacing="0"/>
              <w:ind w:left="0" w:right="0"/>
              <w:jc w:val="center"/>
              <w:rPr>
                <w:rFonts w:hint="default"/>
                <w:color w:val="auto"/>
              </w:rPr>
            </w:pPr>
            <w:r>
              <w:rPr>
                <w:rFonts w:hint="default"/>
                <w:color w:val="auto"/>
              </w:rPr>
              <w:t>本项目建成后</w:t>
            </w:r>
          </w:p>
          <w:p w14:paraId="47DCC94B">
            <w:pPr>
              <w:keepNext w:val="0"/>
              <w:keepLines w:val="0"/>
              <w:suppressLineNumbers w:val="0"/>
              <w:spacing w:before="0" w:beforeAutospacing="0" w:after="0" w:afterAutospacing="0"/>
              <w:ind w:left="0" w:right="0"/>
              <w:jc w:val="center"/>
              <w:rPr>
                <w:rFonts w:hint="default"/>
                <w:color w:val="auto"/>
              </w:rPr>
            </w:pPr>
            <w:r>
              <w:rPr>
                <w:rFonts w:hint="default"/>
                <w:color w:val="auto"/>
              </w:rPr>
              <w:t>全厂排放量（固体废物产生量）</w:t>
            </w:r>
            <w:r>
              <w:rPr>
                <w:rFonts w:hint="default"/>
                <w:color w:val="auto"/>
              </w:rPr>
              <w:fldChar w:fldCharType="begin"/>
            </w:r>
            <w:r>
              <w:rPr>
                <w:rFonts w:hint="default"/>
                <w:color w:val="auto"/>
              </w:rPr>
              <w:instrText xml:space="preserve"> = 6 \* GB3 \* MERGEFORMAT </w:instrText>
            </w:r>
            <w:r>
              <w:rPr>
                <w:rFonts w:hint="default"/>
                <w:color w:val="auto"/>
              </w:rPr>
              <w:fldChar w:fldCharType="separate"/>
            </w:r>
            <w:r>
              <w:rPr>
                <w:rFonts w:hint="default"/>
                <w:color w:val="auto"/>
              </w:rPr>
              <w:t>⑥</w:t>
            </w:r>
            <w:r>
              <w:rPr>
                <w:rFonts w:hint="default"/>
                <w:color w:val="auto"/>
              </w:rPr>
              <w:fldChar w:fldCharType="end"/>
            </w:r>
          </w:p>
        </w:tc>
        <w:tc>
          <w:tcPr>
            <w:tcW w:w="1366" w:type="dxa"/>
            <w:tcMar>
              <w:left w:w="28" w:type="dxa"/>
              <w:right w:w="28" w:type="dxa"/>
            </w:tcMar>
            <w:vAlign w:val="center"/>
          </w:tcPr>
          <w:p w14:paraId="6345F2A2">
            <w:pPr>
              <w:keepNext w:val="0"/>
              <w:keepLines w:val="0"/>
              <w:suppressLineNumbers w:val="0"/>
              <w:spacing w:before="0" w:beforeAutospacing="0" w:after="0" w:afterAutospacing="0"/>
              <w:ind w:left="0" w:right="0"/>
              <w:jc w:val="center"/>
              <w:rPr>
                <w:rFonts w:hint="default"/>
                <w:color w:val="auto"/>
              </w:rPr>
            </w:pPr>
            <w:r>
              <w:rPr>
                <w:rFonts w:hint="default"/>
                <w:color w:val="auto"/>
              </w:rPr>
              <w:t>变化量</w:t>
            </w:r>
          </w:p>
          <w:p w14:paraId="2C5F82BE">
            <w:pPr>
              <w:keepNext w:val="0"/>
              <w:keepLines w:val="0"/>
              <w:suppressLineNumbers w:val="0"/>
              <w:spacing w:before="0" w:beforeAutospacing="0" w:after="0" w:afterAutospacing="0"/>
              <w:ind w:left="0" w:right="0"/>
              <w:jc w:val="center"/>
              <w:rPr>
                <w:rFonts w:hint="default"/>
                <w:color w:val="auto"/>
              </w:rPr>
            </w:pPr>
            <w:r>
              <w:rPr>
                <w:rFonts w:hint="default"/>
                <w:color w:val="auto"/>
              </w:rPr>
              <w:fldChar w:fldCharType="begin"/>
            </w:r>
            <w:r>
              <w:rPr>
                <w:rFonts w:hint="default"/>
                <w:color w:val="auto"/>
              </w:rPr>
              <w:instrText xml:space="preserve"> = 7 \* GB3 \* MERGEFORMAT </w:instrText>
            </w:r>
            <w:r>
              <w:rPr>
                <w:rFonts w:hint="default"/>
                <w:color w:val="auto"/>
              </w:rPr>
              <w:fldChar w:fldCharType="separate"/>
            </w:r>
            <w:r>
              <w:rPr>
                <w:rFonts w:hint="default"/>
                <w:color w:val="auto"/>
              </w:rPr>
              <w:t>⑦</w:t>
            </w:r>
            <w:r>
              <w:rPr>
                <w:rFonts w:hint="default"/>
                <w:color w:val="auto"/>
              </w:rPr>
              <w:fldChar w:fldCharType="end"/>
            </w:r>
          </w:p>
        </w:tc>
      </w:tr>
      <w:tr w14:paraId="52BFF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restart"/>
            <w:vAlign w:val="center"/>
          </w:tcPr>
          <w:p w14:paraId="7178F0DD">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lang w:val="en-US" w:eastAsia="zh-CN"/>
              </w:rPr>
            </w:pPr>
            <w:r>
              <w:rPr>
                <w:rFonts w:hint="eastAsia" w:ascii="Times New Roman"/>
                <w:b/>
                <w:snapToGrid w:val="0"/>
                <w:color w:val="auto"/>
                <w:kern w:val="21"/>
                <w:szCs w:val="21"/>
                <w:lang w:val="en-US" w:eastAsia="zh-CN"/>
              </w:rPr>
              <w:t>废气</w:t>
            </w:r>
          </w:p>
        </w:tc>
        <w:tc>
          <w:tcPr>
            <w:tcW w:w="1876" w:type="dxa"/>
            <w:shd w:val="clear" w:color="auto" w:fill="auto"/>
            <w:vAlign w:val="center"/>
          </w:tcPr>
          <w:p w14:paraId="10C4F2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Cs w:val="21"/>
                <w:highlight w:val="none"/>
              </w:rPr>
              <w:t>颗粒物</w:t>
            </w:r>
          </w:p>
        </w:tc>
        <w:tc>
          <w:tcPr>
            <w:tcW w:w="1767" w:type="dxa"/>
            <w:shd w:val="clear" w:color="auto" w:fill="auto"/>
            <w:vAlign w:val="center"/>
          </w:tcPr>
          <w:p w14:paraId="2D478538">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w:t>
            </w:r>
          </w:p>
        </w:tc>
        <w:tc>
          <w:tcPr>
            <w:tcW w:w="1398" w:type="dxa"/>
            <w:shd w:val="clear" w:color="auto" w:fill="auto"/>
            <w:vAlign w:val="center"/>
          </w:tcPr>
          <w:p w14:paraId="47B70D54">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snapToGrid w:val="0"/>
                <w:color w:val="auto"/>
                <w:kern w:val="21"/>
                <w:szCs w:val="21"/>
                <w:highlight w:val="none"/>
              </w:rPr>
              <w:t>0</w:t>
            </w:r>
          </w:p>
        </w:tc>
        <w:tc>
          <w:tcPr>
            <w:tcW w:w="1579" w:type="dxa"/>
            <w:shd w:val="clear" w:color="auto" w:fill="auto"/>
            <w:vAlign w:val="center"/>
          </w:tcPr>
          <w:p w14:paraId="75709FE6">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snapToGrid w:val="0"/>
                <w:color w:val="auto"/>
                <w:kern w:val="21"/>
                <w:szCs w:val="21"/>
                <w:highlight w:val="none"/>
              </w:rPr>
              <w:t>0</w:t>
            </w:r>
          </w:p>
        </w:tc>
        <w:tc>
          <w:tcPr>
            <w:tcW w:w="1559" w:type="dxa"/>
            <w:vAlign w:val="center"/>
          </w:tcPr>
          <w:p w14:paraId="6865949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0.239</w:t>
            </w:r>
            <w:r>
              <w:rPr>
                <w:rFonts w:hint="eastAsia"/>
                <w:snapToGrid w:val="0"/>
                <w:color w:val="auto"/>
                <w:kern w:val="21"/>
                <w:szCs w:val="21"/>
              </w:rPr>
              <w:t>t/a</w:t>
            </w:r>
          </w:p>
        </w:tc>
        <w:tc>
          <w:tcPr>
            <w:tcW w:w="1761" w:type="dxa"/>
            <w:shd w:val="clear" w:color="auto" w:fill="auto"/>
            <w:vAlign w:val="center"/>
          </w:tcPr>
          <w:p w14:paraId="42724614">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6EB27E1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0.239</w:t>
            </w:r>
            <w:r>
              <w:rPr>
                <w:rFonts w:hint="eastAsia"/>
                <w:snapToGrid w:val="0"/>
                <w:color w:val="auto"/>
                <w:kern w:val="21"/>
                <w:szCs w:val="21"/>
              </w:rPr>
              <w:t>t/a</w:t>
            </w:r>
          </w:p>
        </w:tc>
        <w:tc>
          <w:tcPr>
            <w:tcW w:w="1366" w:type="dxa"/>
            <w:shd w:val="clear" w:color="auto" w:fill="auto"/>
            <w:vAlign w:val="center"/>
          </w:tcPr>
          <w:p w14:paraId="5307864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+0.239</w:t>
            </w:r>
            <w:r>
              <w:rPr>
                <w:rFonts w:hint="eastAsia"/>
                <w:snapToGrid w:val="0"/>
                <w:color w:val="auto"/>
                <w:kern w:val="21"/>
                <w:szCs w:val="21"/>
              </w:rPr>
              <w:t>t/a</w:t>
            </w:r>
          </w:p>
        </w:tc>
      </w:tr>
      <w:tr w14:paraId="0AF0C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063" w:type="dxa"/>
            <w:vMerge w:val="continue"/>
            <w:vAlign w:val="center"/>
          </w:tcPr>
          <w:p w14:paraId="0AD69EDC">
            <w:pPr>
              <w:pStyle w:val="70"/>
              <w:keepNext w:val="0"/>
              <w:keepLines w:val="0"/>
              <w:suppressLineNumbers w:val="0"/>
              <w:spacing w:before="0" w:beforeAutospacing="0" w:after="0" w:afterAutospacing="0" w:line="240" w:lineRule="auto"/>
              <w:ind w:left="0" w:right="0"/>
              <w:rPr>
                <w:rFonts w:hint="eastAsia" w:ascii="Times New Roman"/>
                <w:b/>
                <w:snapToGrid w:val="0"/>
                <w:color w:val="auto"/>
                <w:kern w:val="21"/>
                <w:szCs w:val="21"/>
                <w:lang w:val="en-US" w:eastAsia="zh-CN"/>
              </w:rPr>
            </w:pPr>
          </w:p>
        </w:tc>
        <w:tc>
          <w:tcPr>
            <w:tcW w:w="1876" w:type="dxa"/>
            <w:shd w:val="clear" w:color="auto" w:fill="auto"/>
            <w:vAlign w:val="center"/>
          </w:tcPr>
          <w:p w14:paraId="22F3D8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szCs w:val="22"/>
                <w:highlight w:val="none"/>
              </w:rPr>
              <w:t>SO</w:t>
            </w:r>
            <w:r>
              <w:rPr>
                <w:rFonts w:hint="default" w:ascii="Times New Roman" w:hAnsi="Times New Roman" w:eastAsia="宋体" w:cs="Times New Roman"/>
                <w:color w:val="auto"/>
                <w:szCs w:val="22"/>
                <w:highlight w:val="none"/>
                <w:vertAlign w:val="subscript"/>
              </w:rPr>
              <w:t>2</w:t>
            </w:r>
          </w:p>
        </w:tc>
        <w:tc>
          <w:tcPr>
            <w:tcW w:w="1767" w:type="dxa"/>
            <w:shd w:val="clear" w:color="auto" w:fill="auto"/>
            <w:vAlign w:val="center"/>
          </w:tcPr>
          <w:p w14:paraId="554B80D7">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w:t>
            </w:r>
          </w:p>
        </w:tc>
        <w:tc>
          <w:tcPr>
            <w:tcW w:w="1398" w:type="dxa"/>
            <w:shd w:val="clear" w:color="auto" w:fill="auto"/>
            <w:vAlign w:val="center"/>
          </w:tcPr>
          <w:p w14:paraId="3D1FCC90">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snapToGrid w:val="0"/>
                <w:color w:val="auto"/>
                <w:kern w:val="21"/>
                <w:szCs w:val="21"/>
                <w:highlight w:val="none"/>
              </w:rPr>
              <w:t>0</w:t>
            </w:r>
          </w:p>
        </w:tc>
        <w:tc>
          <w:tcPr>
            <w:tcW w:w="1579" w:type="dxa"/>
            <w:shd w:val="clear" w:color="auto" w:fill="auto"/>
            <w:vAlign w:val="center"/>
          </w:tcPr>
          <w:p w14:paraId="660D38D2">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snapToGrid w:val="0"/>
                <w:color w:val="auto"/>
                <w:kern w:val="21"/>
                <w:szCs w:val="21"/>
                <w:highlight w:val="none"/>
              </w:rPr>
              <w:t>0</w:t>
            </w:r>
          </w:p>
        </w:tc>
        <w:tc>
          <w:tcPr>
            <w:tcW w:w="1559" w:type="dxa"/>
            <w:vAlign w:val="center"/>
          </w:tcPr>
          <w:p w14:paraId="7919528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0.144</w:t>
            </w:r>
            <w:r>
              <w:rPr>
                <w:rFonts w:hint="eastAsia"/>
                <w:snapToGrid w:val="0"/>
                <w:color w:val="auto"/>
                <w:kern w:val="21"/>
                <w:szCs w:val="21"/>
              </w:rPr>
              <w:t>t/a</w:t>
            </w:r>
          </w:p>
        </w:tc>
        <w:tc>
          <w:tcPr>
            <w:tcW w:w="1761" w:type="dxa"/>
            <w:shd w:val="clear" w:color="auto" w:fill="auto"/>
            <w:vAlign w:val="center"/>
          </w:tcPr>
          <w:p w14:paraId="4D5F3FBD">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5529B0B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0.144</w:t>
            </w:r>
            <w:r>
              <w:rPr>
                <w:rFonts w:hint="eastAsia"/>
                <w:snapToGrid w:val="0"/>
                <w:color w:val="auto"/>
                <w:kern w:val="21"/>
                <w:szCs w:val="21"/>
              </w:rPr>
              <w:t>t/a</w:t>
            </w:r>
          </w:p>
        </w:tc>
        <w:tc>
          <w:tcPr>
            <w:tcW w:w="1366" w:type="dxa"/>
            <w:shd w:val="clear" w:color="auto" w:fill="auto"/>
            <w:vAlign w:val="center"/>
          </w:tcPr>
          <w:p w14:paraId="47E6B17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+0.144</w:t>
            </w:r>
            <w:r>
              <w:rPr>
                <w:rFonts w:hint="eastAsia"/>
                <w:snapToGrid w:val="0"/>
                <w:color w:val="auto"/>
                <w:kern w:val="21"/>
                <w:szCs w:val="21"/>
              </w:rPr>
              <w:t>t/a</w:t>
            </w:r>
          </w:p>
        </w:tc>
      </w:tr>
      <w:tr w14:paraId="17B79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13298163">
            <w:pPr>
              <w:pStyle w:val="70"/>
              <w:keepNext w:val="0"/>
              <w:keepLines w:val="0"/>
              <w:suppressLineNumbers w:val="0"/>
              <w:spacing w:before="0" w:beforeAutospacing="0" w:after="0" w:afterAutospacing="0" w:line="240" w:lineRule="auto"/>
              <w:ind w:left="0" w:right="0"/>
              <w:rPr>
                <w:rFonts w:hint="eastAsia" w:ascii="Times New Roman"/>
                <w:b/>
                <w:snapToGrid w:val="0"/>
                <w:color w:val="auto"/>
                <w:kern w:val="21"/>
                <w:szCs w:val="21"/>
                <w:lang w:val="en-US" w:eastAsia="zh-CN"/>
              </w:rPr>
            </w:pPr>
          </w:p>
        </w:tc>
        <w:tc>
          <w:tcPr>
            <w:tcW w:w="1876" w:type="dxa"/>
            <w:shd w:val="clear" w:color="auto" w:fill="auto"/>
            <w:vAlign w:val="center"/>
          </w:tcPr>
          <w:p w14:paraId="64A00D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szCs w:val="22"/>
                <w:highlight w:val="none"/>
              </w:rPr>
              <w:t>NOx</w:t>
            </w:r>
          </w:p>
        </w:tc>
        <w:tc>
          <w:tcPr>
            <w:tcW w:w="1767" w:type="dxa"/>
            <w:shd w:val="clear" w:color="auto" w:fill="auto"/>
            <w:vAlign w:val="center"/>
          </w:tcPr>
          <w:p w14:paraId="179461E0">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w:t>
            </w:r>
          </w:p>
        </w:tc>
        <w:tc>
          <w:tcPr>
            <w:tcW w:w="1398" w:type="dxa"/>
            <w:shd w:val="clear" w:color="auto" w:fill="auto"/>
            <w:vAlign w:val="center"/>
          </w:tcPr>
          <w:p w14:paraId="35B41741">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highlight w:val="none"/>
                <w:lang w:val="en-US" w:eastAsia="zh-CN"/>
              </w:rPr>
              <w:t>0</w:t>
            </w:r>
          </w:p>
        </w:tc>
        <w:tc>
          <w:tcPr>
            <w:tcW w:w="1579" w:type="dxa"/>
            <w:shd w:val="clear" w:color="auto" w:fill="auto"/>
            <w:vAlign w:val="center"/>
          </w:tcPr>
          <w:p w14:paraId="05A5E930">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highlight w:val="none"/>
                <w:lang w:val="en-US" w:eastAsia="zh-CN"/>
              </w:rPr>
              <w:t>0</w:t>
            </w:r>
          </w:p>
        </w:tc>
        <w:tc>
          <w:tcPr>
            <w:tcW w:w="1559" w:type="dxa"/>
            <w:vAlign w:val="center"/>
          </w:tcPr>
          <w:p w14:paraId="07DE57D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0.674</w:t>
            </w:r>
            <w:r>
              <w:rPr>
                <w:rFonts w:hint="eastAsia"/>
                <w:snapToGrid w:val="0"/>
                <w:color w:val="auto"/>
                <w:kern w:val="21"/>
                <w:szCs w:val="21"/>
              </w:rPr>
              <w:t>t/a</w:t>
            </w:r>
          </w:p>
        </w:tc>
        <w:tc>
          <w:tcPr>
            <w:tcW w:w="1761" w:type="dxa"/>
            <w:shd w:val="clear" w:color="auto" w:fill="auto"/>
            <w:vAlign w:val="center"/>
          </w:tcPr>
          <w:p w14:paraId="617671EF">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6877DF9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0.674</w:t>
            </w:r>
            <w:r>
              <w:rPr>
                <w:rFonts w:hint="eastAsia"/>
                <w:snapToGrid w:val="0"/>
                <w:color w:val="auto"/>
                <w:kern w:val="21"/>
                <w:szCs w:val="21"/>
              </w:rPr>
              <w:t>t/a</w:t>
            </w:r>
          </w:p>
        </w:tc>
        <w:tc>
          <w:tcPr>
            <w:tcW w:w="1366" w:type="dxa"/>
            <w:shd w:val="clear" w:color="auto" w:fill="auto"/>
            <w:vAlign w:val="center"/>
          </w:tcPr>
          <w:p w14:paraId="1524BD7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+0.674</w:t>
            </w:r>
            <w:r>
              <w:rPr>
                <w:rFonts w:hint="eastAsia"/>
                <w:snapToGrid w:val="0"/>
                <w:color w:val="auto"/>
                <w:kern w:val="21"/>
                <w:szCs w:val="21"/>
              </w:rPr>
              <w:t>t/a</w:t>
            </w:r>
          </w:p>
        </w:tc>
      </w:tr>
      <w:tr w14:paraId="6FE56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restart"/>
            <w:vAlign w:val="center"/>
          </w:tcPr>
          <w:p w14:paraId="47244C94">
            <w:pPr>
              <w:pStyle w:val="70"/>
              <w:keepNext w:val="0"/>
              <w:keepLines w:val="0"/>
              <w:suppressLineNumbers w:val="0"/>
              <w:spacing w:before="0" w:beforeAutospacing="0" w:after="0" w:afterAutospacing="0" w:line="240" w:lineRule="auto"/>
              <w:ind w:left="0" w:right="0"/>
              <w:rPr>
                <w:rFonts w:hint="eastAsia" w:ascii="Times New Roman" w:eastAsia="宋体"/>
                <w:b/>
                <w:snapToGrid w:val="0"/>
                <w:color w:val="auto"/>
                <w:kern w:val="21"/>
                <w:szCs w:val="21"/>
                <w:lang w:val="en-US" w:eastAsia="zh-CN"/>
              </w:rPr>
            </w:pPr>
            <w:r>
              <w:rPr>
                <w:rFonts w:hint="eastAsia" w:ascii="Times New Roman"/>
                <w:b/>
                <w:snapToGrid w:val="0"/>
                <w:color w:val="auto"/>
                <w:kern w:val="21"/>
                <w:szCs w:val="21"/>
                <w:lang w:val="en-US" w:eastAsia="zh-CN"/>
              </w:rPr>
              <w:t>废水</w:t>
            </w:r>
          </w:p>
        </w:tc>
        <w:tc>
          <w:tcPr>
            <w:tcW w:w="1876" w:type="dxa"/>
            <w:vAlign w:val="center"/>
          </w:tcPr>
          <w:p w14:paraId="01B737E5">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COD</w:t>
            </w:r>
          </w:p>
        </w:tc>
        <w:tc>
          <w:tcPr>
            <w:tcW w:w="1767" w:type="dxa"/>
            <w:vAlign w:val="center"/>
          </w:tcPr>
          <w:p w14:paraId="64239B6C">
            <w:pPr>
              <w:keepNext w:val="0"/>
              <w:keepLines w:val="0"/>
              <w:widowControl/>
              <w:suppressLineNumbers w:val="0"/>
              <w:spacing w:before="0" w:beforeAutospacing="0" w:after="0" w:afterAutospacing="0"/>
              <w:ind w:left="0" w:right="0"/>
              <w:jc w:val="center"/>
              <w:textAlignment w:val="center"/>
              <w:rPr>
                <w:rFonts w:hint="default"/>
                <w:snapToGrid w:val="0"/>
                <w:color w:val="auto"/>
                <w:kern w:val="21"/>
                <w:szCs w:val="21"/>
                <w:lang w:val="en-US"/>
              </w:rPr>
            </w:pPr>
            <w:r>
              <w:rPr>
                <w:rFonts w:hint="eastAsia" w:ascii="Times New Roman" w:hAnsi="Times New Roman" w:eastAsia="宋体" w:cs="Times New Roman"/>
                <w:color w:val="auto"/>
                <w:kern w:val="0"/>
                <w:szCs w:val="21"/>
                <w:lang w:val="en-US" w:eastAsia="zh-CN"/>
              </w:rPr>
              <w:t>0.042t/a</w:t>
            </w:r>
          </w:p>
        </w:tc>
        <w:tc>
          <w:tcPr>
            <w:tcW w:w="1398" w:type="dxa"/>
            <w:vAlign w:val="center"/>
          </w:tcPr>
          <w:p w14:paraId="1B9A457A">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79" w:type="dxa"/>
            <w:vAlign w:val="center"/>
          </w:tcPr>
          <w:p w14:paraId="23D7401B">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59" w:type="dxa"/>
            <w:vAlign w:val="center"/>
          </w:tcPr>
          <w:p w14:paraId="41D56C78">
            <w:pPr>
              <w:keepNext w:val="0"/>
              <w:keepLines w:val="0"/>
              <w:widowControl/>
              <w:suppressLineNumbers w:val="0"/>
              <w:spacing w:before="0" w:beforeAutospacing="0" w:after="0" w:afterAutospacing="0"/>
              <w:ind w:left="0" w:leftChars="0" w:right="0" w:rightChars="0"/>
              <w:jc w:val="center"/>
              <w:textAlignment w:val="center"/>
              <w:rPr>
                <w:rFonts w:hint="default" w:eastAsia="宋体"/>
                <w:color w:val="auto"/>
                <w:szCs w:val="21"/>
                <w:lang w:val="en-US" w:eastAsia="zh-CN"/>
              </w:rPr>
            </w:pPr>
            <w:r>
              <w:rPr>
                <w:rFonts w:hint="eastAsia" w:cs="Times New Roman"/>
                <w:color w:val="auto"/>
                <w:kern w:val="2"/>
                <w:sz w:val="21"/>
                <w:szCs w:val="21"/>
                <w:lang w:val="en-US" w:eastAsia="zh-CN" w:bidi="ar-SA"/>
              </w:rPr>
              <w:t>0.301</w:t>
            </w:r>
            <w:r>
              <w:rPr>
                <w:rFonts w:hint="eastAsia"/>
                <w:snapToGrid w:val="0"/>
                <w:color w:val="auto"/>
                <w:kern w:val="21"/>
                <w:szCs w:val="21"/>
              </w:rPr>
              <w:t>t/a</w:t>
            </w:r>
          </w:p>
        </w:tc>
        <w:tc>
          <w:tcPr>
            <w:tcW w:w="1761" w:type="dxa"/>
            <w:vAlign w:val="center"/>
          </w:tcPr>
          <w:p w14:paraId="420D8591">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6FD0E4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0.301</w:t>
            </w:r>
            <w:r>
              <w:rPr>
                <w:rFonts w:hint="eastAsia"/>
                <w:snapToGrid w:val="0"/>
                <w:color w:val="auto"/>
                <w:kern w:val="21"/>
                <w:szCs w:val="21"/>
              </w:rPr>
              <w:t>t/a</w:t>
            </w:r>
          </w:p>
        </w:tc>
        <w:tc>
          <w:tcPr>
            <w:tcW w:w="1366" w:type="dxa"/>
            <w:shd w:val="clear" w:color="auto" w:fill="auto"/>
            <w:vAlign w:val="center"/>
          </w:tcPr>
          <w:p w14:paraId="38A074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0.259</w:t>
            </w:r>
            <w:r>
              <w:rPr>
                <w:rFonts w:hint="eastAsia" w:ascii="Times New Roman" w:hAnsi="Times New Roman" w:eastAsia="宋体" w:cs="Times New Roman"/>
                <w:i w:val="0"/>
                <w:iCs w:val="0"/>
                <w:color w:val="auto"/>
                <w:kern w:val="0"/>
                <w:sz w:val="21"/>
                <w:szCs w:val="21"/>
                <w:u w:val="none"/>
                <w:lang w:val="en-US" w:eastAsia="zh-CN" w:bidi="ar"/>
              </w:rPr>
              <w:t>t/a</w:t>
            </w:r>
          </w:p>
        </w:tc>
      </w:tr>
      <w:tr w14:paraId="05476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1633B5B1">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2898101F">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BOD</w:t>
            </w:r>
            <w:r>
              <w:rPr>
                <w:rFonts w:hint="default"/>
                <w:color w:val="auto"/>
                <w:kern w:val="0"/>
                <w:szCs w:val="21"/>
                <w:vertAlign w:val="subscript"/>
              </w:rPr>
              <w:t>5</w:t>
            </w:r>
          </w:p>
        </w:tc>
        <w:tc>
          <w:tcPr>
            <w:tcW w:w="1767" w:type="dxa"/>
            <w:vAlign w:val="center"/>
          </w:tcPr>
          <w:p w14:paraId="168F9A08">
            <w:pPr>
              <w:keepNext w:val="0"/>
              <w:keepLines w:val="0"/>
              <w:widowControl/>
              <w:suppressLineNumbers w:val="0"/>
              <w:spacing w:before="0" w:beforeAutospacing="0" w:after="0" w:afterAutospacing="0"/>
              <w:ind w:left="0" w:right="0"/>
              <w:jc w:val="center"/>
              <w:textAlignment w:val="center"/>
              <w:rPr>
                <w:rFonts w:hint="eastAsia"/>
                <w:snapToGrid w:val="0"/>
                <w:color w:val="auto"/>
                <w:kern w:val="21"/>
                <w:szCs w:val="21"/>
              </w:rPr>
            </w:pPr>
            <w:r>
              <w:rPr>
                <w:rFonts w:hint="eastAsia" w:ascii="Times New Roman" w:hAnsi="Times New Roman" w:eastAsia="宋体" w:cs="Times New Roman"/>
                <w:color w:val="auto"/>
                <w:kern w:val="0"/>
                <w:szCs w:val="21"/>
                <w:lang w:val="en-US" w:eastAsia="zh-CN"/>
              </w:rPr>
              <w:t>0.018t/a</w:t>
            </w:r>
          </w:p>
        </w:tc>
        <w:tc>
          <w:tcPr>
            <w:tcW w:w="1398" w:type="dxa"/>
            <w:vAlign w:val="center"/>
          </w:tcPr>
          <w:p w14:paraId="52D6C9B0">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79" w:type="dxa"/>
            <w:vAlign w:val="center"/>
          </w:tcPr>
          <w:p w14:paraId="6FF0A0C1">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59" w:type="dxa"/>
            <w:vAlign w:val="center"/>
          </w:tcPr>
          <w:p w14:paraId="29307E9F">
            <w:pPr>
              <w:keepNext w:val="0"/>
              <w:keepLines w:val="0"/>
              <w:widowControl/>
              <w:suppressLineNumbers w:val="0"/>
              <w:spacing w:before="0" w:beforeAutospacing="0" w:after="0" w:afterAutospacing="0"/>
              <w:ind w:left="0" w:leftChars="0" w:right="0" w:rightChars="0"/>
              <w:jc w:val="center"/>
              <w:textAlignment w:val="center"/>
              <w:rPr>
                <w:rFonts w:hint="default" w:eastAsia="宋体"/>
                <w:color w:val="auto"/>
                <w:szCs w:val="21"/>
                <w:lang w:val="en-US" w:eastAsia="zh-CN"/>
              </w:rPr>
            </w:pPr>
            <w:r>
              <w:rPr>
                <w:rFonts w:hint="eastAsia" w:cs="Times New Roman"/>
                <w:color w:val="auto"/>
                <w:szCs w:val="21"/>
                <w:lang w:val="en-US" w:eastAsia="zh-CN"/>
              </w:rPr>
              <w:t>0.041</w:t>
            </w:r>
            <w:r>
              <w:rPr>
                <w:rFonts w:hint="eastAsia"/>
                <w:snapToGrid w:val="0"/>
                <w:color w:val="auto"/>
                <w:kern w:val="21"/>
                <w:szCs w:val="21"/>
              </w:rPr>
              <w:t>t/a</w:t>
            </w:r>
          </w:p>
        </w:tc>
        <w:tc>
          <w:tcPr>
            <w:tcW w:w="1761" w:type="dxa"/>
            <w:vAlign w:val="center"/>
          </w:tcPr>
          <w:p w14:paraId="73F904E7">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77D71CA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0.041</w:t>
            </w:r>
            <w:r>
              <w:rPr>
                <w:rFonts w:hint="eastAsia"/>
                <w:snapToGrid w:val="0"/>
                <w:color w:val="auto"/>
                <w:kern w:val="21"/>
                <w:szCs w:val="21"/>
              </w:rPr>
              <w:t>t/a</w:t>
            </w:r>
          </w:p>
        </w:tc>
        <w:tc>
          <w:tcPr>
            <w:tcW w:w="1366" w:type="dxa"/>
            <w:shd w:val="clear" w:color="auto" w:fill="auto"/>
            <w:vAlign w:val="center"/>
          </w:tcPr>
          <w:p w14:paraId="5E35ED7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0.023</w:t>
            </w:r>
            <w:r>
              <w:rPr>
                <w:rFonts w:hint="eastAsia" w:ascii="Times New Roman" w:hAnsi="Times New Roman" w:eastAsia="宋体" w:cs="Times New Roman"/>
                <w:i w:val="0"/>
                <w:iCs w:val="0"/>
                <w:color w:val="auto"/>
                <w:kern w:val="0"/>
                <w:sz w:val="21"/>
                <w:szCs w:val="21"/>
                <w:u w:val="none"/>
                <w:lang w:val="en-US" w:eastAsia="zh-CN" w:bidi="ar"/>
              </w:rPr>
              <w:t>t/a</w:t>
            </w:r>
          </w:p>
        </w:tc>
      </w:tr>
      <w:tr w14:paraId="5D7F3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582BBD24">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08DCFEFB">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SS</w:t>
            </w:r>
          </w:p>
        </w:tc>
        <w:tc>
          <w:tcPr>
            <w:tcW w:w="1767" w:type="dxa"/>
            <w:vAlign w:val="center"/>
          </w:tcPr>
          <w:p w14:paraId="13BD7F15">
            <w:pPr>
              <w:keepNext w:val="0"/>
              <w:keepLines w:val="0"/>
              <w:widowControl/>
              <w:suppressLineNumbers w:val="0"/>
              <w:spacing w:before="0" w:beforeAutospacing="0" w:after="0" w:afterAutospacing="0"/>
              <w:ind w:left="0" w:right="0"/>
              <w:jc w:val="center"/>
              <w:textAlignment w:val="center"/>
              <w:rPr>
                <w:rFonts w:hint="eastAsia"/>
                <w:snapToGrid w:val="0"/>
                <w:color w:val="auto"/>
                <w:kern w:val="21"/>
                <w:szCs w:val="21"/>
              </w:rPr>
            </w:pPr>
            <w:r>
              <w:rPr>
                <w:rFonts w:hint="eastAsia" w:ascii="Times New Roman" w:hAnsi="Times New Roman" w:eastAsia="宋体" w:cs="Times New Roman"/>
                <w:color w:val="auto"/>
                <w:kern w:val="0"/>
                <w:szCs w:val="21"/>
                <w:lang w:val="en-US" w:eastAsia="zh-CN"/>
              </w:rPr>
              <w:t>0.004t/a</w:t>
            </w:r>
          </w:p>
        </w:tc>
        <w:tc>
          <w:tcPr>
            <w:tcW w:w="1398" w:type="dxa"/>
            <w:vAlign w:val="center"/>
          </w:tcPr>
          <w:p w14:paraId="2E943861">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79" w:type="dxa"/>
            <w:vAlign w:val="center"/>
          </w:tcPr>
          <w:p w14:paraId="6F830016">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59" w:type="dxa"/>
            <w:shd w:val="clear" w:color="auto" w:fill="auto"/>
            <w:vAlign w:val="center"/>
          </w:tcPr>
          <w:p w14:paraId="210B7E8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0.149</w:t>
            </w:r>
            <w:r>
              <w:rPr>
                <w:rFonts w:hint="eastAsia"/>
                <w:snapToGrid w:val="0"/>
                <w:color w:val="auto"/>
                <w:kern w:val="21"/>
                <w:szCs w:val="21"/>
              </w:rPr>
              <w:t>t/a</w:t>
            </w:r>
          </w:p>
        </w:tc>
        <w:tc>
          <w:tcPr>
            <w:tcW w:w="1761" w:type="dxa"/>
            <w:vAlign w:val="center"/>
          </w:tcPr>
          <w:p w14:paraId="7305AF01">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7EC383C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0.149</w:t>
            </w:r>
            <w:r>
              <w:rPr>
                <w:rFonts w:hint="eastAsia"/>
                <w:snapToGrid w:val="0"/>
                <w:color w:val="auto"/>
                <w:kern w:val="21"/>
                <w:szCs w:val="21"/>
              </w:rPr>
              <w:t>t/a</w:t>
            </w:r>
          </w:p>
        </w:tc>
        <w:tc>
          <w:tcPr>
            <w:tcW w:w="1366" w:type="dxa"/>
            <w:shd w:val="clear" w:color="auto" w:fill="auto"/>
            <w:vAlign w:val="center"/>
          </w:tcPr>
          <w:p w14:paraId="0BA0E0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0.008</w:t>
            </w:r>
            <w:r>
              <w:rPr>
                <w:rFonts w:hint="eastAsia" w:ascii="Times New Roman" w:hAnsi="Times New Roman" w:eastAsia="宋体" w:cs="Times New Roman"/>
                <w:i w:val="0"/>
                <w:iCs w:val="0"/>
                <w:color w:val="auto"/>
                <w:kern w:val="0"/>
                <w:sz w:val="21"/>
                <w:szCs w:val="21"/>
                <w:u w:val="none"/>
                <w:lang w:val="en-US" w:eastAsia="zh-CN" w:bidi="ar"/>
              </w:rPr>
              <w:t>t/a</w:t>
            </w:r>
          </w:p>
        </w:tc>
      </w:tr>
      <w:tr w14:paraId="1F90C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392AE0CF">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3A4A05DC">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default"/>
                <w:color w:val="auto"/>
                <w:kern w:val="0"/>
                <w:szCs w:val="21"/>
              </w:rPr>
              <w:t>NH</w:t>
            </w:r>
            <w:r>
              <w:rPr>
                <w:rFonts w:hint="default"/>
                <w:color w:val="auto"/>
                <w:kern w:val="0"/>
                <w:szCs w:val="21"/>
                <w:vertAlign w:val="subscript"/>
              </w:rPr>
              <w:t>3</w:t>
            </w:r>
            <w:r>
              <w:rPr>
                <w:rFonts w:hint="default"/>
                <w:color w:val="auto"/>
                <w:kern w:val="0"/>
                <w:szCs w:val="21"/>
              </w:rPr>
              <w:t>-N</w:t>
            </w:r>
          </w:p>
        </w:tc>
        <w:tc>
          <w:tcPr>
            <w:tcW w:w="1767" w:type="dxa"/>
            <w:vAlign w:val="center"/>
          </w:tcPr>
          <w:p w14:paraId="469E9D22">
            <w:pPr>
              <w:keepNext w:val="0"/>
              <w:keepLines w:val="0"/>
              <w:widowControl/>
              <w:suppressLineNumbers w:val="0"/>
              <w:spacing w:before="0" w:beforeAutospacing="0" w:after="0" w:afterAutospacing="0"/>
              <w:ind w:left="0" w:right="0"/>
              <w:jc w:val="center"/>
              <w:textAlignment w:val="center"/>
              <w:rPr>
                <w:rFonts w:hint="eastAsia"/>
                <w:snapToGrid w:val="0"/>
                <w:color w:val="auto"/>
                <w:kern w:val="21"/>
                <w:szCs w:val="21"/>
              </w:rPr>
            </w:pPr>
            <w:r>
              <w:rPr>
                <w:rFonts w:hint="eastAsia" w:ascii="Times New Roman" w:hAnsi="Times New Roman" w:eastAsia="宋体" w:cs="Times New Roman"/>
                <w:color w:val="auto"/>
                <w:szCs w:val="21"/>
                <w:lang w:val="en-US" w:eastAsia="zh-CN"/>
              </w:rPr>
              <w:t>0.024</w:t>
            </w:r>
            <w:r>
              <w:rPr>
                <w:rFonts w:hint="eastAsia" w:ascii="Times New Roman" w:hAnsi="Times New Roman" w:eastAsia="宋体" w:cs="Times New Roman"/>
                <w:color w:val="auto"/>
                <w:kern w:val="0"/>
                <w:szCs w:val="21"/>
                <w:lang w:val="en-US" w:eastAsia="zh-CN"/>
              </w:rPr>
              <w:t>t/a</w:t>
            </w:r>
          </w:p>
        </w:tc>
        <w:tc>
          <w:tcPr>
            <w:tcW w:w="1398" w:type="dxa"/>
            <w:vAlign w:val="center"/>
          </w:tcPr>
          <w:p w14:paraId="1418F946">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79" w:type="dxa"/>
            <w:vAlign w:val="center"/>
          </w:tcPr>
          <w:p w14:paraId="714A0C5A">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59" w:type="dxa"/>
            <w:shd w:val="clear" w:color="auto" w:fill="auto"/>
            <w:vAlign w:val="center"/>
          </w:tcPr>
          <w:p w14:paraId="6E436CA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0.032</w:t>
            </w:r>
            <w:r>
              <w:rPr>
                <w:rFonts w:hint="eastAsia"/>
                <w:snapToGrid w:val="0"/>
                <w:color w:val="auto"/>
                <w:kern w:val="21"/>
                <w:szCs w:val="21"/>
              </w:rPr>
              <w:t>t/a</w:t>
            </w:r>
          </w:p>
        </w:tc>
        <w:tc>
          <w:tcPr>
            <w:tcW w:w="1761" w:type="dxa"/>
            <w:vAlign w:val="center"/>
          </w:tcPr>
          <w:p w14:paraId="5A1A50DC">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4CD7CA0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0.032</w:t>
            </w:r>
            <w:r>
              <w:rPr>
                <w:rFonts w:hint="eastAsia"/>
                <w:snapToGrid w:val="0"/>
                <w:color w:val="auto"/>
                <w:kern w:val="21"/>
                <w:szCs w:val="21"/>
              </w:rPr>
              <w:t>t/a</w:t>
            </w:r>
          </w:p>
        </w:tc>
        <w:tc>
          <w:tcPr>
            <w:tcW w:w="1366" w:type="dxa"/>
            <w:shd w:val="clear" w:color="auto" w:fill="auto"/>
            <w:vAlign w:val="center"/>
          </w:tcPr>
          <w:p w14:paraId="125CA7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0.145</w:t>
            </w:r>
            <w:r>
              <w:rPr>
                <w:rFonts w:hint="eastAsia" w:ascii="Times New Roman" w:hAnsi="Times New Roman" w:eastAsia="宋体" w:cs="Times New Roman"/>
                <w:i w:val="0"/>
                <w:iCs w:val="0"/>
                <w:color w:val="auto"/>
                <w:kern w:val="0"/>
                <w:sz w:val="21"/>
                <w:szCs w:val="21"/>
                <w:u w:val="none"/>
                <w:lang w:val="en-US" w:eastAsia="zh-CN" w:bidi="ar"/>
              </w:rPr>
              <w:t>t/a</w:t>
            </w:r>
          </w:p>
        </w:tc>
      </w:tr>
      <w:tr w14:paraId="5B791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restart"/>
            <w:vAlign w:val="center"/>
          </w:tcPr>
          <w:p w14:paraId="1E9C4483">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r>
              <w:rPr>
                <w:rFonts w:hint="default" w:ascii="Times New Roman"/>
                <w:b/>
                <w:snapToGrid w:val="0"/>
                <w:color w:val="auto"/>
                <w:kern w:val="21"/>
                <w:szCs w:val="21"/>
              </w:rPr>
              <w:t>一般固体废物</w:t>
            </w:r>
          </w:p>
        </w:tc>
        <w:tc>
          <w:tcPr>
            <w:tcW w:w="1876" w:type="dxa"/>
            <w:vAlign w:val="center"/>
          </w:tcPr>
          <w:p w14:paraId="74DFD57C">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生活垃圾</w:t>
            </w:r>
          </w:p>
        </w:tc>
        <w:tc>
          <w:tcPr>
            <w:tcW w:w="1767" w:type="dxa"/>
            <w:vAlign w:val="center"/>
          </w:tcPr>
          <w:p w14:paraId="168144CE">
            <w:pPr>
              <w:keepNext w:val="0"/>
              <w:keepLines w:val="0"/>
              <w:suppressLineNumbers w:val="0"/>
              <w:spacing w:before="0" w:beforeAutospacing="0" w:after="0" w:afterAutospacing="0"/>
              <w:ind w:left="0" w:right="0"/>
              <w:jc w:val="center"/>
              <w:rPr>
                <w:rFonts w:hint="default" w:eastAsia="宋体"/>
                <w:snapToGrid w:val="0"/>
                <w:color w:val="auto"/>
                <w:kern w:val="21"/>
                <w:szCs w:val="21"/>
                <w:lang w:val="en-US" w:eastAsia="zh-CN"/>
              </w:rPr>
            </w:pPr>
            <w:r>
              <w:rPr>
                <w:rFonts w:hint="eastAsia"/>
                <w:snapToGrid w:val="0"/>
                <w:color w:val="auto"/>
                <w:kern w:val="21"/>
                <w:szCs w:val="21"/>
                <w:lang w:val="en-US" w:eastAsia="zh-CN"/>
              </w:rPr>
              <w:t>0.9</w:t>
            </w:r>
            <w:r>
              <w:rPr>
                <w:rFonts w:hint="eastAsia" w:ascii="Times New Roman" w:hAnsi="Times New Roman" w:eastAsia="宋体" w:cs="Times New Roman"/>
                <w:color w:val="auto"/>
                <w:kern w:val="0"/>
                <w:szCs w:val="21"/>
                <w:lang w:val="en-US" w:eastAsia="zh-CN"/>
              </w:rPr>
              <w:t>t/a</w:t>
            </w:r>
          </w:p>
        </w:tc>
        <w:tc>
          <w:tcPr>
            <w:tcW w:w="1398" w:type="dxa"/>
            <w:vAlign w:val="center"/>
          </w:tcPr>
          <w:p w14:paraId="4E551424">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color w:val="auto"/>
                <w:kern w:val="0"/>
                <w:szCs w:val="21"/>
                <w:highlight w:val="none"/>
              </w:rPr>
              <w:t>0</w:t>
            </w:r>
          </w:p>
        </w:tc>
        <w:tc>
          <w:tcPr>
            <w:tcW w:w="1579" w:type="dxa"/>
            <w:vAlign w:val="center"/>
          </w:tcPr>
          <w:p w14:paraId="7C2B9704">
            <w:pPr>
              <w:keepNext w:val="0"/>
              <w:keepLines w:val="0"/>
              <w:widowControl/>
              <w:suppressLineNumbers w:val="0"/>
              <w:spacing w:before="0" w:beforeAutospacing="0" w:after="0" w:afterAutospacing="0" w:line="340" w:lineRule="exact"/>
              <w:ind w:left="0" w:right="0"/>
              <w:jc w:val="center"/>
              <w:rPr>
                <w:rFonts w:hint="eastAsia"/>
                <w:snapToGrid w:val="0"/>
                <w:color w:val="auto"/>
                <w:kern w:val="21"/>
                <w:szCs w:val="21"/>
              </w:rPr>
            </w:pPr>
            <w:r>
              <w:rPr>
                <w:rFonts w:hint="default"/>
                <w:color w:val="auto"/>
                <w:kern w:val="0"/>
                <w:szCs w:val="21"/>
                <w:highlight w:val="none"/>
              </w:rPr>
              <w:t>0</w:t>
            </w:r>
          </w:p>
        </w:tc>
        <w:tc>
          <w:tcPr>
            <w:tcW w:w="1559" w:type="dxa"/>
            <w:shd w:val="clear" w:color="auto" w:fill="auto"/>
            <w:vAlign w:val="center"/>
          </w:tcPr>
          <w:p w14:paraId="60410F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9</w:t>
            </w:r>
            <w:r>
              <w:rPr>
                <w:rFonts w:hint="eastAsia"/>
                <w:snapToGrid w:val="0"/>
                <w:color w:val="auto"/>
                <w:kern w:val="21"/>
                <w:szCs w:val="21"/>
              </w:rPr>
              <w:t>t/a</w:t>
            </w:r>
          </w:p>
        </w:tc>
        <w:tc>
          <w:tcPr>
            <w:tcW w:w="1761" w:type="dxa"/>
            <w:shd w:val="clear" w:color="auto" w:fill="auto"/>
            <w:vAlign w:val="center"/>
          </w:tcPr>
          <w:p w14:paraId="4D64EB46">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19694A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9</w:t>
            </w:r>
            <w:r>
              <w:rPr>
                <w:rFonts w:hint="eastAsia"/>
                <w:snapToGrid w:val="0"/>
                <w:color w:val="auto"/>
                <w:kern w:val="21"/>
                <w:szCs w:val="21"/>
              </w:rPr>
              <w:t>t/a</w:t>
            </w:r>
          </w:p>
        </w:tc>
        <w:tc>
          <w:tcPr>
            <w:tcW w:w="1366" w:type="dxa"/>
            <w:shd w:val="clear" w:color="auto" w:fill="auto"/>
            <w:vAlign w:val="center"/>
          </w:tcPr>
          <w:p w14:paraId="06646D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+8.1t/a</w:t>
            </w:r>
          </w:p>
        </w:tc>
      </w:tr>
      <w:tr w14:paraId="5AB9E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7C3B4D36">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22B67D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eastAsia="宋体"/>
                <w:color w:val="auto"/>
                <w:lang w:val="en-US" w:eastAsia="zh-CN"/>
              </w:rPr>
            </w:pPr>
            <w:r>
              <w:rPr>
                <w:rFonts w:hint="eastAsia" w:ascii="Calibri" w:hAnsi="Calibri" w:cs="Calibri"/>
                <w:color w:val="auto"/>
                <w:sz w:val="21"/>
                <w:szCs w:val="21"/>
              </w:rPr>
              <w:t>废包装材料</w:t>
            </w:r>
          </w:p>
        </w:tc>
        <w:tc>
          <w:tcPr>
            <w:tcW w:w="1767" w:type="dxa"/>
            <w:vAlign w:val="center"/>
          </w:tcPr>
          <w:p w14:paraId="345FC1C0">
            <w:pPr>
              <w:keepNext w:val="0"/>
              <w:keepLines w:val="0"/>
              <w:suppressLineNumbers w:val="0"/>
              <w:spacing w:before="0" w:beforeAutospacing="0" w:after="0" w:afterAutospacing="0"/>
              <w:ind w:left="0" w:right="0"/>
              <w:jc w:val="center"/>
              <w:rPr>
                <w:rFonts w:hint="default" w:eastAsia="宋体"/>
                <w:snapToGrid w:val="0"/>
                <w:color w:val="auto"/>
                <w:kern w:val="21"/>
                <w:szCs w:val="21"/>
                <w:lang w:val="en-US" w:eastAsia="zh-CN"/>
              </w:rPr>
            </w:pPr>
            <w:r>
              <w:rPr>
                <w:rFonts w:hint="eastAsia"/>
                <w:snapToGrid w:val="0"/>
                <w:color w:val="auto"/>
                <w:kern w:val="21"/>
                <w:szCs w:val="21"/>
                <w:lang w:val="en-US" w:eastAsia="zh-CN"/>
              </w:rPr>
              <w:t>1.2</w:t>
            </w:r>
            <w:r>
              <w:rPr>
                <w:rFonts w:hint="eastAsia" w:ascii="Times New Roman" w:hAnsi="Times New Roman" w:eastAsia="宋体" w:cs="Times New Roman"/>
                <w:color w:val="auto"/>
                <w:kern w:val="0"/>
                <w:szCs w:val="21"/>
                <w:lang w:val="en-US" w:eastAsia="zh-CN"/>
              </w:rPr>
              <w:t>t/a</w:t>
            </w:r>
          </w:p>
        </w:tc>
        <w:tc>
          <w:tcPr>
            <w:tcW w:w="1398" w:type="dxa"/>
            <w:vAlign w:val="center"/>
          </w:tcPr>
          <w:p w14:paraId="5CCB90A0">
            <w:pPr>
              <w:keepNext w:val="0"/>
              <w:keepLines w:val="0"/>
              <w:suppressLineNumbers w:val="0"/>
              <w:spacing w:before="0" w:beforeAutospacing="0" w:after="0" w:afterAutospacing="0" w:line="340" w:lineRule="exact"/>
              <w:ind w:left="0" w:right="0"/>
              <w:jc w:val="center"/>
              <w:rPr>
                <w:rFonts w:hint="eastAsia" w:eastAsia="宋体"/>
                <w:snapToGrid w:val="0"/>
                <w:color w:val="auto"/>
                <w:kern w:val="21"/>
                <w:szCs w:val="21"/>
                <w:lang w:val="en-US" w:eastAsia="zh-CN"/>
              </w:rPr>
            </w:pPr>
            <w:r>
              <w:rPr>
                <w:rFonts w:hint="default"/>
                <w:color w:val="auto"/>
                <w:kern w:val="0"/>
                <w:szCs w:val="21"/>
                <w:highlight w:val="none"/>
              </w:rPr>
              <w:t>0</w:t>
            </w:r>
          </w:p>
        </w:tc>
        <w:tc>
          <w:tcPr>
            <w:tcW w:w="1579" w:type="dxa"/>
            <w:vAlign w:val="center"/>
          </w:tcPr>
          <w:p w14:paraId="09B3B55C">
            <w:pPr>
              <w:keepNext w:val="0"/>
              <w:keepLines w:val="0"/>
              <w:widowControl/>
              <w:suppressLineNumbers w:val="0"/>
              <w:spacing w:before="0" w:beforeAutospacing="0" w:after="0" w:afterAutospacing="0" w:line="340" w:lineRule="exact"/>
              <w:ind w:left="0" w:right="0"/>
              <w:jc w:val="center"/>
              <w:rPr>
                <w:rFonts w:hint="eastAsia" w:eastAsia="宋体"/>
                <w:snapToGrid w:val="0"/>
                <w:color w:val="auto"/>
                <w:kern w:val="21"/>
                <w:szCs w:val="21"/>
                <w:lang w:val="en-US" w:eastAsia="zh-CN"/>
              </w:rPr>
            </w:pPr>
            <w:r>
              <w:rPr>
                <w:rFonts w:hint="default"/>
                <w:color w:val="auto"/>
                <w:kern w:val="0"/>
                <w:szCs w:val="21"/>
                <w:highlight w:val="none"/>
              </w:rPr>
              <w:t>0</w:t>
            </w:r>
          </w:p>
        </w:tc>
        <w:tc>
          <w:tcPr>
            <w:tcW w:w="1559" w:type="dxa"/>
            <w:shd w:val="clear" w:color="auto" w:fill="auto"/>
            <w:vAlign w:val="center"/>
          </w:tcPr>
          <w:p w14:paraId="56CC97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r>
              <w:rPr>
                <w:rFonts w:hint="eastAsia"/>
                <w:snapToGrid w:val="0"/>
                <w:color w:val="auto"/>
                <w:kern w:val="21"/>
                <w:szCs w:val="21"/>
              </w:rPr>
              <w:t>t/a</w:t>
            </w:r>
          </w:p>
        </w:tc>
        <w:tc>
          <w:tcPr>
            <w:tcW w:w="1761" w:type="dxa"/>
            <w:shd w:val="clear" w:color="auto" w:fill="auto"/>
          </w:tcPr>
          <w:p w14:paraId="7DC585BD">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6D5DC8F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r>
              <w:rPr>
                <w:rFonts w:hint="eastAsia"/>
                <w:snapToGrid w:val="0"/>
                <w:color w:val="auto"/>
                <w:kern w:val="21"/>
                <w:szCs w:val="21"/>
              </w:rPr>
              <w:t>t/a</w:t>
            </w:r>
          </w:p>
        </w:tc>
        <w:tc>
          <w:tcPr>
            <w:tcW w:w="1366" w:type="dxa"/>
            <w:shd w:val="clear" w:color="auto" w:fill="auto"/>
            <w:vAlign w:val="center"/>
          </w:tcPr>
          <w:p w14:paraId="360A27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+0.3t/a</w:t>
            </w:r>
          </w:p>
        </w:tc>
      </w:tr>
      <w:tr w14:paraId="0EE27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4A1111F5">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729E08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lang w:val="en-US" w:eastAsia="zh-CN"/>
              </w:rPr>
            </w:pPr>
            <w:r>
              <w:rPr>
                <w:rFonts w:hint="eastAsia"/>
                <w:color w:val="auto"/>
                <w:lang w:val="en-US" w:eastAsia="zh-CN"/>
              </w:rPr>
              <w:t>除尘器收集粉尘</w:t>
            </w:r>
          </w:p>
        </w:tc>
        <w:tc>
          <w:tcPr>
            <w:tcW w:w="1767" w:type="dxa"/>
            <w:shd w:val="clear" w:color="auto" w:fill="auto"/>
            <w:vAlign w:val="center"/>
          </w:tcPr>
          <w:p w14:paraId="007BF10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w:t>
            </w:r>
            <w:r>
              <w:rPr>
                <w:rFonts w:hint="eastAsia" w:ascii="Times New Roman" w:hAnsi="Times New Roman" w:eastAsia="宋体" w:cs="Times New Roman"/>
                <w:color w:val="auto"/>
                <w:kern w:val="0"/>
                <w:szCs w:val="21"/>
                <w:lang w:val="en-US" w:eastAsia="zh-CN"/>
              </w:rPr>
              <w:t>t/a</w:t>
            </w:r>
          </w:p>
        </w:tc>
        <w:tc>
          <w:tcPr>
            <w:tcW w:w="1398" w:type="dxa"/>
            <w:shd w:val="clear" w:color="auto" w:fill="auto"/>
            <w:vAlign w:val="center"/>
          </w:tcPr>
          <w:p w14:paraId="733FDB16">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color w:val="auto"/>
                <w:kern w:val="0"/>
                <w:szCs w:val="21"/>
                <w:highlight w:val="none"/>
              </w:rPr>
              <w:t>0</w:t>
            </w:r>
          </w:p>
        </w:tc>
        <w:tc>
          <w:tcPr>
            <w:tcW w:w="1579" w:type="dxa"/>
            <w:shd w:val="clear" w:color="auto" w:fill="auto"/>
            <w:vAlign w:val="center"/>
          </w:tcPr>
          <w:p w14:paraId="64D16DF8">
            <w:pPr>
              <w:keepNext w:val="0"/>
              <w:keepLines w:val="0"/>
              <w:widowControl/>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color w:val="auto"/>
                <w:kern w:val="0"/>
                <w:szCs w:val="21"/>
                <w:highlight w:val="none"/>
              </w:rPr>
              <w:t>0</w:t>
            </w:r>
          </w:p>
        </w:tc>
        <w:tc>
          <w:tcPr>
            <w:tcW w:w="1559" w:type="dxa"/>
            <w:shd w:val="clear" w:color="auto" w:fill="auto"/>
            <w:vAlign w:val="center"/>
          </w:tcPr>
          <w:p w14:paraId="5DE51F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3.3</w:t>
            </w:r>
            <w:r>
              <w:rPr>
                <w:rFonts w:hint="eastAsia"/>
                <w:snapToGrid w:val="0"/>
                <w:color w:val="auto"/>
                <w:kern w:val="21"/>
                <w:szCs w:val="21"/>
              </w:rPr>
              <w:t>t/a</w:t>
            </w:r>
          </w:p>
        </w:tc>
        <w:tc>
          <w:tcPr>
            <w:tcW w:w="1761" w:type="dxa"/>
            <w:shd w:val="clear" w:color="auto" w:fill="auto"/>
          </w:tcPr>
          <w:p w14:paraId="69753A36">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0B274DD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3.3</w:t>
            </w:r>
            <w:r>
              <w:rPr>
                <w:rFonts w:hint="eastAsia"/>
                <w:snapToGrid w:val="0"/>
                <w:color w:val="auto"/>
                <w:kern w:val="21"/>
                <w:szCs w:val="21"/>
              </w:rPr>
              <w:t>t/a</w:t>
            </w:r>
          </w:p>
        </w:tc>
        <w:tc>
          <w:tcPr>
            <w:tcW w:w="1366" w:type="dxa"/>
            <w:shd w:val="clear" w:color="auto" w:fill="auto"/>
            <w:vAlign w:val="center"/>
          </w:tcPr>
          <w:p w14:paraId="12C3A29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+3.3</w:t>
            </w:r>
            <w:r>
              <w:rPr>
                <w:rFonts w:hint="eastAsia"/>
                <w:snapToGrid w:val="0"/>
                <w:color w:val="auto"/>
                <w:kern w:val="21"/>
                <w:szCs w:val="21"/>
              </w:rPr>
              <w:t>t/a</w:t>
            </w:r>
          </w:p>
        </w:tc>
      </w:tr>
      <w:tr w14:paraId="4F40D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54A642CE">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01A263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lang w:val="en-US" w:eastAsia="zh-CN"/>
              </w:rPr>
            </w:pPr>
            <w:r>
              <w:rPr>
                <w:rFonts w:hint="eastAsia"/>
                <w:color w:val="auto"/>
                <w:lang w:val="en-US" w:eastAsia="zh-CN"/>
              </w:rPr>
              <w:t>金检不合格品</w:t>
            </w:r>
          </w:p>
        </w:tc>
        <w:tc>
          <w:tcPr>
            <w:tcW w:w="1767" w:type="dxa"/>
            <w:shd w:val="clear" w:color="auto" w:fill="auto"/>
            <w:vAlign w:val="center"/>
          </w:tcPr>
          <w:p w14:paraId="156988D8">
            <w:pPr>
              <w:keepNext w:val="0"/>
              <w:keepLines w:val="0"/>
              <w:suppressLineNumbers w:val="0"/>
              <w:spacing w:before="0" w:beforeAutospacing="0" w:after="0" w:afterAutospacing="0"/>
              <w:ind w:left="0" w:right="0"/>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0</w:t>
            </w:r>
            <w:r>
              <w:rPr>
                <w:rFonts w:hint="eastAsia" w:ascii="Times New Roman" w:hAnsi="Times New Roman" w:eastAsia="宋体" w:cs="Times New Roman"/>
                <w:color w:val="auto"/>
                <w:kern w:val="0"/>
                <w:szCs w:val="21"/>
                <w:lang w:val="en-US" w:eastAsia="zh-CN"/>
              </w:rPr>
              <w:t>t/a</w:t>
            </w:r>
          </w:p>
        </w:tc>
        <w:tc>
          <w:tcPr>
            <w:tcW w:w="1398" w:type="dxa"/>
            <w:shd w:val="clear" w:color="auto" w:fill="auto"/>
            <w:vAlign w:val="center"/>
          </w:tcPr>
          <w:p w14:paraId="3590580A">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color w:val="auto"/>
                <w:kern w:val="0"/>
                <w:szCs w:val="21"/>
                <w:highlight w:val="none"/>
              </w:rPr>
              <w:t>0</w:t>
            </w:r>
          </w:p>
        </w:tc>
        <w:tc>
          <w:tcPr>
            <w:tcW w:w="1579" w:type="dxa"/>
            <w:shd w:val="clear" w:color="auto" w:fill="auto"/>
            <w:vAlign w:val="center"/>
          </w:tcPr>
          <w:p w14:paraId="6F71EB67">
            <w:pPr>
              <w:keepNext w:val="0"/>
              <w:keepLines w:val="0"/>
              <w:widowControl/>
              <w:suppressLineNumbers w:val="0"/>
              <w:spacing w:before="0" w:beforeAutospacing="0" w:after="0" w:afterAutospacing="0" w:line="340" w:lineRule="exact"/>
              <w:ind w:left="0" w:right="0"/>
              <w:jc w:val="center"/>
              <w:rPr>
                <w:rFonts w:hint="eastAsia"/>
                <w:snapToGrid w:val="0"/>
                <w:color w:val="auto"/>
                <w:kern w:val="21"/>
                <w:szCs w:val="21"/>
              </w:rPr>
            </w:pPr>
            <w:r>
              <w:rPr>
                <w:rFonts w:hint="default"/>
                <w:color w:val="auto"/>
                <w:kern w:val="0"/>
                <w:szCs w:val="21"/>
                <w:highlight w:val="none"/>
              </w:rPr>
              <w:t>0</w:t>
            </w:r>
          </w:p>
        </w:tc>
        <w:tc>
          <w:tcPr>
            <w:tcW w:w="1559" w:type="dxa"/>
            <w:shd w:val="clear" w:color="auto" w:fill="auto"/>
            <w:vAlign w:val="center"/>
          </w:tcPr>
          <w:p w14:paraId="77B7FB67">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0.41</w:t>
            </w:r>
            <w:r>
              <w:rPr>
                <w:rFonts w:hint="eastAsia"/>
                <w:snapToGrid w:val="0"/>
                <w:color w:val="auto"/>
                <w:kern w:val="21"/>
                <w:szCs w:val="21"/>
              </w:rPr>
              <w:t>t/a</w:t>
            </w:r>
          </w:p>
        </w:tc>
        <w:tc>
          <w:tcPr>
            <w:tcW w:w="1761" w:type="dxa"/>
            <w:shd w:val="clear" w:color="auto" w:fill="auto"/>
          </w:tcPr>
          <w:p w14:paraId="1BCC4262">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5E2BA78C">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0.41</w:t>
            </w:r>
            <w:r>
              <w:rPr>
                <w:rFonts w:hint="eastAsia"/>
                <w:snapToGrid w:val="0"/>
                <w:color w:val="auto"/>
                <w:kern w:val="21"/>
                <w:szCs w:val="21"/>
              </w:rPr>
              <w:t>t/a</w:t>
            </w:r>
          </w:p>
        </w:tc>
        <w:tc>
          <w:tcPr>
            <w:tcW w:w="1366" w:type="dxa"/>
            <w:shd w:val="clear" w:color="auto" w:fill="auto"/>
            <w:vAlign w:val="center"/>
          </w:tcPr>
          <w:p w14:paraId="64CA4B76">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+0.41</w:t>
            </w:r>
            <w:r>
              <w:rPr>
                <w:rFonts w:hint="eastAsia"/>
                <w:snapToGrid w:val="0"/>
                <w:color w:val="auto"/>
                <w:kern w:val="21"/>
                <w:szCs w:val="21"/>
              </w:rPr>
              <w:t>t/a</w:t>
            </w:r>
          </w:p>
        </w:tc>
      </w:tr>
      <w:tr w14:paraId="42E34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5259A397">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5FD95B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auto"/>
                <w:lang w:val="en-US" w:eastAsia="zh-CN"/>
              </w:rPr>
            </w:pPr>
            <w:r>
              <w:rPr>
                <w:rFonts w:hint="eastAsia"/>
                <w:color w:val="auto"/>
                <w:lang w:val="en-US" w:eastAsia="zh-CN"/>
              </w:rPr>
              <w:t>包装不合格品</w:t>
            </w:r>
          </w:p>
        </w:tc>
        <w:tc>
          <w:tcPr>
            <w:tcW w:w="1767" w:type="dxa"/>
            <w:shd w:val="clear" w:color="auto" w:fill="auto"/>
            <w:vAlign w:val="center"/>
          </w:tcPr>
          <w:p w14:paraId="6BEC8EF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w:t>
            </w:r>
            <w:r>
              <w:rPr>
                <w:rFonts w:hint="eastAsia" w:ascii="Times New Roman" w:hAnsi="Times New Roman" w:eastAsia="宋体" w:cs="Times New Roman"/>
                <w:color w:val="auto"/>
                <w:kern w:val="0"/>
                <w:szCs w:val="21"/>
                <w:lang w:val="en-US" w:eastAsia="zh-CN"/>
              </w:rPr>
              <w:t>t/a</w:t>
            </w:r>
          </w:p>
        </w:tc>
        <w:tc>
          <w:tcPr>
            <w:tcW w:w="1398" w:type="dxa"/>
            <w:shd w:val="clear" w:color="auto" w:fill="auto"/>
            <w:vAlign w:val="center"/>
          </w:tcPr>
          <w:p w14:paraId="6A293024">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color w:val="auto"/>
                <w:kern w:val="0"/>
                <w:szCs w:val="21"/>
                <w:highlight w:val="none"/>
              </w:rPr>
              <w:t>0</w:t>
            </w:r>
          </w:p>
        </w:tc>
        <w:tc>
          <w:tcPr>
            <w:tcW w:w="1579" w:type="dxa"/>
            <w:shd w:val="clear" w:color="auto" w:fill="auto"/>
            <w:vAlign w:val="center"/>
          </w:tcPr>
          <w:p w14:paraId="35C6FB28">
            <w:pPr>
              <w:keepNext w:val="0"/>
              <w:keepLines w:val="0"/>
              <w:widowControl/>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color w:val="auto"/>
                <w:kern w:val="0"/>
                <w:szCs w:val="21"/>
                <w:highlight w:val="none"/>
              </w:rPr>
              <w:t>0</w:t>
            </w:r>
          </w:p>
        </w:tc>
        <w:tc>
          <w:tcPr>
            <w:tcW w:w="1559" w:type="dxa"/>
            <w:shd w:val="clear" w:color="auto" w:fill="auto"/>
            <w:vAlign w:val="center"/>
          </w:tcPr>
          <w:p w14:paraId="6AC776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2.05</w:t>
            </w:r>
            <w:r>
              <w:rPr>
                <w:rFonts w:hint="eastAsia"/>
                <w:snapToGrid w:val="0"/>
                <w:color w:val="auto"/>
                <w:kern w:val="21"/>
                <w:szCs w:val="21"/>
              </w:rPr>
              <w:t>t/a</w:t>
            </w:r>
          </w:p>
        </w:tc>
        <w:tc>
          <w:tcPr>
            <w:tcW w:w="1761" w:type="dxa"/>
            <w:shd w:val="clear" w:color="auto" w:fill="auto"/>
            <w:vAlign w:val="center"/>
          </w:tcPr>
          <w:p w14:paraId="149C338A">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355F55F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2.05</w:t>
            </w:r>
            <w:r>
              <w:rPr>
                <w:rFonts w:hint="eastAsia"/>
                <w:snapToGrid w:val="0"/>
                <w:color w:val="auto"/>
                <w:kern w:val="21"/>
                <w:szCs w:val="21"/>
              </w:rPr>
              <w:t>t/a</w:t>
            </w:r>
          </w:p>
        </w:tc>
        <w:tc>
          <w:tcPr>
            <w:tcW w:w="1366" w:type="dxa"/>
            <w:shd w:val="clear" w:color="auto" w:fill="auto"/>
            <w:vAlign w:val="center"/>
          </w:tcPr>
          <w:p w14:paraId="5E6FF11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+2.05</w:t>
            </w:r>
            <w:r>
              <w:rPr>
                <w:rFonts w:hint="eastAsia"/>
                <w:snapToGrid w:val="0"/>
                <w:color w:val="auto"/>
                <w:kern w:val="21"/>
                <w:szCs w:val="21"/>
              </w:rPr>
              <w:t>t/a</w:t>
            </w:r>
          </w:p>
        </w:tc>
      </w:tr>
      <w:tr w14:paraId="2DDE3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0CB38E25">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1CA04F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lang w:val="en-US" w:eastAsia="zh-CN"/>
              </w:rPr>
            </w:pPr>
            <w:r>
              <w:rPr>
                <w:rFonts w:hint="eastAsia"/>
                <w:color w:val="auto"/>
                <w:lang w:val="en-US" w:eastAsia="zh-CN"/>
              </w:rPr>
              <w:t>废滤芯</w:t>
            </w:r>
          </w:p>
        </w:tc>
        <w:tc>
          <w:tcPr>
            <w:tcW w:w="1767" w:type="dxa"/>
            <w:shd w:val="clear" w:color="auto" w:fill="auto"/>
            <w:vAlign w:val="center"/>
          </w:tcPr>
          <w:p w14:paraId="4312CD8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w:t>
            </w:r>
            <w:r>
              <w:rPr>
                <w:rFonts w:hint="eastAsia" w:ascii="Times New Roman" w:hAnsi="Times New Roman" w:eastAsia="宋体" w:cs="Times New Roman"/>
                <w:color w:val="auto"/>
                <w:kern w:val="0"/>
                <w:szCs w:val="21"/>
                <w:lang w:val="en-US" w:eastAsia="zh-CN"/>
              </w:rPr>
              <w:t>t/a</w:t>
            </w:r>
          </w:p>
        </w:tc>
        <w:tc>
          <w:tcPr>
            <w:tcW w:w="1398" w:type="dxa"/>
            <w:shd w:val="clear" w:color="auto" w:fill="auto"/>
            <w:vAlign w:val="center"/>
          </w:tcPr>
          <w:p w14:paraId="34BAA2C5">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color w:val="auto"/>
                <w:kern w:val="0"/>
                <w:szCs w:val="21"/>
                <w:highlight w:val="none"/>
              </w:rPr>
              <w:t>0</w:t>
            </w:r>
          </w:p>
        </w:tc>
        <w:tc>
          <w:tcPr>
            <w:tcW w:w="1579" w:type="dxa"/>
            <w:shd w:val="clear" w:color="auto" w:fill="auto"/>
            <w:vAlign w:val="center"/>
          </w:tcPr>
          <w:p w14:paraId="2AA07B30">
            <w:pPr>
              <w:keepNext w:val="0"/>
              <w:keepLines w:val="0"/>
              <w:widowControl/>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color w:val="auto"/>
                <w:kern w:val="0"/>
                <w:szCs w:val="21"/>
                <w:highlight w:val="none"/>
              </w:rPr>
              <w:t>0</w:t>
            </w:r>
          </w:p>
        </w:tc>
        <w:tc>
          <w:tcPr>
            <w:tcW w:w="1559" w:type="dxa"/>
            <w:shd w:val="clear" w:color="auto" w:fill="auto"/>
            <w:vAlign w:val="center"/>
          </w:tcPr>
          <w:p w14:paraId="4336040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r>
              <w:rPr>
                <w:rFonts w:hint="eastAsia"/>
                <w:snapToGrid w:val="0"/>
                <w:color w:val="auto"/>
                <w:kern w:val="21"/>
                <w:szCs w:val="21"/>
              </w:rPr>
              <w:t>t/a</w:t>
            </w:r>
          </w:p>
        </w:tc>
        <w:tc>
          <w:tcPr>
            <w:tcW w:w="1761" w:type="dxa"/>
            <w:shd w:val="clear" w:color="auto" w:fill="auto"/>
            <w:vAlign w:val="center"/>
          </w:tcPr>
          <w:p w14:paraId="6DBAB86B">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4869B52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r>
              <w:rPr>
                <w:rFonts w:hint="eastAsia"/>
                <w:snapToGrid w:val="0"/>
                <w:color w:val="auto"/>
                <w:kern w:val="21"/>
                <w:szCs w:val="21"/>
              </w:rPr>
              <w:t>t/a</w:t>
            </w:r>
          </w:p>
        </w:tc>
        <w:tc>
          <w:tcPr>
            <w:tcW w:w="1366" w:type="dxa"/>
            <w:shd w:val="clear" w:color="auto" w:fill="auto"/>
            <w:vAlign w:val="center"/>
          </w:tcPr>
          <w:p w14:paraId="3BCC30D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r>
              <w:rPr>
                <w:rFonts w:hint="eastAsia"/>
                <w:snapToGrid w:val="0"/>
                <w:color w:val="auto"/>
                <w:kern w:val="21"/>
                <w:szCs w:val="21"/>
              </w:rPr>
              <w:t>t/a</w:t>
            </w:r>
          </w:p>
        </w:tc>
      </w:tr>
      <w:tr w14:paraId="000AE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702BB9B1">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4E1CDF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r>
              <w:rPr>
                <w:rFonts w:hint="eastAsia"/>
                <w:color w:val="auto"/>
                <w:lang w:val="en-US" w:eastAsia="zh-CN"/>
              </w:rPr>
              <w:t>污水站污泥</w:t>
            </w:r>
          </w:p>
        </w:tc>
        <w:tc>
          <w:tcPr>
            <w:tcW w:w="1767" w:type="dxa"/>
            <w:shd w:val="clear" w:color="auto" w:fill="auto"/>
            <w:vAlign w:val="center"/>
          </w:tcPr>
          <w:p w14:paraId="1FADA66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w:t>
            </w:r>
            <w:r>
              <w:rPr>
                <w:rFonts w:hint="eastAsia" w:ascii="Times New Roman" w:hAnsi="Times New Roman" w:eastAsia="宋体" w:cs="Times New Roman"/>
                <w:color w:val="auto"/>
                <w:kern w:val="0"/>
                <w:szCs w:val="21"/>
                <w:lang w:val="en-US" w:eastAsia="zh-CN"/>
              </w:rPr>
              <w:t>t/a</w:t>
            </w:r>
          </w:p>
        </w:tc>
        <w:tc>
          <w:tcPr>
            <w:tcW w:w="1398" w:type="dxa"/>
            <w:shd w:val="clear" w:color="auto" w:fill="auto"/>
            <w:vAlign w:val="center"/>
          </w:tcPr>
          <w:p w14:paraId="058FB1B0">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snapToGrid w:val="0"/>
                <w:color w:val="auto"/>
                <w:kern w:val="21"/>
                <w:szCs w:val="21"/>
                <w:highlight w:val="none"/>
              </w:rPr>
              <w:t>0</w:t>
            </w:r>
          </w:p>
        </w:tc>
        <w:tc>
          <w:tcPr>
            <w:tcW w:w="1579" w:type="dxa"/>
            <w:shd w:val="clear" w:color="auto" w:fill="auto"/>
            <w:vAlign w:val="center"/>
          </w:tcPr>
          <w:p w14:paraId="6A83A347">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snapToGrid w:val="0"/>
                <w:color w:val="auto"/>
                <w:kern w:val="21"/>
                <w:szCs w:val="21"/>
                <w:highlight w:val="none"/>
              </w:rPr>
              <w:t>0</w:t>
            </w:r>
          </w:p>
        </w:tc>
        <w:tc>
          <w:tcPr>
            <w:tcW w:w="1559" w:type="dxa"/>
            <w:shd w:val="clear" w:color="auto" w:fill="auto"/>
            <w:vAlign w:val="center"/>
          </w:tcPr>
          <w:p w14:paraId="62A72AC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0.2</w:t>
            </w:r>
            <w:r>
              <w:rPr>
                <w:rFonts w:hint="eastAsia"/>
                <w:snapToGrid w:val="0"/>
                <w:color w:val="auto"/>
                <w:kern w:val="21"/>
                <w:szCs w:val="21"/>
              </w:rPr>
              <w:t>t/a</w:t>
            </w:r>
          </w:p>
        </w:tc>
        <w:tc>
          <w:tcPr>
            <w:tcW w:w="1761" w:type="dxa"/>
            <w:shd w:val="clear" w:color="auto" w:fill="auto"/>
            <w:vAlign w:val="center"/>
          </w:tcPr>
          <w:p w14:paraId="2E6FC217">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07831B7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0.2</w:t>
            </w:r>
            <w:r>
              <w:rPr>
                <w:rFonts w:hint="eastAsia"/>
                <w:snapToGrid w:val="0"/>
                <w:color w:val="auto"/>
                <w:kern w:val="21"/>
                <w:szCs w:val="21"/>
              </w:rPr>
              <w:t>t/a</w:t>
            </w:r>
          </w:p>
        </w:tc>
        <w:tc>
          <w:tcPr>
            <w:tcW w:w="1366" w:type="dxa"/>
            <w:shd w:val="clear" w:color="auto" w:fill="auto"/>
            <w:vAlign w:val="center"/>
          </w:tcPr>
          <w:p w14:paraId="10A5EBB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+0.2</w:t>
            </w:r>
            <w:r>
              <w:rPr>
                <w:rFonts w:hint="eastAsia"/>
                <w:snapToGrid w:val="0"/>
                <w:color w:val="auto"/>
                <w:kern w:val="21"/>
                <w:szCs w:val="21"/>
              </w:rPr>
              <w:t>t/a</w:t>
            </w:r>
          </w:p>
        </w:tc>
      </w:tr>
      <w:tr w14:paraId="1E8E7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Align w:val="center"/>
          </w:tcPr>
          <w:p w14:paraId="071E8B3B">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r>
              <w:rPr>
                <w:rFonts w:hint="default" w:ascii="Times New Roman"/>
                <w:b/>
                <w:snapToGrid w:val="0"/>
                <w:color w:val="auto"/>
                <w:kern w:val="21"/>
                <w:szCs w:val="21"/>
              </w:rPr>
              <w:t>危险废物</w:t>
            </w:r>
          </w:p>
        </w:tc>
        <w:tc>
          <w:tcPr>
            <w:tcW w:w="1876" w:type="dxa"/>
            <w:vAlign w:val="center"/>
          </w:tcPr>
          <w:p w14:paraId="346B7C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lang w:val="en-US" w:eastAsia="zh-CN"/>
              </w:rPr>
            </w:pPr>
            <w:r>
              <w:rPr>
                <w:rFonts w:hint="eastAsia"/>
                <w:color w:val="auto"/>
                <w:lang w:val="en-US" w:eastAsia="zh-CN"/>
              </w:rPr>
              <w:t>实验室废液</w:t>
            </w:r>
          </w:p>
        </w:tc>
        <w:tc>
          <w:tcPr>
            <w:tcW w:w="1767" w:type="dxa"/>
            <w:vAlign w:val="center"/>
          </w:tcPr>
          <w:p w14:paraId="43EEC1F2">
            <w:pPr>
              <w:keepNext w:val="0"/>
              <w:keepLines w:val="0"/>
              <w:suppressLineNumbers w:val="0"/>
              <w:spacing w:before="0" w:beforeAutospacing="0" w:after="0" w:afterAutospacing="0"/>
              <w:ind w:left="0" w:right="0"/>
              <w:jc w:val="center"/>
              <w:rPr>
                <w:rFonts w:hint="eastAsia" w:eastAsia="宋体"/>
                <w:snapToGrid w:val="0"/>
                <w:color w:val="auto"/>
                <w:kern w:val="21"/>
                <w:szCs w:val="21"/>
                <w:lang w:eastAsia="zh-CN"/>
              </w:rPr>
            </w:pPr>
            <w:r>
              <w:rPr>
                <w:rFonts w:hint="eastAsia" w:cs="Times New Roman"/>
                <w:snapToGrid w:val="0"/>
                <w:color w:val="auto"/>
                <w:kern w:val="21"/>
                <w:sz w:val="21"/>
                <w:szCs w:val="21"/>
                <w:lang w:val="en-US" w:eastAsia="zh-CN" w:bidi="ar-SA"/>
              </w:rPr>
              <w:t>0</w:t>
            </w:r>
            <w:r>
              <w:rPr>
                <w:rFonts w:hint="eastAsia" w:ascii="Times New Roman" w:hAnsi="Times New Roman" w:eastAsia="宋体" w:cs="Times New Roman"/>
                <w:color w:val="auto"/>
                <w:kern w:val="0"/>
                <w:szCs w:val="21"/>
                <w:lang w:val="en-US" w:eastAsia="zh-CN"/>
              </w:rPr>
              <w:t>t/a</w:t>
            </w:r>
          </w:p>
        </w:tc>
        <w:tc>
          <w:tcPr>
            <w:tcW w:w="1398" w:type="dxa"/>
            <w:vAlign w:val="center"/>
          </w:tcPr>
          <w:p w14:paraId="4A93969A">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79" w:type="dxa"/>
            <w:vAlign w:val="center"/>
          </w:tcPr>
          <w:p w14:paraId="36BD6FC3">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59" w:type="dxa"/>
            <w:shd w:val="clear" w:color="auto" w:fill="auto"/>
            <w:vAlign w:val="center"/>
          </w:tcPr>
          <w:p w14:paraId="0489EF6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0.1</w:t>
            </w:r>
            <w:r>
              <w:rPr>
                <w:rFonts w:hint="eastAsia"/>
                <w:snapToGrid w:val="0"/>
                <w:color w:val="auto"/>
                <w:kern w:val="21"/>
                <w:szCs w:val="21"/>
              </w:rPr>
              <w:t>t/a</w:t>
            </w:r>
          </w:p>
        </w:tc>
        <w:tc>
          <w:tcPr>
            <w:tcW w:w="1761" w:type="dxa"/>
            <w:shd w:val="clear" w:color="auto" w:fill="auto"/>
            <w:vAlign w:val="center"/>
          </w:tcPr>
          <w:p w14:paraId="470D5974">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37C623AE">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0.1</w:t>
            </w:r>
            <w:r>
              <w:rPr>
                <w:rFonts w:hint="eastAsia"/>
                <w:snapToGrid w:val="0"/>
                <w:color w:val="auto"/>
                <w:kern w:val="21"/>
                <w:szCs w:val="21"/>
              </w:rPr>
              <w:t>t/a</w:t>
            </w:r>
          </w:p>
        </w:tc>
        <w:tc>
          <w:tcPr>
            <w:tcW w:w="1366" w:type="dxa"/>
            <w:shd w:val="clear" w:color="auto" w:fill="auto"/>
            <w:vAlign w:val="center"/>
          </w:tcPr>
          <w:p w14:paraId="688BB86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+0.1</w:t>
            </w:r>
            <w:r>
              <w:rPr>
                <w:rFonts w:hint="eastAsia"/>
                <w:snapToGrid w:val="0"/>
                <w:color w:val="auto"/>
                <w:kern w:val="21"/>
                <w:szCs w:val="21"/>
              </w:rPr>
              <w:t>t/a</w:t>
            </w:r>
          </w:p>
        </w:tc>
      </w:tr>
    </w:tbl>
    <w:p w14:paraId="6FED7E10">
      <w:pPr>
        <w:pStyle w:val="70"/>
        <w:spacing w:before="192" w:beforeLines="80" w:after="24"/>
        <w:jc w:val="left"/>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sectPr>
      <w:footerReference r:id="rId9" w:type="default"/>
      <w:pgSz w:w="16838" w:h="11906" w:orient="landscape"/>
      <w:pgMar w:top="1417" w:right="1418" w:bottom="1417" w:left="124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1" w:fontKey="{E37F72E6-1D0F-4CEA-B59E-8C05084E50C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8051C93-B39E-4CEC-BEA2-9A7A9C271542}"/>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TimesNewRomanPSMT">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楷体_GB2312">
    <w:altName w:val="Arial Unicode MS"/>
    <w:panose1 w:val="00000000000000000000"/>
    <w:charset w:val="86"/>
    <w:family w:val="modern"/>
    <w:pitch w:val="default"/>
    <w:sig w:usb0="00000000" w:usb1="00000000" w:usb2="00000000" w:usb3="00000000" w:csb0="00040000" w:csb1="00000000"/>
    <w:embedRegular r:id="rId3" w:fontKey="{FC68F97E-B688-455F-A202-028D86887680}"/>
  </w:font>
  <w:font w:name="Arial Unicode MS">
    <w:panose1 w:val="020B0604020202020204"/>
    <w:charset w:val="86"/>
    <w:family w:val="swiss"/>
    <w:pitch w:val="default"/>
    <w:sig w:usb0="FFFFFFFF" w:usb1="E9FFFFFF" w:usb2="0000003F" w:usb3="00000000" w:csb0="603F01FF" w:csb1="FFFF0000"/>
  </w:font>
  <w:font w:name="仿宋_GB2312">
    <w:altName w:val="Arial Unicode MS"/>
    <w:panose1 w:val="02010609030001010101"/>
    <w:charset w:val="86"/>
    <w:family w:val="modern"/>
    <w:pitch w:val="default"/>
    <w:sig w:usb0="00000000" w:usb1="00000000" w:usb2="00000010" w:usb3="00000000" w:csb0="00040000" w:csb1="00000000"/>
    <w:embedRegular r:id="rId4" w:fontKey="{839871F1-FC09-434D-B3B7-C5B2A7A59AF7}"/>
  </w:font>
  <w:font w:name="方正小标宋_GBK">
    <w:altName w:val="微软雅黑"/>
    <w:panose1 w:val="02000000000000000000"/>
    <w:charset w:val="86"/>
    <w:family w:val="script"/>
    <w:pitch w:val="default"/>
    <w:sig w:usb0="00000000" w:usb1="00000000" w:usb2="00082016" w:usb3="00000000" w:csb0="00040001" w:csb1="00000000"/>
    <w:embedRegular r:id="rId5" w:fontKey="{2368E9B6-EAEF-4A97-96A7-E2160D25C52B}"/>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embedRegular r:id="rId6" w:fontKey="{23D5E12D-4D84-4571-8D22-D80C4A666E9E}"/>
  </w:font>
  <w:font w:name="仿宋">
    <w:panose1 w:val="02010609060101010101"/>
    <w:charset w:val="86"/>
    <w:family w:val="modern"/>
    <w:pitch w:val="default"/>
    <w:sig w:usb0="800002BF" w:usb1="38CF7CFA" w:usb2="00000016" w:usb3="00000000" w:csb0="00040001" w:csb1="00000000"/>
    <w:embedRegular r:id="rId7" w:fontKey="{C55BB358-8565-45A4-A504-9D85CAEBEE78}"/>
  </w:font>
  <w:font w:name="Wingdings 2">
    <w:panose1 w:val="05020102010507070707"/>
    <w:charset w:val="02"/>
    <w:family w:val="roman"/>
    <w:pitch w:val="default"/>
    <w:sig w:usb0="00000000" w:usb1="00000000" w:usb2="00000000" w:usb3="00000000" w:csb0="80000000" w:csb1="00000000"/>
    <w:embedRegular r:id="rId8" w:fontKey="{BE8EC03C-2D25-4D46-A2D7-958FC822ADB0}"/>
  </w:font>
  <w:font w:name="Segoe UI">
    <w:panose1 w:val="020B0502040204020203"/>
    <w:charset w:val="00"/>
    <w:family w:val="auto"/>
    <w:pitch w:val="default"/>
    <w:sig w:usb0="E4002EFF" w:usb1="C000E47F" w:usb2="00000009" w:usb3="00000000" w:csb0="200001FF" w:csb1="00000000"/>
    <w:embedRegular r:id="rId9" w:fontKey="{772E3080-8FCE-4391-A8D0-6A0A8F04DD74}"/>
  </w:font>
  <w:font w:name="KSOFC16CA000">
    <w:panose1 w:val="020B0604020202020204"/>
    <w:charset w:val="86"/>
    <w:family w:val="auto"/>
    <w:pitch w:val="default"/>
    <w:sig w:usb0="00000001" w:usb1="00000000" w:usb2="00000000" w:usb3="00000000" w:csb0="00040001" w:csb1="00000000"/>
  </w:font>
  <w:font w:name="KSOF2BE21744">
    <w:panose1 w:val="02020500000000000000"/>
    <w:charset w:val="88"/>
    <w:family w:val="auto"/>
    <w:pitch w:val="default"/>
    <w:sig w:usb0="00000001" w:usb1="00000000" w:usb2="00000000" w:usb3="00000000" w:csb0="00100001" w:csb1="00000000"/>
  </w:font>
  <w:font w:name="KSOF4C34E66F">
    <w:panose1 w:val="020B0604020202020204"/>
    <w:charset w:val="86"/>
    <w:family w:val="auto"/>
    <w:pitch w:val="default"/>
    <w:sig w:usb0="00000001" w:usb1="00000000" w:usb2="00000000" w:usb3="00000000" w:csb0="00040001" w:csb1="00000000"/>
  </w:font>
  <w:font w:name="WPSEMBED5">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CCB77">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E6E6A">
    <w:pPr>
      <w:pStyle w:val="22"/>
      <w:framePr w:wrap="around" w:vAnchor="text" w:hAnchor="margin" w:xAlign="center" w:y="1"/>
      <w:rPr>
        <w:rStyle w:val="39"/>
      </w:rPr>
    </w:pPr>
    <w:r>
      <w:fldChar w:fldCharType="begin"/>
    </w:r>
    <w:r>
      <w:rPr>
        <w:rStyle w:val="39"/>
      </w:rPr>
      <w:instrText xml:space="preserve">PAGE  </w:instrText>
    </w:r>
    <w:r>
      <w:fldChar w:fldCharType="end"/>
    </w:r>
  </w:p>
  <w:p w14:paraId="25ACE834">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5F2E0">
    <w:pPr>
      <w:pStyle w:val="22"/>
      <w:ind w:right="360" w:firstLine="360"/>
      <w:jc w:val="center"/>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204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B641C15">
                          <w:pPr>
                            <w:pStyle w:val="22"/>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sz w:val="26"/>
                              <w:szCs w:val="26"/>
                            </w:rPr>
                            <w:fldChar w:fldCharType="begin"/>
                          </w:r>
                          <w:r>
                            <w:rPr>
                              <w:rStyle w:val="39"/>
                              <w:sz w:val="26"/>
                              <w:szCs w:val="26"/>
                            </w:rPr>
                            <w:instrText xml:space="preserve">PAGE  </w:instrText>
                          </w:r>
                          <w:r>
                            <w:rPr>
                              <w:sz w:val="26"/>
                              <w:szCs w:val="26"/>
                            </w:rPr>
                            <w:fldChar w:fldCharType="separate"/>
                          </w:r>
                          <w:r>
                            <w:rPr>
                              <w:rStyle w:val="39"/>
                              <w:sz w:val="26"/>
                              <w:szCs w:val="26"/>
                            </w:rPr>
                            <w:t>18</w:t>
                          </w:r>
                          <w:r>
                            <w:rPr>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wps:txbx>
                    <wps:bodyPr wrap="none" lIns="0" tIns="0" rIns="0" bIns="0" upright="0">
                      <a:spAutoFit/>
                    </wps:bodyPr>
                  </wps:wsp>
                </a:graphicData>
              </a:graphic>
            </wp:anchor>
          </w:drawing>
        </mc:Choice>
        <mc:Fallback>
          <w:pict>
            <v:rect id="文本框 2049"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f00dbGAQAAigMAAA4AAABkcnMvZTJvRG9jLnhtbK1TzW7bMAy+D9g7&#10;CLovdoJiS404RYGgw4BhK9D1ARRZjgXoD6QSOy+wvcFOu+y+58pzjJKddOguPfQikyL9kd9HanUz&#10;WMMOClB7V/P5rORMOekb7XY1f/x2927JGUbhGmG8UzU/KuQ367dvVn2o1MJ33jQKGIE4rPpQ8y7G&#10;UBUFyk5ZgTMflKNg68GKSC7sigZET+jWFIuyfF/0HpoAXipEut2MQT4hwksAfdtqqTZe7q1ycUQF&#10;ZUQkStjpgHydu21bJePXtkUVmak5MY35pCJkb9NZrFei2oEInZZTC+IlLTzjZIV2VPQCtRFRsD3o&#10;/6CsluDRt3EmvS1GIlkRYjEvn2nz0ImgMheSGsNFdHw9WPnlcA9MNzW/Kq8/cOaEpZmffv44/fpz&#10;+v2dLcqr6yRSH7Ci3IdwD5OHZCbGQws2fYkLG7Kwx4uwaohM0uV8uVguS9JcUuzsEE7x9HsAjB+V&#10;tywZNQeaXBZUHD5jHFPPKamacel0/k4bM0bTTZHaHBtLVhy2w9Tt1jdHItrTpGvuaLE5M58cCZmW&#10;4mzA2diejX0Avevy1qR6GG73kWrmhlKFEXYqTCPKlKZ1Sjvwr5+znp7Q+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5/TR1sYBAACKAwAADgAAAAAAAAABACAAAAAfAQAAZHJzL2Uyb0RvYy54&#10;bWxQSwUGAAAAAAYABgBZAQAAVwUAAAAA&#10;">
              <v:fill on="f" focussize="0,0"/>
              <v:stroke on="f"/>
              <v:imagedata o:title=""/>
              <o:lock v:ext="edit" aspectratio="f"/>
              <v:textbox inset="0mm,0mm,0mm,0mm" style="mso-fit-shape-to-text:t;">
                <w:txbxContent>
                  <w:p w14:paraId="5B641C15">
                    <w:pPr>
                      <w:pStyle w:val="22"/>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sz w:val="26"/>
                        <w:szCs w:val="26"/>
                      </w:rPr>
                      <w:fldChar w:fldCharType="begin"/>
                    </w:r>
                    <w:r>
                      <w:rPr>
                        <w:rStyle w:val="39"/>
                        <w:sz w:val="26"/>
                        <w:szCs w:val="26"/>
                      </w:rPr>
                      <w:instrText xml:space="preserve">PAGE  </w:instrText>
                    </w:r>
                    <w:r>
                      <w:rPr>
                        <w:sz w:val="26"/>
                        <w:szCs w:val="26"/>
                      </w:rPr>
                      <w:fldChar w:fldCharType="separate"/>
                    </w:r>
                    <w:r>
                      <w:rPr>
                        <w:rStyle w:val="39"/>
                        <w:sz w:val="26"/>
                        <w:szCs w:val="26"/>
                      </w:rPr>
                      <w:t>18</w:t>
                    </w:r>
                    <w:r>
                      <w:rPr>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3F931">
    <w:pPr>
      <w:pStyle w:val="22"/>
      <w:ind w:right="360" w:firstLine="360"/>
      <w:jc w:val="center"/>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8" name="文本框 204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55AD7F2">
                          <w:pPr>
                            <w:pStyle w:val="22"/>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sz w:val="26"/>
                              <w:szCs w:val="26"/>
                            </w:rPr>
                            <w:fldChar w:fldCharType="begin"/>
                          </w:r>
                          <w:r>
                            <w:rPr>
                              <w:rStyle w:val="39"/>
                              <w:sz w:val="26"/>
                              <w:szCs w:val="26"/>
                            </w:rPr>
                            <w:instrText xml:space="preserve">PAGE  </w:instrText>
                          </w:r>
                          <w:r>
                            <w:rPr>
                              <w:sz w:val="26"/>
                              <w:szCs w:val="26"/>
                            </w:rPr>
                            <w:fldChar w:fldCharType="separate"/>
                          </w:r>
                          <w:r>
                            <w:rPr>
                              <w:rStyle w:val="39"/>
                              <w:sz w:val="26"/>
                              <w:szCs w:val="26"/>
                            </w:rPr>
                            <w:t>18</w:t>
                          </w:r>
                          <w:r>
                            <w:rPr>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wps:txbx>
                    <wps:bodyPr wrap="none" lIns="0" tIns="0" rIns="0" bIns="0" upright="0">
                      <a:spAutoFit/>
                    </wps:bodyPr>
                  </wps:wsp>
                </a:graphicData>
              </a:graphic>
            </wp:anchor>
          </w:drawing>
        </mc:Choice>
        <mc:Fallback>
          <w:pict>
            <v:rect id="文本框 2049"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XL9EbFAQAAigMAAA4AAABkcnMvZTJvRG9jLnhtbK1TzY7TMBC+I/EO&#10;lu80abVC3ajpCqlahIRgpYUHcB2nseQ/zbhN+gLwBpy4cOe5+hyMnaSLlsseuDgznsk3830z3twN&#10;1rCTAtTe1Xy5KDlTTvpGu0PNv365f7PmDKNwjTDeqZqfFfK77etXmz5UauU7bxoFjEAcVn2oeRdj&#10;qIoCZaeswIUPylGw9WBFJBcORQOiJ3RrilVZvi16D00ALxUi3e7GIJ8Q4SWAvm21VDsvj1a5OKKC&#10;MiISJex0QL7N3batkvFz26KKzNScmMZ8UhGy9+ksthtRHUCETsupBfGSFp5xskI7KnqF2oko2BH0&#10;P1BWS/Do27iQ3hYjkawIsViWz7R57ERQmQtJjeEqOv4/WPnp9ABMNzW/KW9p8k5Ymvnlx/fLz9+X&#10;X9/Yqry5TSL1ASvKfQwPMHlIZmI8tGDTl7iwIQt7vgqrhsgkXS7Xq/W6JM0lxWaHcIqn3wNgfK+8&#10;ZcmoOdDksqDi9BHjmDqnpGrGpdP5e23MGE03RWpzbCxZcdgPU7d735yJaE+TrrmjxebMfHAkZFqK&#10;2YDZ2M/GMYA+dHlrUj0M746RauaGUoURdipMI8qUpnVKO/C3n7OentD2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CFy/RGxQEAAIoDAAAOAAAAAAAAAAEAIAAAAB8BAABkcnMvZTJvRG9jLnht&#10;bFBLBQYAAAAABgAGAFkBAABWBQAAAAA=&#10;">
              <v:fill on="f" focussize="0,0"/>
              <v:stroke on="f"/>
              <v:imagedata o:title=""/>
              <o:lock v:ext="edit" aspectratio="f"/>
              <v:textbox inset="0mm,0mm,0mm,0mm" style="mso-fit-shape-to-text:t;">
                <w:txbxContent>
                  <w:p w14:paraId="555AD7F2">
                    <w:pPr>
                      <w:pStyle w:val="22"/>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sz w:val="26"/>
                        <w:szCs w:val="26"/>
                      </w:rPr>
                      <w:fldChar w:fldCharType="begin"/>
                    </w:r>
                    <w:r>
                      <w:rPr>
                        <w:rStyle w:val="39"/>
                        <w:sz w:val="26"/>
                        <w:szCs w:val="26"/>
                      </w:rPr>
                      <w:instrText xml:space="preserve">PAGE  </w:instrText>
                    </w:r>
                    <w:r>
                      <w:rPr>
                        <w:sz w:val="26"/>
                        <w:szCs w:val="26"/>
                      </w:rPr>
                      <w:fldChar w:fldCharType="separate"/>
                    </w:r>
                    <w:r>
                      <w:rPr>
                        <w:rStyle w:val="39"/>
                        <w:sz w:val="26"/>
                        <w:szCs w:val="26"/>
                      </w:rPr>
                      <w:t>18</w:t>
                    </w:r>
                    <w:r>
                      <w:rPr>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DB96A">
    <w:pPr>
      <w:pStyle w:val="2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26CCC">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36714">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310768"/>
    <w:multiLevelType w:val="singleLevel"/>
    <w:tmpl w:val="9B310768"/>
    <w:lvl w:ilvl="0" w:tentative="0">
      <w:start w:val="1"/>
      <w:numFmt w:val="decimal"/>
      <w:suff w:val="nothing"/>
      <w:lvlText w:val="（%1）"/>
      <w:lvlJc w:val="left"/>
    </w:lvl>
  </w:abstractNum>
  <w:abstractNum w:abstractNumId="1">
    <w:nsid w:val="9E87480C"/>
    <w:multiLevelType w:val="singleLevel"/>
    <w:tmpl w:val="9E87480C"/>
    <w:lvl w:ilvl="0" w:tentative="0">
      <w:start w:val="1"/>
      <w:numFmt w:val="decimal"/>
      <w:suff w:val="nothing"/>
      <w:lvlText w:val="表4-%1  "/>
      <w:lvlJc w:val="center"/>
      <w:pPr>
        <w:tabs>
          <w:tab w:val="left" w:pos="420"/>
        </w:tabs>
        <w:ind w:left="0" w:firstLine="0"/>
      </w:pPr>
      <w:rPr>
        <w:rFonts w:hint="default"/>
        <w:b/>
        <w:sz w:val="24"/>
      </w:rPr>
    </w:lvl>
  </w:abstractNum>
  <w:abstractNum w:abstractNumId="2">
    <w:nsid w:val="9ED36A78"/>
    <w:multiLevelType w:val="singleLevel"/>
    <w:tmpl w:val="9ED36A78"/>
    <w:lvl w:ilvl="0" w:tentative="0">
      <w:start w:val="1"/>
      <w:numFmt w:val="decimal"/>
      <w:suff w:val="nothing"/>
      <w:lvlText w:val="（%1）"/>
      <w:lvlJc w:val="left"/>
    </w:lvl>
  </w:abstractNum>
  <w:abstractNum w:abstractNumId="3">
    <w:nsid w:val="00000001"/>
    <w:multiLevelType w:val="multilevel"/>
    <w:tmpl w:val="00000001"/>
    <w:lvl w:ilvl="0" w:tentative="0">
      <w:start w:val="1"/>
      <w:numFmt w:val="decimal"/>
      <w:suff w:val="space"/>
      <w:lvlText w:val="%1"/>
      <w:lvlJc w:val="left"/>
      <w:pPr>
        <w:ind w:left="0" w:firstLine="0"/>
      </w:pPr>
      <w:rPr>
        <w:rFonts w:hint="eastAsia"/>
        <w:sz w:val="30"/>
        <w:szCs w:val="30"/>
      </w:rPr>
    </w:lvl>
    <w:lvl w:ilvl="1" w:tentative="0">
      <w:start w:val="1"/>
      <w:numFmt w:val="decimal"/>
      <w:pStyle w:val="60"/>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00000003"/>
    <w:multiLevelType w:val="singleLevel"/>
    <w:tmpl w:val="00000003"/>
    <w:lvl w:ilvl="0" w:tentative="0">
      <w:start w:val="1"/>
      <w:numFmt w:val="decimal"/>
      <w:suff w:val="nothing"/>
      <w:lvlText w:val="%1"/>
      <w:lvlJc w:val="left"/>
      <w:pPr>
        <w:tabs>
          <w:tab w:val="left" w:pos="420"/>
        </w:tabs>
        <w:ind w:left="0" w:firstLine="0"/>
      </w:pPr>
      <w:rPr>
        <w:rFonts w:hint="default"/>
      </w:rPr>
    </w:lvl>
  </w:abstractNum>
  <w:abstractNum w:abstractNumId="5">
    <w:nsid w:val="00000004"/>
    <w:multiLevelType w:val="singleLevel"/>
    <w:tmpl w:val="00000004"/>
    <w:lvl w:ilvl="0" w:tentative="0">
      <w:start w:val="1"/>
      <w:numFmt w:val="decimal"/>
      <w:suff w:val="nothing"/>
      <w:lvlText w:val="图4-%1  "/>
      <w:lvlJc w:val="left"/>
      <w:pPr>
        <w:tabs>
          <w:tab w:val="left" w:pos="0"/>
        </w:tabs>
        <w:ind w:left="425" w:hanging="425"/>
      </w:pPr>
      <w:rPr>
        <w:rFonts w:hint="default"/>
        <w:b/>
        <w:sz w:val="24"/>
      </w:rPr>
    </w:lvl>
  </w:abstractNum>
  <w:abstractNum w:abstractNumId="6">
    <w:nsid w:val="00000006"/>
    <w:multiLevelType w:val="singleLevel"/>
    <w:tmpl w:val="00000006"/>
    <w:lvl w:ilvl="0" w:tentative="0">
      <w:start w:val="1"/>
      <w:numFmt w:val="decimal"/>
      <w:suff w:val="nothing"/>
      <w:lvlText w:val="（%1）"/>
      <w:lvlJc w:val="left"/>
      <w:pPr>
        <w:tabs>
          <w:tab w:val="left" w:pos="420"/>
        </w:tabs>
        <w:ind w:left="0" w:firstLine="0"/>
      </w:pPr>
      <w:rPr>
        <w:rFonts w:hint="default"/>
        <w:sz w:val="24"/>
      </w:rPr>
    </w:lvl>
  </w:abstractNum>
  <w:abstractNum w:abstractNumId="7">
    <w:nsid w:val="00000007"/>
    <w:multiLevelType w:val="singleLevel"/>
    <w:tmpl w:val="00000007"/>
    <w:lvl w:ilvl="0" w:tentative="0">
      <w:start w:val="1"/>
      <w:numFmt w:val="decimal"/>
      <w:suff w:val="nothing"/>
      <w:lvlText w:val="%1"/>
      <w:lvlJc w:val="center"/>
      <w:pPr>
        <w:tabs>
          <w:tab w:val="left" w:pos="0"/>
        </w:tabs>
        <w:ind w:left="84" w:firstLine="0"/>
      </w:pPr>
      <w:rPr>
        <w:rFonts w:hint="default"/>
      </w:rPr>
    </w:lvl>
  </w:abstractNum>
  <w:abstractNum w:abstractNumId="8">
    <w:nsid w:val="00000009"/>
    <w:multiLevelType w:val="singleLevel"/>
    <w:tmpl w:val="00000009"/>
    <w:lvl w:ilvl="0" w:tentative="0">
      <w:start w:val="1"/>
      <w:numFmt w:val="decimal"/>
      <w:suff w:val="nothing"/>
      <w:lvlText w:val="表3-%1  "/>
      <w:lvlJc w:val="left"/>
      <w:pPr>
        <w:tabs>
          <w:tab w:val="left" w:pos="0"/>
        </w:tabs>
        <w:ind w:left="0" w:firstLine="0"/>
      </w:pPr>
      <w:rPr>
        <w:rFonts w:hint="default"/>
        <w:b/>
        <w:sz w:val="24"/>
      </w:rPr>
    </w:lvl>
  </w:abstractNum>
  <w:abstractNum w:abstractNumId="9">
    <w:nsid w:val="0000000B"/>
    <w:multiLevelType w:val="singleLevel"/>
    <w:tmpl w:val="0000000B"/>
    <w:lvl w:ilvl="0" w:tentative="0">
      <w:start w:val="1"/>
      <w:numFmt w:val="decimal"/>
      <w:suff w:val="nothing"/>
      <w:lvlText w:val="（%1）"/>
      <w:lvlJc w:val="left"/>
    </w:lvl>
  </w:abstractNum>
  <w:abstractNum w:abstractNumId="10">
    <w:nsid w:val="0000000C"/>
    <w:multiLevelType w:val="singleLevel"/>
    <w:tmpl w:val="0000000C"/>
    <w:lvl w:ilvl="0" w:tentative="0">
      <w:start w:val="1"/>
      <w:numFmt w:val="decimal"/>
      <w:suff w:val="nothing"/>
      <w:lvlText w:val="%1"/>
      <w:lvlJc w:val="center"/>
      <w:pPr>
        <w:tabs>
          <w:tab w:val="left" w:pos="0"/>
        </w:tabs>
        <w:ind w:left="84" w:firstLine="0"/>
      </w:pPr>
      <w:rPr>
        <w:rFonts w:hint="default"/>
      </w:rPr>
    </w:lvl>
  </w:abstractNum>
  <w:abstractNum w:abstractNumId="11">
    <w:nsid w:val="0000000D"/>
    <w:multiLevelType w:val="multilevel"/>
    <w:tmpl w:val="0000000D"/>
    <w:lvl w:ilvl="0" w:tentative="0">
      <w:start w:val="1"/>
      <w:numFmt w:val="decimal"/>
      <w:suff w:val="nothing"/>
      <w:lvlText w:val="%1"/>
      <w:lvlJc w:val="center"/>
      <w:pPr>
        <w:tabs>
          <w:tab w:val="left" w:pos="0"/>
        </w:tabs>
        <w:ind w:left="0" w:firstLine="0"/>
      </w:pPr>
      <w:rPr>
        <w:rFonts w:hint="default" w:ascii="Times New Roman" w:hAnsi="Times New Roman" w:cs="Times New Roman"/>
        <w:sz w:val="21"/>
        <w:szCs w:val="21"/>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0000000E"/>
    <w:multiLevelType w:val="singleLevel"/>
    <w:tmpl w:val="0000000E"/>
    <w:lvl w:ilvl="0" w:tentative="0">
      <w:start w:val="1"/>
      <w:numFmt w:val="decimal"/>
      <w:suff w:val="nothing"/>
      <w:lvlText w:val="表2-%1  "/>
      <w:lvlJc w:val="left"/>
      <w:pPr>
        <w:tabs>
          <w:tab w:val="left" w:pos="0"/>
        </w:tabs>
        <w:ind w:left="0" w:firstLine="0"/>
      </w:pPr>
      <w:rPr>
        <w:rFonts w:hint="default"/>
        <w:b/>
        <w:sz w:val="24"/>
      </w:rPr>
    </w:lvl>
  </w:abstractNum>
  <w:abstractNum w:abstractNumId="13">
    <w:nsid w:val="0000000F"/>
    <w:multiLevelType w:val="singleLevel"/>
    <w:tmpl w:val="0000000F"/>
    <w:lvl w:ilvl="0" w:tentative="0">
      <w:start w:val="1"/>
      <w:numFmt w:val="decimal"/>
      <w:suff w:val="nothing"/>
      <w:lvlText w:val="（%1）"/>
      <w:lvlJc w:val="left"/>
    </w:lvl>
  </w:abstractNum>
  <w:abstractNum w:abstractNumId="14">
    <w:nsid w:val="00000010"/>
    <w:multiLevelType w:val="multilevel"/>
    <w:tmpl w:val="00000010"/>
    <w:lvl w:ilvl="0" w:tentative="0">
      <w:start w:val="1"/>
      <w:numFmt w:val="decimal"/>
      <w:pStyle w:val="134"/>
      <w:suff w:val="nothing"/>
      <w:lvlText w:val="(%1)、"/>
      <w:lvlJc w:val="left"/>
      <w:pPr>
        <w:ind w:left="568" w:firstLine="0"/>
      </w:pPr>
      <w:rPr>
        <w:rFonts w:hint="default"/>
      </w:rPr>
    </w:lvl>
    <w:lvl w:ilvl="1" w:tentative="0">
      <w:start w:val="1"/>
      <w:numFmt w:val="lowerLetter"/>
      <w:lvlText w:val="%2)"/>
      <w:lvlJc w:val="left"/>
      <w:pPr>
        <w:ind w:left="2248" w:hanging="420"/>
      </w:pPr>
    </w:lvl>
    <w:lvl w:ilvl="2" w:tentative="0">
      <w:start w:val="1"/>
      <w:numFmt w:val="lowerRoman"/>
      <w:lvlText w:val="%3."/>
      <w:lvlJc w:val="right"/>
      <w:pPr>
        <w:ind w:left="2668" w:hanging="420"/>
      </w:pPr>
    </w:lvl>
    <w:lvl w:ilvl="3" w:tentative="0">
      <w:start w:val="1"/>
      <w:numFmt w:val="decimal"/>
      <w:lvlText w:val="%4."/>
      <w:lvlJc w:val="left"/>
      <w:pPr>
        <w:ind w:left="3088" w:hanging="420"/>
      </w:pPr>
    </w:lvl>
    <w:lvl w:ilvl="4" w:tentative="0">
      <w:start w:val="1"/>
      <w:numFmt w:val="lowerLetter"/>
      <w:lvlText w:val="%5)"/>
      <w:lvlJc w:val="left"/>
      <w:pPr>
        <w:ind w:left="3508" w:hanging="420"/>
      </w:pPr>
    </w:lvl>
    <w:lvl w:ilvl="5" w:tentative="0">
      <w:start w:val="1"/>
      <w:numFmt w:val="lowerRoman"/>
      <w:lvlText w:val="%6."/>
      <w:lvlJc w:val="right"/>
      <w:pPr>
        <w:ind w:left="3928" w:hanging="420"/>
      </w:pPr>
    </w:lvl>
    <w:lvl w:ilvl="6" w:tentative="0">
      <w:start w:val="1"/>
      <w:numFmt w:val="decimal"/>
      <w:lvlText w:val="%7."/>
      <w:lvlJc w:val="left"/>
      <w:pPr>
        <w:ind w:left="4348" w:hanging="420"/>
      </w:pPr>
    </w:lvl>
    <w:lvl w:ilvl="7" w:tentative="0">
      <w:start w:val="1"/>
      <w:numFmt w:val="lowerLetter"/>
      <w:lvlText w:val="%8)"/>
      <w:lvlJc w:val="left"/>
      <w:pPr>
        <w:ind w:left="4768" w:hanging="420"/>
      </w:pPr>
    </w:lvl>
    <w:lvl w:ilvl="8" w:tentative="0">
      <w:start w:val="1"/>
      <w:numFmt w:val="lowerRoman"/>
      <w:lvlText w:val="%9."/>
      <w:lvlJc w:val="right"/>
      <w:pPr>
        <w:ind w:left="5188" w:hanging="420"/>
      </w:pPr>
    </w:lvl>
  </w:abstractNum>
  <w:abstractNum w:abstractNumId="15">
    <w:nsid w:val="00000011"/>
    <w:multiLevelType w:val="singleLevel"/>
    <w:tmpl w:val="00000011"/>
    <w:lvl w:ilvl="0" w:tentative="0">
      <w:start w:val="2"/>
      <w:numFmt w:val="decimal"/>
      <w:suff w:val="nothing"/>
      <w:lvlText w:val="%1、"/>
      <w:lvlJc w:val="left"/>
    </w:lvl>
  </w:abstractNum>
  <w:abstractNum w:abstractNumId="16">
    <w:nsid w:val="00000012"/>
    <w:multiLevelType w:val="singleLevel"/>
    <w:tmpl w:val="00000012"/>
    <w:lvl w:ilvl="0" w:tentative="0">
      <w:start w:val="1"/>
      <w:numFmt w:val="decimal"/>
      <w:suff w:val="nothing"/>
      <w:lvlText w:val="%1、"/>
      <w:lvlJc w:val="left"/>
    </w:lvl>
  </w:abstractNum>
  <w:abstractNum w:abstractNumId="17">
    <w:nsid w:val="00000013"/>
    <w:multiLevelType w:val="singleLevel"/>
    <w:tmpl w:val="00000013"/>
    <w:lvl w:ilvl="0" w:tentative="0">
      <w:start w:val="1"/>
      <w:numFmt w:val="decimal"/>
      <w:suff w:val="nothing"/>
      <w:lvlText w:val="（%1）"/>
      <w:lvlJc w:val="left"/>
    </w:lvl>
  </w:abstractNum>
  <w:abstractNum w:abstractNumId="18">
    <w:nsid w:val="00000014"/>
    <w:multiLevelType w:val="singleLevel"/>
    <w:tmpl w:val="00000014"/>
    <w:lvl w:ilvl="0" w:tentative="0">
      <w:start w:val="1"/>
      <w:numFmt w:val="decimal"/>
      <w:suff w:val="nothing"/>
      <w:lvlText w:val="%1"/>
      <w:lvlJc w:val="center"/>
      <w:pPr>
        <w:tabs>
          <w:tab w:val="left" w:pos="0"/>
        </w:tabs>
        <w:ind w:left="84" w:firstLine="0"/>
      </w:pPr>
      <w:rPr>
        <w:rFonts w:hint="default"/>
      </w:rPr>
    </w:lvl>
  </w:abstractNum>
  <w:abstractNum w:abstractNumId="19">
    <w:nsid w:val="00000015"/>
    <w:multiLevelType w:val="singleLevel"/>
    <w:tmpl w:val="00000015"/>
    <w:lvl w:ilvl="0" w:tentative="0">
      <w:start w:val="1"/>
      <w:numFmt w:val="decimal"/>
      <w:suff w:val="nothing"/>
      <w:lvlText w:val="%1、"/>
      <w:lvlJc w:val="left"/>
    </w:lvl>
  </w:abstractNum>
  <w:abstractNum w:abstractNumId="20">
    <w:nsid w:val="00000016"/>
    <w:multiLevelType w:val="singleLevel"/>
    <w:tmpl w:val="00000016"/>
    <w:lvl w:ilvl="0" w:tentative="0">
      <w:start w:val="1"/>
      <w:numFmt w:val="decimal"/>
      <w:suff w:val="nothing"/>
      <w:lvlText w:val="表1-%1  "/>
      <w:lvlJc w:val="center"/>
      <w:pPr>
        <w:tabs>
          <w:tab w:val="left" w:pos="0"/>
        </w:tabs>
        <w:ind w:left="0" w:firstLine="0"/>
      </w:pPr>
      <w:rPr>
        <w:rFonts w:hint="default" w:ascii="Times New Roman" w:hAnsi="Times New Roman" w:eastAsia="宋体" w:cs="宋体"/>
        <w:b/>
        <w:sz w:val="24"/>
        <w:szCs w:val="21"/>
      </w:rPr>
    </w:lvl>
  </w:abstractNum>
  <w:abstractNum w:abstractNumId="21">
    <w:nsid w:val="00000017"/>
    <w:multiLevelType w:val="multilevel"/>
    <w:tmpl w:val="00000017"/>
    <w:lvl w:ilvl="0" w:tentative="0">
      <w:start w:val="1"/>
      <w:numFmt w:val="decimal"/>
      <w:isLgl/>
      <w:suff w:val="space"/>
      <w:lvlText w:val="第%1章"/>
      <w:lvlJc w:val="center"/>
      <w:pPr>
        <w:tabs>
          <w:tab w:val="left" w:pos="0"/>
        </w:tabs>
        <w:ind w:left="0" w:firstLine="0"/>
      </w:pPr>
      <w:rPr>
        <w:rFonts w:hint="default" w:ascii="Times New Roman" w:hAnsi="Times New Roman" w:eastAsia="宋体" w:cs="Times New Roman"/>
        <w:b/>
        <w:bCs/>
        <w:i w:val="0"/>
        <w:sz w:val="32"/>
        <w:szCs w:val="32"/>
        <w:lang w:val="en-US"/>
      </w:rPr>
    </w:lvl>
    <w:lvl w:ilvl="1" w:tentative="0">
      <w:start w:val="1"/>
      <w:numFmt w:val="decimal"/>
      <w:isLgl/>
      <w:suff w:val="space"/>
      <w:lvlText w:val="%1.%2"/>
      <w:lvlJc w:val="left"/>
      <w:pPr>
        <w:tabs>
          <w:tab w:val="left" w:pos="0"/>
        </w:tabs>
        <w:ind w:left="0" w:firstLine="0"/>
      </w:pPr>
      <w:rPr>
        <w:rFonts w:hint="default" w:ascii="Times New Roman" w:hAnsi="Times New Roman" w:eastAsia="宋体"/>
        <w:b/>
        <w:bCs/>
        <w:i w:val="0"/>
        <w:sz w:val="28"/>
        <w:szCs w:val="28"/>
      </w:rPr>
    </w:lvl>
    <w:lvl w:ilvl="2" w:tentative="0">
      <w:start w:val="1"/>
      <w:numFmt w:val="decimal"/>
      <w:isLgl/>
      <w:suff w:val="space"/>
      <w:lvlText w:val="%1.%2.%3"/>
      <w:lvlJc w:val="left"/>
      <w:pPr>
        <w:tabs>
          <w:tab w:val="left" w:pos="0"/>
        </w:tabs>
        <w:ind w:left="0" w:firstLine="0"/>
      </w:pPr>
      <w:rPr>
        <w:rFonts w:hint="default" w:ascii="Times New Roman" w:hAnsi="Times New Roman" w:eastAsia="宋体" w:cs="Times New Roman"/>
        <w:b/>
        <w:bCs/>
        <w:i w:val="0"/>
        <w:iCs w:val="0"/>
        <w:caps w:val="0"/>
        <w:smallCaps w:val="0"/>
        <w:outline w:val="0"/>
        <w:emboss w:val="0"/>
        <w:imprint w:val="0"/>
        <w:color w:val="auto"/>
        <w:spacing w:val="0"/>
        <w:w w:val="100"/>
        <w:kern w:val="0"/>
        <w:position w:val="0"/>
        <w:sz w:val="24"/>
        <w:szCs w:val="24"/>
        <w:u w:val="none"/>
        <w:shd w:val="clear" w:color="auto" w:fill="auto"/>
        <w:lang w:val="en-US" w:eastAsia="zh-CN"/>
        <w14:shadow w14:blurRad="0" w14:dist="0" w14:dir="0" w14:sx="100000" w14:sy="100000" w14:kx="0" w14:ky="0" w14:algn="none">
          <w14:srgbClr w14:val="808080"/>
        </w14:shadow>
      </w:rPr>
    </w:lvl>
    <w:lvl w:ilvl="3" w:tentative="0">
      <w:start w:val="1"/>
      <w:numFmt w:val="decimal"/>
      <w:pStyle w:val="5"/>
      <w:isLgl/>
      <w:suff w:val="space"/>
      <w:lvlText w:val="%1.%2.%3.%4"/>
      <w:lvlJc w:val="left"/>
      <w:pPr>
        <w:tabs>
          <w:tab w:val="left" w:pos="0"/>
        </w:tabs>
        <w:ind w:left="0" w:firstLine="0"/>
      </w:pPr>
      <w:rPr>
        <w:rFonts w:hint="default" w:ascii="Times New Roman" w:hAnsi="Times New Roman" w:eastAsia="宋体"/>
        <w:b/>
        <w:i w:val="0"/>
        <w:sz w:val="24"/>
      </w:rPr>
    </w:lvl>
    <w:lvl w:ilvl="4" w:tentative="0">
      <w:start w:val="1"/>
      <w:numFmt w:val="decimal"/>
      <w:isLgl/>
      <w:lvlText w:val="%1.%2.%3.%4.%5"/>
      <w:lvlJc w:val="left"/>
      <w:pPr>
        <w:tabs>
          <w:tab w:val="left" w:pos="1713"/>
        </w:tabs>
        <w:ind w:left="633" w:firstLine="0"/>
      </w:pPr>
      <w:rPr>
        <w:rFonts w:hint="default" w:ascii="Times New Roman" w:hAnsi="Times New Roman" w:eastAsia="宋体"/>
        <w:b/>
        <w:i w:val="0"/>
        <w:sz w:val="24"/>
      </w:rPr>
    </w:lvl>
    <w:lvl w:ilvl="5" w:tentative="0">
      <w:start w:val="1"/>
      <w:numFmt w:val="decimal"/>
      <w:isLgl/>
      <w:lvlText w:val="%1.%2.%3.%4.%5.%6"/>
      <w:lvlJc w:val="left"/>
      <w:pPr>
        <w:tabs>
          <w:tab w:val="left" w:pos="2433"/>
        </w:tabs>
        <w:ind w:left="1767" w:hanging="1134"/>
      </w:pPr>
      <w:rPr>
        <w:rFonts w:hint="eastAsia"/>
      </w:rPr>
    </w:lvl>
    <w:lvl w:ilvl="6" w:tentative="0">
      <w:start w:val="1"/>
      <w:numFmt w:val="decimal"/>
      <w:lvlText w:val="%1.%2.%3.%4.%5.%6.%7."/>
      <w:lvlJc w:val="left"/>
      <w:pPr>
        <w:tabs>
          <w:tab w:val="left" w:pos="1909"/>
        </w:tabs>
        <w:ind w:left="1909" w:hanging="1276"/>
      </w:pPr>
      <w:rPr>
        <w:rFonts w:hint="eastAsia"/>
      </w:rPr>
    </w:lvl>
    <w:lvl w:ilvl="7" w:tentative="0">
      <w:start w:val="1"/>
      <w:numFmt w:val="decimal"/>
      <w:lvlText w:val="%1.%2.%3.%4.%5.%6.%7.%8."/>
      <w:lvlJc w:val="left"/>
      <w:pPr>
        <w:tabs>
          <w:tab w:val="left" w:pos="2051"/>
        </w:tabs>
        <w:ind w:left="2051" w:hanging="1418"/>
      </w:pPr>
      <w:rPr>
        <w:rFonts w:hint="eastAsia"/>
      </w:rPr>
    </w:lvl>
    <w:lvl w:ilvl="8" w:tentative="0">
      <w:start w:val="1"/>
      <w:numFmt w:val="decimal"/>
      <w:lvlText w:val="%1.%2.%3.%4.%5.%6.%7.%8.%9."/>
      <w:lvlJc w:val="left"/>
      <w:pPr>
        <w:tabs>
          <w:tab w:val="left" w:pos="2192"/>
        </w:tabs>
        <w:ind w:left="2192" w:hanging="1559"/>
      </w:pPr>
      <w:rPr>
        <w:rFonts w:hint="eastAsia"/>
      </w:rPr>
    </w:lvl>
  </w:abstractNum>
  <w:abstractNum w:abstractNumId="22">
    <w:nsid w:val="00000018"/>
    <w:multiLevelType w:val="singleLevel"/>
    <w:tmpl w:val="00000018"/>
    <w:lvl w:ilvl="0" w:tentative="0">
      <w:start w:val="2"/>
      <w:numFmt w:val="decimal"/>
      <w:suff w:val="nothing"/>
      <w:lvlText w:val="%1、"/>
      <w:lvlJc w:val="left"/>
      <w:pPr>
        <w:ind w:left="-60"/>
      </w:pPr>
    </w:lvl>
  </w:abstractNum>
  <w:abstractNum w:abstractNumId="23">
    <w:nsid w:val="12222978"/>
    <w:multiLevelType w:val="singleLevel"/>
    <w:tmpl w:val="12222978"/>
    <w:lvl w:ilvl="0" w:tentative="0">
      <w:start w:val="3"/>
      <w:numFmt w:val="decimal"/>
      <w:suff w:val="nothing"/>
      <w:lvlText w:val="（%1）"/>
      <w:lvlJc w:val="left"/>
    </w:lvl>
  </w:abstractNum>
  <w:abstractNum w:abstractNumId="24">
    <w:nsid w:val="2588FB64"/>
    <w:multiLevelType w:val="singleLevel"/>
    <w:tmpl w:val="2588FB64"/>
    <w:lvl w:ilvl="0" w:tentative="0">
      <w:start w:val="1"/>
      <w:numFmt w:val="decimal"/>
      <w:suff w:val="nothing"/>
      <w:lvlText w:val="（%1）"/>
      <w:lvlJc w:val="left"/>
    </w:lvl>
  </w:abstractNum>
  <w:abstractNum w:abstractNumId="25">
    <w:nsid w:val="4A87AF5B"/>
    <w:multiLevelType w:val="singleLevel"/>
    <w:tmpl w:val="4A87AF5B"/>
    <w:lvl w:ilvl="0" w:tentative="0">
      <w:start w:val="1"/>
      <w:numFmt w:val="decimal"/>
      <w:suff w:val="nothing"/>
      <w:lvlText w:val="%1"/>
      <w:lvlJc w:val="center"/>
      <w:pPr>
        <w:tabs>
          <w:tab w:val="left" w:pos="0"/>
        </w:tabs>
        <w:ind w:left="84" w:firstLine="0"/>
      </w:pPr>
      <w:rPr>
        <w:rFonts w:hint="default"/>
      </w:rPr>
    </w:lvl>
  </w:abstractNum>
  <w:num w:numId="1">
    <w:abstractNumId w:val="21"/>
  </w:num>
  <w:num w:numId="2">
    <w:abstractNumId w:val="3"/>
  </w:num>
  <w:num w:numId="3">
    <w:abstractNumId w:val="14"/>
  </w:num>
  <w:num w:numId="4">
    <w:abstractNumId w:val="20"/>
  </w:num>
  <w:num w:numId="5">
    <w:abstractNumId w:val="15"/>
  </w:num>
  <w:num w:numId="6">
    <w:abstractNumId w:val="22"/>
  </w:num>
  <w:num w:numId="7">
    <w:abstractNumId w:val="6"/>
  </w:num>
  <w:num w:numId="8">
    <w:abstractNumId w:val="12"/>
  </w:num>
  <w:num w:numId="9">
    <w:abstractNumId w:val="2"/>
  </w:num>
  <w:num w:numId="10">
    <w:abstractNumId w:val="0"/>
  </w:num>
  <w:num w:numId="11">
    <w:abstractNumId w:val="23"/>
  </w:num>
  <w:num w:numId="12">
    <w:abstractNumId w:val="24"/>
  </w:num>
  <w:num w:numId="13">
    <w:abstractNumId w:val="8"/>
  </w:num>
  <w:num w:numId="14">
    <w:abstractNumId w:val="19"/>
  </w:num>
  <w:num w:numId="15">
    <w:abstractNumId w:val="1"/>
  </w:num>
  <w:num w:numId="16">
    <w:abstractNumId w:val="13"/>
  </w:num>
  <w:num w:numId="17">
    <w:abstractNumId w:val="5"/>
  </w:num>
  <w:num w:numId="18">
    <w:abstractNumId w:val="18"/>
  </w:num>
  <w:num w:numId="19">
    <w:abstractNumId w:val="25"/>
  </w:num>
  <w:num w:numId="20">
    <w:abstractNumId w:val="4"/>
  </w:num>
  <w:num w:numId="21">
    <w:abstractNumId w:val="7"/>
  </w:num>
  <w:num w:numId="22">
    <w:abstractNumId w:val="16"/>
  </w:num>
  <w:num w:numId="23">
    <w:abstractNumId w:val="11"/>
  </w:num>
  <w:num w:numId="24">
    <w:abstractNumId w:val="17"/>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043AA"/>
    <w:rsid w:val="0CBD0903"/>
    <w:rsid w:val="0F7E3123"/>
    <w:rsid w:val="187B2E96"/>
    <w:rsid w:val="19E85BCD"/>
    <w:rsid w:val="1A1B0030"/>
    <w:rsid w:val="283675B8"/>
    <w:rsid w:val="2D140EF6"/>
    <w:rsid w:val="2D995F25"/>
    <w:rsid w:val="2DAE7101"/>
    <w:rsid w:val="2E0C4DEE"/>
    <w:rsid w:val="2EA61001"/>
    <w:rsid w:val="2FBC4585"/>
    <w:rsid w:val="39451A04"/>
    <w:rsid w:val="39775B28"/>
    <w:rsid w:val="3C8500D6"/>
    <w:rsid w:val="410D2D69"/>
    <w:rsid w:val="432B58BF"/>
    <w:rsid w:val="46161B56"/>
    <w:rsid w:val="486A090E"/>
    <w:rsid w:val="534E3B3B"/>
    <w:rsid w:val="53E55D3C"/>
    <w:rsid w:val="58B65B9B"/>
    <w:rsid w:val="59ED3476"/>
    <w:rsid w:val="60FA6BA5"/>
    <w:rsid w:val="624F5057"/>
    <w:rsid w:val="639332E1"/>
    <w:rsid w:val="6B4B5CB6"/>
    <w:rsid w:val="76C375E1"/>
    <w:rsid w:val="7A1607E1"/>
    <w:rsid w:val="7AAE05D4"/>
    <w:rsid w:val="7B0D42F0"/>
    <w:rsid w:val="7B5A73A1"/>
    <w:rsid w:val="7E5646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before="260" w:after="260" w:line="415" w:lineRule="auto"/>
      <w:outlineLvl w:val="1"/>
    </w:pPr>
    <w:rPr>
      <w:rFonts w:ascii="Arial" w:hAnsi="Arial"/>
      <w:b/>
      <w:kern w:val="0"/>
      <w:sz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widowControl/>
      <w:numPr>
        <w:ilvl w:val="3"/>
        <w:numId w:val="1"/>
      </w:numPr>
      <w:spacing w:line="360" w:lineRule="auto"/>
      <w:ind w:left="0" w:firstLine="0" w:firstLineChars="0"/>
      <w:jc w:val="left"/>
      <w:outlineLvl w:val="3"/>
    </w:pPr>
    <w:rPr>
      <w:b/>
      <w:bCs/>
    </w:rPr>
  </w:style>
  <w:style w:type="character" w:default="1" w:styleId="37">
    <w:name w:val="Default Paragraph Font"/>
    <w:qFormat/>
    <w:uiPriority w:val="0"/>
  </w:style>
  <w:style w:type="table" w:default="1" w:styleId="35">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List 3"/>
    <w:basedOn w:val="1"/>
    <w:qFormat/>
    <w:uiPriority w:val="0"/>
    <w:pPr>
      <w:jc w:val="left"/>
    </w:pPr>
    <w:rPr>
      <w:bCs/>
      <w:szCs w:val="21"/>
    </w:rPr>
  </w:style>
  <w:style w:type="paragraph" w:styleId="7">
    <w:name w:val="table of authorities"/>
    <w:basedOn w:val="1"/>
    <w:next w:val="1"/>
    <w:qFormat/>
    <w:uiPriority w:val="0"/>
    <w:pPr>
      <w:ind w:left="420" w:leftChars="200"/>
    </w:pPr>
  </w:style>
  <w:style w:type="paragraph" w:styleId="8">
    <w:name w:val="Normal Indent"/>
    <w:basedOn w:val="1"/>
    <w:next w:val="1"/>
    <w:link w:val="45"/>
    <w:qFormat/>
    <w:uiPriority w:val="0"/>
    <w:pPr>
      <w:ind w:firstLine="420" w:firstLineChars="200"/>
    </w:pPr>
  </w:style>
  <w:style w:type="paragraph" w:styleId="9">
    <w:name w:val="caption"/>
    <w:next w:val="1"/>
    <w:qFormat/>
    <w:uiPriority w:val="35"/>
    <w:pPr>
      <w:widowControl w:val="0"/>
      <w:spacing w:before="152" w:after="160"/>
      <w:jc w:val="both"/>
    </w:pPr>
    <w:rPr>
      <w:rFonts w:ascii="Arial" w:hAnsi="Arial" w:eastAsia="黑体" w:cs="Times New Roman"/>
      <w:kern w:val="2"/>
      <w:lang w:val="en-US" w:eastAsia="zh-CN" w:bidi="ar-SA"/>
    </w:rPr>
  </w:style>
  <w:style w:type="paragraph" w:styleId="10">
    <w:name w:val="Document Map"/>
    <w:basedOn w:val="1"/>
    <w:link w:val="46"/>
    <w:qFormat/>
    <w:uiPriority w:val="0"/>
    <w:rPr>
      <w:rFonts w:ascii="宋体"/>
      <w:sz w:val="18"/>
      <w:szCs w:val="18"/>
    </w:rPr>
  </w:style>
  <w:style w:type="paragraph" w:styleId="11">
    <w:name w:val="annotation text"/>
    <w:basedOn w:val="1"/>
    <w:link w:val="47"/>
    <w:qFormat/>
    <w:uiPriority w:val="0"/>
    <w:pPr>
      <w:jc w:val="left"/>
    </w:pPr>
    <w:rPr>
      <w:kern w:val="0"/>
      <w:sz w:val="24"/>
      <w:szCs w:val="20"/>
    </w:rPr>
  </w:style>
  <w:style w:type="paragraph" w:styleId="12">
    <w:name w:val="Salutation"/>
    <w:basedOn w:val="1"/>
    <w:next w:val="1"/>
    <w:qFormat/>
    <w:uiPriority w:val="0"/>
    <w:rPr>
      <w:rFonts w:ascii="Times New Roman" w:hAnsi="Times New Roman" w:eastAsia="宋体" w:cs="Times New Roman"/>
    </w:rPr>
  </w:style>
  <w:style w:type="paragraph" w:styleId="13">
    <w:name w:val="Body Text"/>
    <w:basedOn w:val="1"/>
    <w:next w:val="14"/>
    <w:link w:val="48"/>
    <w:qFormat/>
    <w:uiPriority w:val="0"/>
    <w:pPr>
      <w:widowControl/>
      <w:snapToGrid w:val="0"/>
      <w:spacing w:before="60" w:after="160" w:line="259" w:lineRule="auto"/>
      <w:ind w:right="113"/>
    </w:pPr>
    <w:rPr>
      <w:kern w:val="0"/>
      <w:sz w:val="18"/>
      <w:szCs w:val="20"/>
    </w:rPr>
  </w:style>
  <w:style w:type="paragraph" w:customStyle="1" w:styleId="14">
    <w:name w:val="xl27"/>
    <w:basedOn w:val="1"/>
    <w:next w:val="15"/>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hAnsi="Times New Roman" w:eastAsia="PMingLiU" w:cs="Times New Roman"/>
      <w:kern w:val="0"/>
      <w:sz w:val="16"/>
      <w:szCs w:val="16"/>
      <w:lang w:eastAsia="zh-TW"/>
    </w:rPr>
  </w:style>
  <w:style w:type="paragraph" w:customStyle="1" w:styleId="15">
    <w:name w:val="A正文"/>
    <w:basedOn w:val="1"/>
    <w:qFormat/>
    <w:uiPriority w:val="0"/>
    <w:pPr>
      <w:widowControl/>
      <w:overflowPunct w:val="0"/>
      <w:autoSpaceDE w:val="0"/>
      <w:autoSpaceDN w:val="0"/>
      <w:jc w:val="left"/>
      <w:textAlignment w:val="baseline"/>
    </w:pPr>
  </w:style>
  <w:style w:type="paragraph" w:styleId="16">
    <w:name w:val="Body Text Indent"/>
    <w:basedOn w:val="1"/>
    <w:link w:val="49"/>
    <w:qFormat/>
    <w:uiPriority w:val="0"/>
    <w:pPr>
      <w:spacing w:after="120"/>
      <w:ind w:left="420" w:leftChars="200"/>
    </w:pPr>
    <w:rPr>
      <w:kern w:val="0"/>
      <w:sz w:val="24"/>
      <w:szCs w:val="20"/>
    </w:rPr>
  </w:style>
  <w:style w:type="paragraph" w:styleId="17">
    <w:name w:val="Plain Text"/>
    <w:basedOn w:val="1"/>
    <w:link w:val="50"/>
    <w:qFormat/>
    <w:uiPriority w:val="0"/>
    <w:rPr>
      <w:rFonts w:ascii="宋体" w:hAnsi="Courier New" w:cs="Courier New"/>
      <w:szCs w:val="21"/>
    </w:rPr>
  </w:style>
  <w:style w:type="paragraph" w:styleId="18">
    <w:name w:val="Date"/>
    <w:basedOn w:val="1"/>
    <w:next w:val="1"/>
    <w:link w:val="51"/>
    <w:qFormat/>
    <w:uiPriority w:val="0"/>
    <w:pPr>
      <w:ind w:left="100" w:leftChars="2500"/>
    </w:pPr>
    <w:rPr>
      <w:kern w:val="0"/>
      <w:sz w:val="24"/>
      <w:szCs w:val="20"/>
    </w:rPr>
  </w:style>
  <w:style w:type="paragraph" w:styleId="19">
    <w:name w:val="Body Text Indent 2"/>
    <w:basedOn w:val="1"/>
    <w:next w:val="20"/>
    <w:qFormat/>
    <w:uiPriority w:val="0"/>
    <w:pPr>
      <w:spacing w:after="120" w:line="480" w:lineRule="auto"/>
      <w:ind w:left="420" w:leftChars="200"/>
    </w:pPr>
  </w:style>
  <w:style w:type="paragraph" w:customStyle="1" w:styleId="20">
    <w:name w:val="正文首行缩进 21"/>
    <w:basedOn w:val="16"/>
    <w:next w:val="1"/>
    <w:qFormat/>
    <w:uiPriority w:val="99"/>
    <w:pPr>
      <w:tabs>
        <w:tab w:val="left" w:pos="420"/>
        <w:tab w:val="left" w:pos="870"/>
        <w:tab w:val="left" w:pos="3150"/>
      </w:tabs>
      <w:autoSpaceDE w:val="0"/>
      <w:autoSpaceDN w:val="0"/>
      <w:snapToGrid/>
      <w:spacing w:beforeLines="25" w:line="336" w:lineRule="auto"/>
      <w:ind w:firstLine="527"/>
      <w:textAlignment w:val="baseline"/>
    </w:pPr>
    <w:rPr>
      <w:rFonts w:hAnsi="Calibri"/>
    </w:rPr>
  </w:style>
  <w:style w:type="paragraph" w:styleId="21">
    <w:name w:val="Balloon Text"/>
    <w:basedOn w:val="1"/>
    <w:link w:val="52"/>
    <w:qFormat/>
    <w:uiPriority w:val="0"/>
    <w:rPr>
      <w:kern w:val="0"/>
      <w:sz w:val="18"/>
      <w:szCs w:val="20"/>
    </w:rPr>
  </w:style>
  <w:style w:type="paragraph" w:styleId="22">
    <w:name w:val="footer"/>
    <w:basedOn w:val="1"/>
    <w:link w:val="53"/>
    <w:qFormat/>
    <w:uiPriority w:val="99"/>
    <w:pPr>
      <w:tabs>
        <w:tab w:val="center" w:pos="4153"/>
        <w:tab w:val="right" w:pos="8306"/>
      </w:tabs>
      <w:snapToGrid w:val="0"/>
      <w:jc w:val="left"/>
    </w:pPr>
    <w:rPr>
      <w:kern w:val="0"/>
      <w:sz w:val="18"/>
      <w:szCs w:val="20"/>
    </w:rPr>
  </w:style>
  <w:style w:type="paragraph" w:styleId="23">
    <w:name w:val="header"/>
    <w:basedOn w:val="1"/>
    <w:next w:val="24"/>
    <w:link w:val="54"/>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4">
    <w:name w:val="样式5"/>
    <w:basedOn w:val="25"/>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25">
    <w:name w:val="正文1"/>
    <w:basedOn w:val="1"/>
    <w:next w:val="1"/>
    <w:qFormat/>
    <w:uiPriority w:val="0"/>
    <w:pPr>
      <w:adjustRightInd w:val="0"/>
      <w:snapToGrid w:val="0"/>
      <w:spacing w:line="500" w:lineRule="atLeast"/>
      <w:ind w:firstLine="567"/>
    </w:pPr>
    <w:rPr>
      <w:sz w:val="28"/>
    </w:rPr>
  </w:style>
  <w:style w:type="paragraph" w:styleId="26">
    <w:name w:val="Subtitle"/>
    <w:basedOn w:val="1"/>
    <w:qFormat/>
    <w:uiPriority w:val="0"/>
    <w:pPr>
      <w:widowControl/>
      <w:ind w:left="1080" w:hanging="1080"/>
    </w:pPr>
    <w:rPr>
      <w:rFonts w:ascii="宋体" w:hAnsi="Courier New" w:eastAsia="宋体" w:cs="Times New Roman"/>
      <w:kern w:val="2"/>
      <w:sz w:val="21"/>
      <w:szCs w:val="21"/>
    </w:rPr>
  </w:style>
  <w:style w:type="paragraph" w:styleId="27">
    <w:name w:val="List"/>
    <w:basedOn w:val="1"/>
    <w:next w:val="13"/>
    <w:qFormat/>
    <w:uiPriority w:val="99"/>
    <w:pPr>
      <w:jc w:val="center"/>
    </w:pPr>
    <w:rPr>
      <w:kern w:val="21"/>
    </w:rPr>
  </w:style>
  <w:style w:type="paragraph" w:styleId="28">
    <w:name w:val="Body Text Indent 3"/>
    <w:basedOn w:val="1"/>
    <w:qFormat/>
    <w:uiPriority w:val="0"/>
    <w:pPr>
      <w:spacing w:after="120"/>
      <w:ind w:left="420" w:leftChars="200"/>
    </w:pPr>
    <w:rPr>
      <w:sz w:val="16"/>
      <w:szCs w:val="16"/>
    </w:rPr>
  </w:style>
  <w:style w:type="paragraph" w:styleId="29">
    <w:name w:val="Body Text 2"/>
    <w:basedOn w:val="1"/>
    <w:next w:val="1"/>
    <w:qFormat/>
    <w:uiPriority w:val="0"/>
    <w:pPr>
      <w:spacing w:after="120" w:line="480" w:lineRule="auto"/>
    </w:pPr>
  </w:style>
  <w:style w:type="paragraph" w:styleId="3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31">
    <w:name w:val="Normal (Web)"/>
    <w:basedOn w:val="1"/>
    <w:link w:val="55"/>
    <w:qFormat/>
    <w:uiPriority w:val="0"/>
    <w:pPr>
      <w:widowControl/>
      <w:spacing w:before="100" w:beforeAutospacing="1" w:after="100" w:afterAutospacing="1"/>
      <w:jc w:val="left"/>
    </w:pPr>
    <w:rPr>
      <w:rFonts w:ascii="宋体" w:hAnsi="宋体"/>
      <w:kern w:val="0"/>
      <w:sz w:val="24"/>
      <w:szCs w:val="20"/>
    </w:rPr>
  </w:style>
  <w:style w:type="paragraph" w:styleId="32">
    <w:name w:val="annotation subject"/>
    <w:basedOn w:val="11"/>
    <w:next w:val="11"/>
    <w:link w:val="56"/>
    <w:qFormat/>
    <w:uiPriority w:val="0"/>
    <w:rPr>
      <w:b/>
      <w:kern w:val="2"/>
    </w:rPr>
  </w:style>
  <w:style w:type="paragraph" w:styleId="33">
    <w:name w:val="Body Text First Indent"/>
    <w:basedOn w:val="13"/>
    <w:next w:val="1"/>
    <w:qFormat/>
    <w:uiPriority w:val="0"/>
    <w:pPr>
      <w:spacing w:after="120" w:line="240" w:lineRule="auto"/>
      <w:ind w:firstLine="420" w:firstLineChars="100"/>
    </w:pPr>
    <w:rPr>
      <w:rFonts w:ascii="Times New Roman" w:hAnsi="Times New Roman" w:eastAsia="宋体" w:cs="Times New Roman"/>
      <w:sz w:val="21"/>
    </w:rPr>
  </w:style>
  <w:style w:type="paragraph" w:styleId="34">
    <w:name w:val="Body Text First Indent 2"/>
    <w:basedOn w:val="16"/>
    <w:next w:val="1"/>
    <w:qFormat/>
    <w:uiPriority w:val="0"/>
    <w:pPr>
      <w:ind w:firstLine="420" w:firstLineChars="200"/>
    </w:pPr>
    <w:rPr>
      <w:kern w:val="2"/>
      <w:sz w:val="21"/>
      <w:szCs w:val="24"/>
    </w:r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22"/>
    <w:rPr>
      <w:b/>
      <w:bCs/>
    </w:rPr>
  </w:style>
  <w:style w:type="character" w:styleId="39">
    <w:name w:val="page number"/>
    <w:qFormat/>
    <w:uiPriority w:val="0"/>
  </w:style>
  <w:style w:type="character" w:styleId="40">
    <w:name w:val="Hyperlink"/>
    <w:qFormat/>
    <w:uiPriority w:val="0"/>
    <w:rPr>
      <w:color w:val="3366CC"/>
      <w:u w:val="single"/>
    </w:rPr>
  </w:style>
  <w:style w:type="character" w:styleId="41">
    <w:name w:val="annotation reference"/>
    <w:basedOn w:val="37"/>
    <w:qFormat/>
    <w:uiPriority w:val="0"/>
    <w:rPr>
      <w:sz w:val="21"/>
    </w:rPr>
  </w:style>
  <w:style w:type="paragraph" w:customStyle="1" w:styleId="42">
    <w:name w:val="Default"/>
    <w:basedOn w:val="43"/>
    <w:next w:val="44"/>
    <w:qFormat/>
    <w:uiPriority w:val="0"/>
    <w:pPr>
      <w:widowControl w:val="0"/>
      <w:tabs>
        <w:tab w:val="left" w:pos="0"/>
      </w:tabs>
      <w:autoSpaceDE w:val="0"/>
      <w:autoSpaceDN w:val="0"/>
      <w:adjustRightInd w:val="0"/>
    </w:pPr>
    <w:rPr>
      <w:rFonts w:ascii="宋体" w:cs="宋体"/>
      <w:color w:val="000000"/>
      <w:sz w:val="24"/>
      <w:szCs w:val="24"/>
      <w:lang w:val="en-US" w:eastAsia="zh-CN" w:bidi="ar-SA"/>
    </w:rPr>
  </w:style>
  <w:style w:type="paragraph" w:customStyle="1" w:styleId="43">
    <w:name w:val="纯文本1"/>
    <w:basedOn w:val="1"/>
    <w:qFormat/>
    <w:uiPriority w:val="0"/>
    <w:pPr>
      <w:adjustRightInd w:val="0"/>
    </w:pPr>
    <w:rPr>
      <w:rFonts w:ascii="宋体" w:hAnsi="Courier New"/>
      <w:szCs w:val="20"/>
    </w:rPr>
  </w:style>
  <w:style w:type="paragraph" w:customStyle="1" w:styleId="44">
    <w:name w:val="1正文段落"/>
    <w:basedOn w:val="1"/>
    <w:link w:val="61"/>
    <w:qFormat/>
    <w:uiPriority w:val="0"/>
    <w:pPr>
      <w:spacing w:line="360" w:lineRule="auto"/>
      <w:ind w:firstLine="480" w:firstLineChars="200"/>
      <w:jc w:val="left"/>
    </w:pPr>
    <w:rPr>
      <w:kern w:val="0"/>
      <w:sz w:val="24"/>
      <w:szCs w:val="22"/>
    </w:rPr>
  </w:style>
  <w:style w:type="character" w:customStyle="1" w:styleId="45">
    <w:name w:val="正文缩进 Char"/>
    <w:link w:val="8"/>
    <w:qFormat/>
    <w:uiPriority w:val="0"/>
    <w:rPr>
      <w:rFonts w:eastAsia="宋体"/>
      <w:kern w:val="2"/>
      <w:sz w:val="21"/>
      <w:szCs w:val="24"/>
      <w:lang w:val="en-US" w:eastAsia="zh-CN" w:bidi="ar-SA"/>
    </w:rPr>
  </w:style>
  <w:style w:type="character" w:customStyle="1" w:styleId="46">
    <w:name w:val="文档结构图 Char"/>
    <w:basedOn w:val="37"/>
    <w:link w:val="10"/>
    <w:qFormat/>
    <w:uiPriority w:val="0"/>
    <w:rPr>
      <w:rFonts w:ascii="宋体"/>
      <w:kern w:val="2"/>
      <w:sz w:val="18"/>
      <w:szCs w:val="18"/>
    </w:rPr>
  </w:style>
  <w:style w:type="character" w:customStyle="1" w:styleId="47">
    <w:name w:val="批注文字 Char"/>
    <w:link w:val="11"/>
    <w:qFormat/>
    <w:uiPriority w:val="0"/>
    <w:rPr>
      <w:rFonts w:ascii="Times New Roman" w:hAnsi="Times New Roman" w:eastAsia="宋体"/>
      <w:sz w:val="24"/>
    </w:rPr>
  </w:style>
  <w:style w:type="character" w:customStyle="1" w:styleId="48">
    <w:name w:val="正文文本 Char"/>
    <w:link w:val="13"/>
    <w:qFormat/>
    <w:uiPriority w:val="0"/>
    <w:rPr>
      <w:sz w:val="18"/>
    </w:rPr>
  </w:style>
  <w:style w:type="character" w:customStyle="1" w:styleId="49">
    <w:name w:val="正文文本缩进 Char"/>
    <w:link w:val="16"/>
    <w:qFormat/>
    <w:uiPriority w:val="0"/>
    <w:rPr>
      <w:rFonts w:ascii="Times New Roman" w:hAnsi="Times New Roman" w:eastAsia="宋体"/>
      <w:sz w:val="24"/>
    </w:rPr>
  </w:style>
  <w:style w:type="character" w:customStyle="1" w:styleId="50">
    <w:name w:val="纯文本 Char"/>
    <w:link w:val="17"/>
    <w:qFormat/>
    <w:uiPriority w:val="0"/>
    <w:rPr>
      <w:rFonts w:ascii="宋体" w:hAnsi="Courier New" w:eastAsia="宋体" w:cs="Courier New"/>
      <w:kern w:val="2"/>
      <w:sz w:val="21"/>
      <w:szCs w:val="21"/>
      <w:lang w:val="en-US" w:eastAsia="zh-CN" w:bidi="ar-SA"/>
    </w:rPr>
  </w:style>
  <w:style w:type="character" w:customStyle="1" w:styleId="51">
    <w:name w:val="日期 Char"/>
    <w:link w:val="18"/>
    <w:qFormat/>
    <w:uiPriority w:val="0"/>
    <w:rPr>
      <w:rFonts w:ascii="Times New Roman" w:hAnsi="Times New Roman" w:eastAsia="宋体"/>
      <w:sz w:val="24"/>
    </w:rPr>
  </w:style>
  <w:style w:type="character" w:customStyle="1" w:styleId="52">
    <w:name w:val="批注框文本 Char"/>
    <w:link w:val="21"/>
    <w:qFormat/>
    <w:uiPriority w:val="0"/>
    <w:rPr>
      <w:rFonts w:ascii="Times New Roman" w:hAnsi="Times New Roman" w:eastAsia="宋体"/>
      <w:sz w:val="18"/>
    </w:rPr>
  </w:style>
  <w:style w:type="character" w:customStyle="1" w:styleId="53">
    <w:name w:val="页脚 Char"/>
    <w:link w:val="22"/>
    <w:qFormat/>
    <w:uiPriority w:val="99"/>
    <w:rPr>
      <w:sz w:val="18"/>
    </w:rPr>
  </w:style>
  <w:style w:type="character" w:customStyle="1" w:styleId="54">
    <w:name w:val="页眉 Char"/>
    <w:link w:val="23"/>
    <w:qFormat/>
    <w:uiPriority w:val="0"/>
    <w:rPr>
      <w:sz w:val="18"/>
    </w:rPr>
  </w:style>
  <w:style w:type="character" w:customStyle="1" w:styleId="55">
    <w:name w:val="普通(网站) Char"/>
    <w:link w:val="31"/>
    <w:qFormat/>
    <w:uiPriority w:val="0"/>
    <w:rPr>
      <w:rFonts w:ascii="宋体" w:hAnsi="宋体" w:eastAsia="宋体"/>
      <w:sz w:val="24"/>
    </w:rPr>
  </w:style>
  <w:style w:type="character" w:customStyle="1" w:styleId="56">
    <w:name w:val="批注主题 Char"/>
    <w:link w:val="32"/>
    <w:qFormat/>
    <w:uiPriority w:val="0"/>
    <w:rPr>
      <w:rFonts w:ascii="Times New Roman" w:hAnsi="Times New Roman" w:eastAsia="宋体"/>
      <w:b/>
      <w:kern w:val="2"/>
      <w:sz w:val="24"/>
    </w:rPr>
  </w:style>
  <w:style w:type="paragraph" w:customStyle="1" w:styleId="57">
    <w:name w:val="表格文字"/>
    <w:basedOn w:val="17"/>
    <w:next w:val="1"/>
    <w:qFormat/>
    <w:uiPriority w:val="0"/>
    <w:pPr>
      <w:spacing w:line="320" w:lineRule="exact"/>
      <w:jc w:val="center"/>
    </w:pPr>
    <w:rPr>
      <w:rFonts w:ascii="宋体"/>
    </w:rPr>
  </w:style>
  <w:style w:type="paragraph" w:customStyle="1" w:styleId="58">
    <w:name w:val="Char Char Char Char Char Char1 Char Char Char Char"/>
    <w:basedOn w:val="1"/>
    <w:next w:val="1"/>
    <w:qFormat/>
    <w:uiPriority w:val="0"/>
    <w:pPr>
      <w:spacing w:line="360" w:lineRule="auto"/>
      <w:ind w:firstLine="200" w:firstLineChars="200"/>
    </w:pPr>
    <w:rPr>
      <w:rFonts w:ascii="宋体" w:hAnsi="宋体" w:cs="宋体"/>
      <w:szCs w:val="21"/>
    </w:rPr>
  </w:style>
  <w:style w:type="paragraph" w:customStyle="1" w:styleId="59">
    <w:name w:val="正文文字 6"/>
    <w:next w:val="1"/>
    <w:qFormat/>
    <w:uiPriority w:val="99"/>
    <w:pPr>
      <w:widowControl w:val="0"/>
      <w:ind w:left="240"/>
      <w:jc w:val="both"/>
    </w:pPr>
    <w:rPr>
      <w:rFonts w:ascii="宋体" w:hAnsi="Times New Roman" w:eastAsia="宋体" w:cs="宋体"/>
      <w:b/>
      <w:bCs/>
      <w:kern w:val="2"/>
      <w:sz w:val="32"/>
      <w:szCs w:val="32"/>
      <w:lang w:val="en-US" w:eastAsia="zh-CN" w:bidi="ar-SA"/>
    </w:rPr>
  </w:style>
  <w:style w:type="paragraph" w:customStyle="1" w:styleId="60">
    <w:name w:val="标题2"/>
    <w:basedOn w:val="3"/>
    <w:next w:val="1"/>
    <w:qFormat/>
    <w:uiPriority w:val="0"/>
    <w:pPr>
      <w:numPr>
        <w:ilvl w:val="1"/>
        <w:numId w:val="2"/>
      </w:numPr>
      <w:tabs>
        <w:tab w:val="left" w:pos="0"/>
      </w:tabs>
      <w:spacing w:before="0" w:after="0" w:line="440" w:lineRule="exact"/>
    </w:pPr>
    <w:rPr>
      <w:kern w:val="0"/>
      <w:sz w:val="28"/>
    </w:rPr>
  </w:style>
  <w:style w:type="character" w:customStyle="1" w:styleId="61">
    <w:name w:val="1正文段落 Char Char"/>
    <w:link w:val="44"/>
    <w:qFormat/>
    <w:uiPriority w:val="0"/>
    <w:rPr>
      <w:rFonts w:eastAsia="宋体"/>
      <w:sz w:val="24"/>
      <w:szCs w:val="22"/>
      <w:lang w:val="en-US" w:eastAsia="zh-CN" w:bidi="ar-SA"/>
    </w:rPr>
  </w:style>
  <w:style w:type="character" w:customStyle="1" w:styleId="62">
    <w:name w:val="君邦正文 Char1"/>
    <w:link w:val="63"/>
    <w:qFormat/>
    <w:uiPriority w:val="0"/>
    <w:rPr>
      <w:bCs/>
      <w:snapToGrid w:val="0"/>
      <w:sz w:val="24"/>
      <w:lang w:val="en-US" w:eastAsia="zh-CN" w:bidi="ar-SA"/>
    </w:rPr>
  </w:style>
  <w:style w:type="paragraph" w:customStyle="1" w:styleId="63">
    <w:name w:val="君邦正文"/>
    <w:link w:val="62"/>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character" w:customStyle="1" w:styleId="64">
    <w:name w:val="批注文字 字符1"/>
    <w:qFormat/>
    <w:uiPriority w:val="0"/>
    <w:rPr>
      <w:rFonts w:ascii="Times New Roman" w:hAnsi="Times New Roman" w:eastAsia="宋体"/>
      <w:sz w:val="24"/>
    </w:rPr>
  </w:style>
  <w:style w:type="character" w:customStyle="1" w:styleId="65">
    <w:name w:val="正文文本 字符1"/>
    <w:qFormat/>
    <w:uiPriority w:val="0"/>
    <w:rPr>
      <w:rFonts w:ascii="Times New Roman" w:hAnsi="Times New Roman" w:eastAsia="宋体"/>
      <w:sz w:val="24"/>
    </w:rPr>
  </w:style>
  <w:style w:type="character" w:customStyle="1" w:styleId="66">
    <w:name w:val="普通文字 Char1"/>
    <w:qFormat/>
    <w:uiPriority w:val="0"/>
    <w:rPr>
      <w:rFonts w:ascii="宋体" w:hAnsi="Courier New" w:eastAsia="宋体" w:cs="Courier New"/>
      <w:kern w:val="2"/>
      <w:sz w:val="21"/>
      <w:szCs w:val="21"/>
      <w:lang w:val="en-US" w:eastAsia="zh-CN" w:bidi="ar-SA"/>
    </w:rPr>
  </w:style>
  <w:style w:type="character" w:customStyle="1" w:styleId="67">
    <w:name w:val="fontstyle01"/>
    <w:qFormat/>
    <w:uiPriority w:val="0"/>
    <w:rPr>
      <w:rFonts w:hint="eastAsia" w:ascii="宋体" w:hAnsi="宋体" w:eastAsia="宋体"/>
      <w:color w:val="000000"/>
      <w:sz w:val="24"/>
      <w:szCs w:val="24"/>
    </w:rPr>
  </w:style>
  <w:style w:type="character" w:customStyle="1" w:styleId="68">
    <w:name w:val="日期 字符"/>
    <w:qFormat/>
    <w:uiPriority w:val="0"/>
    <w:rPr>
      <w:rFonts w:ascii="Times New Roman" w:hAnsi="Times New Roman" w:eastAsia="宋体"/>
      <w:sz w:val="24"/>
    </w:rPr>
  </w:style>
  <w:style w:type="character" w:customStyle="1" w:styleId="69">
    <w:name w:val="表格 Char"/>
    <w:link w:val="70"/>
    <w:qFormat/>
    <w:uiPriority w:val="0"/>
    <w:rPr>
      <w:rFonts w:ascii="宋体"/>
      <w:sz w:val="21"/>
    </w:rPr>
  </w:style>
  <w:style w:type="paragraph" w:customStyle="1" w:styleId="70">
    <w:name w:val="表格"/>
    <w:basedOn w:val="1"/>
    <w:next w:val="13"/>
    <w:link w:val="69"/>
    <w:qFormat/>
    <w:uiPriority w:val="0"/>
    <w:pPr>
      <w:adjustRightInd w:val="0"/>
      <w:snapToGrid w:val="0"/>
      <w:spacing w:beforeLines="10" w:afterLines="10" w:line="259" w:lineRule="auto"/>
      <w:jc w:val="center"/>
    </w:pPr>
    <w:rPr>
      <w:rFonts w:ascii="宋体"/>
      <w:kern w:val="0"/>
      <w:szCs w:val="20"/>
    </w:rPr>
  </w:style>
  <w:style w:type="character" w:customStyle="1" w:styleId="71">
    <w:name w:val="dan7-1 Char Char Char Char"/>
    <w:link w:val="72"/>
    <w:qFormat/>
    <w:uiPriority w:val="0"/>
    <w:rPr>
      <w:kern w:val="2"/>
      <w:sz w:val="24"/>
      <w:szCs w:val="24"/>
      <w:lang w:bidi="ar-SA"/>
    </w:rPr>
  </w:style>
  <w:style w:type="paragraph" w:customStyle="1" w:styleId="72">
    <w:name w:val="dan7-1"/>
    <w:basedOn w:val="1"/>
    <w:link w:val="71"/>
    <w:qFormat/>
    <w:uiPriority w:val="0"/>
    <w:pPr>
      <w:spacing w:before="40" w:after="40" w:line="360" w:lineRule="auto"/>
      <w:ind w:firstLine="200" w:firstLineChars="200"/>
    </w:pPr>
    <w:rPr>
      <w:sz w:val="24"/>
    </w:rPr>
  </w:style>
  <w:style w:type="character" w:customStyle="1" w:styleId="73">
    <w:name w:val="正文（首行缩进两字） Char3"/>
    <w:qFormat/>
    <w:uiPriority w:val="0"/>
    <w:rPr>
      <w:rFonts w:eastAsia="宋体"/>
      <w:kern w:val="2"/>
      <w:sz w:val="28"/>
      <w:szCs w:val="24"/>
      <w:lang w:val="en-US" w:eastAsia="zh-CN" w:bidi="ar-SA"/>
    </w:rPr>
  </w:style>
  <w:style w:type="character" w:customStyle="1" w:styleId="74">
    <w:name w:val="font11"/>
    <w:qFormat/>
    <w:uiPriority w:val="0"/>
    <w:rPr>
      <w:rFonts w:hint="default" w:ascii="Tahoma" w:hAnsi="Tahoma" w:eastAsia="Tahoma" w:cs="Tahoma"/>
      <w:color w:val="000000"/>
      <w:sz w:val="22"/>
      <w:szCs w:val="22"/>
      <w:u w:val="none"/>
    </w:rPr>
  </w:style>
  <w:style w:type="character" w:customStyle="1" w:styleId="75">
    <w:name w:val="fontstyle11"/>
    <w:qFormat/>
    <w:uiPriority w:val="0"/>
    <w:rPr>
      <w:rFonts w:hint="default" w:ascii="Times New Roman" w:hAnsi="Times New Roman" w:cs="Times New Roman"/>
      <w:b/>
      <w:color w:val="000000"/>
      <w:sz w:val="22"/>
      <w:szCs w:val="22"/>
    </w:rPr>
  </w:style>
  <w:style w:type="character" w:customStyle="1" w:styleId="76">
    <w:name w:val="fontstyle21"/>
    <w:qFormat/>
    <w:uiPriority w:val="0"/>
    <w:rPr>
      <w:rFonts w:ascii="TimesNewRomanPSMT" w:hAnsi="TimesNewRomanPSMT" w:eastAsia="TimesNewRomanPSMT" w:cs="TimesNewRomanPSMT"/>
      <w:color w:val="000000"/>
      <w:sz w:val="22"/>
      <w:szCs w:val="22"/>
    </w:rPr>
  </w:style>
  <w:style w:type="character" w:customStyle="1" w:styleId="77">
    <w:name w:val="font01"/>
    <w:qFormat/>
    <w:uiPriority w:val="0"/>
    <w:rPr>
      <w:rFonts w:hint="default" w:ascii="Times New Roman" w:hAnsi="Times New Roman" w:cs="Times New Roman"/>
      <w:color w:val="000000"/>
      <w:sz w:val="21"/>
      <w:szCs w:val="21"/>
      <w:u w:val="none"/>
      <w:vertAlign w:val="subscript"/>
    </w:rPr>
  </w:style>
  <w:style w:type="character" w:customStyle="1" w:styleId="78">
    <w:name w:val="NormalCharacter"/>
    <w:qFormat/>
    <w:uiPriority w:val="0"/>
    <w:rPr>
      <w:rFonts w:ascii="Times New Roman" w:hAnsi="Times New Roman" w:eastAsia="宋体" w:cs="Times New Roman"/>
      <w:kern w:val="2"/>
      <w:sz w:val="21"/>
      <w:szCs w:val="24"/>
      <w:lang w:val="en-US" w:eastAsia="zh-CN" w:bidi="ar-SA"/>
    </w:rPr>
  </w:style>
  <w:style w:type="character" w:customStyle="1" w:styleId="79">
    <w:name w:val="页脚 字符"/>
    <w:qFormat/>
    <w:uiPriority w:val="99"/>
  </w:style>
  <w:style w:type="character" w:customStyle="1" w:styleId="80">
    <w:name w:val="font21"/>
    <w:basedOn w:val="37"/>
    <w:qFormat/>
    <w:uiPriority w:val="0"/>
    <w:rPr>
      <w:rFonts w:hint="default" w:ascii="Times New Roman" w:hAnsi="Times New Roman" w:cs="Times New Roman"/>
      <w:color w:val="000000"/>
      <w:sz w:val="21"/>
      <w:szCs w:val="21"/>
      <w:u w:val="none"/>
    </w:rPr>
  </w:style>
  <w:style w:type="paragraph" w:customStyle="1" w:styleId="81">
    <w:name w:val="表中文字"/>
    <w:qFormat/>
    <w:uiPriority w:val="0"/>
    <w:pPr>
      <w:widowControl w:val="0"/>
      <w:tabs>
        <w:tab w:val="left" w:pos="3286"/>
        <w:tab w:val="left" w:pos="8362"/>
      </w:tabs>
      <w:snapToGrid w:val="0"/>
      <w:spacing w:line="340" w:lineRule="exact"/>
      <w:jc w:val="center"/>
    </w:pPr>
    <w:rPr>
      <w:rFonts w:ascii="Arial" w:hAnsi="Arial" w:eastAsia="楷体_GB2312" w:cs="Times New Roman"/>
      <w:kern w:val="2"/>
      <w:sz w:val="21"/>
      <w:szCs w:val="21"/>
      <w:shd w:val="clear" w:color="auto" w:fill="FFFFFF"/>
      <w:lang w:val="en-US" w:eastAsia="zh-CN" w:bidi="ar-SA"/>
    </w:rPr>
  </w:style>
  <w:style w:type="paragraph" w:customStyle="1" w:styleId="82">
    <w:name w:val="UserStyle_0"/>
    <w:qFormat/>
    <w:uiPriority w:val="0"/>
    <w:pPr>
      <w:spacing w:line="320" w:lineRule="exact"/>
      <w:jc w:val="center"/>
      <w:textAlignment w:val="baseline"/>
    </w:pPr>
    <w:rPr>
      <w:rFonts w:ascii="Times New Roman" w:hAnsi="Times New Roman" w:eastAsia="宋体" w:cs="Times New Roman"/>
      <w:spacing w:val="8"/>
      <w:sz w:val="21"/>
      <w:szCs w:val="28"/>
      <w:lang w:val="en-US" w:eastAsia="zh-CN" w:bidi="ar-SA"/>
    </w:rPr>
  </w:style>
  <w:style w:type="paragraph" w:customStyle="1" w:styleId="83">
    <w:name w:val="样式3"/>
    <w:basedOn w:val="84"/>
    <w:qFormat/>
    <w:uiPriority w:val="0"/>
    <w:pPr>
      <w:adjustRightInd/>
      <w:spacing w:line="500" w:lineRule="exact"/>
      <w:ind w:left="0" w:firstLine="200" w:firstLineChars="200"/>
      <w:jc w:val="both"/>
      <w:textAlignment w:val="auto"/>
      <w:outlineLvl w:val="1"/>
    </w:pPr>
    <w:rPr>
      <w:rFonts w:ascii="Times New Roman" w:hAnsi="Times New Roman" w:eastAsia="宋体" w:cs="Times New Roman"/>
      <w:kern w:val="2"/>
    </w:rPr>
  </w:style>
  <w:style w:type="paragraph" w:customStyle="1" w:styleId="84">
    <w:name w:val="样式2"/>
    <w:basedOn w:val="1"/>
    <w:qFormat/>
    <w:uiPriority w:val="0"/>
    <w:pPr>
      <w:adjustRightInd w:val="0"/>
      <w:ind w:left="170"/>
      <w:jc w:val="left"/>
      <w:textAlignment w:val="baseline"/>
    </w:pPr>
    <w:rPr>
      <w:rFonts w:ascii="Times New Roman" w:hAnsi="Times New Roman" w:eastAsia="宋体" w:cs="Times New Roman"/>
      <w:b/>
      <w:kern w:val="0"/>
      <w:sz w:val="24"/>
      <w:szCs w:val="20"/>
    </w:rPr>
  </w:style>
  <w:style w:type="paragraph" w:customStyle="1" w:styleId="85">
    <w:name w:val="环评-表格内容"/>
    <w:basedOn w:val="1"/>
    <w:next w:val="1"/>
    <w:qFormat/>
    <w:uiPriority w:val="0"/>
    <w:pPr>
      <w:spacing w:line="240" w:lineRule="auto"/>
      <w:ind w:firstLine="0" w:firstLineChars="0"/>
      <w:jc w:val="center"/>
    </w:pPr>
    <w:rPr>
      <w:rFonts w:ascii="Times New Roman" w:hAnsi="Times New Roman" w:eastAsia="宋体" w:cs="Times New Roman"/>
      <w:sz w:val="21"/>
    </w:rPr>
  </w:style>
  <w:style w:type="paragraph" w:customStyle="1" w:styleId="86">
    <w:name w:val="表格内容自定"/>
    <w:basedOn w:val="1"/>
    <w:qFormat/>
    <w:uiPriority w:val="0"/>
    <w:pPr>
      <w:spacing w:line="280" w:lineRule="exact"/>
      <w:jc w:val="center"/>
    </w:pPr>
    <w:rPr>
      <w:rFonts w:ascii="宋体" w:hAnsi="宋体" w:cs="宋体"/>
      <w:sz w:val="18"/>
      <w:szCs w:val="21"/>
    </w:rPr>
  </w:style>
  <w:style w:type="paragraph" w:customStyle="1" w:styleId="87">
    <w:name w:val="二级无标题条"/>
    <w:basedOn w:val="1"/>
    <w:qFormat/>
    <w:uiPriority w:val="0"/>
    <w:rPr>
      <w:rFonts w:ascii="Times New Roman" w:hAnsi="Times New Roman" w:eastAsia="宋体" w:cs="Times New Roman"/>
    </w:rPr>
  </w:style>
  <w:style w:type="paragraph" w:customStyle="1" w:styleId="88">
    <w:name w:val="表头"/>
    <w:basedOn w:val="8"/>
    <w:next w:val="1"/>
    <w:qFormat/>
    <w:uiPriority w:val="0"/>
    <w:pPr>
      <w:tabs>
        <w:tab w:val="left" w:pos="1485"/>
        <w:tab w:val="center" w:pos="4113"/>
      </w:tabs>
      <w:spacing w:line="480" w:lineRule="exact"/>
      <w:ind w:firstLine="0" w:firstLineChars="0"/>
      <w:jc w:val="center"/>
    </w:pPr>
    <w:rPr>
      <w:rFonts w:ascii="黑体" w:eastAsia="黑体"/>
      <w:spacing w:val="6"/>
      <w:position w:val="10"/>
      <w:szCs w:val="20"/>
    </w:rPr>
  </w:style>
  <w:style w:type="paragraph" w:customStyle="1" w:styleId="89">
    <w:name w:val="表格内容"/>
    <w:basedOn w:val="90"/>
    <w:next w:val="1"/>
    <w:qFormat/>
    <w:uiPriority w:val="0"/>
    <w:pPr>
      <w:spacing w:line="240" w:lineRule="atLeast"/>
      <w:jc w:val="center"/>
    </w:pPr>
    <w:rPr>
      <w:szCs w:val="20"/>
    </w:rPr>
  </w:style>
  <w:style w:type="paragraph" w:customStyle="1" w:styleId="90">
    <w:name w:val="表格标题"/>
    <w:basedOn w:val="27"/>
    <w:next w:val="89"/>
    <w:qFormat/>
    <w:uiPriority w:val="0"/>
    <w:pPr>
      <w:spacing w:line="240" w:lineRule="auto"/>
      <w:ind w:firstLine="0" w:firstLineChars="0"/>
      <w:jc w:val="center"/>
    </w:pPr>
    <w:rPr>
      <w:rFonts w:ascii="Times New Roman" w:hAnsi="Times New Roman" w:cs="Times New Roman"/>
      <w:b/>
      <w:sz w:val="21"/>
      <w:szCs w:val="24"/>
      <w:lang w:bidi="ar-SA"/>
    </w:rPr>
  </w:style>
  <w:style w:type="paragraph" w:customStyle="1" w:styleId="91">
    <w:name w:val="！正文"/>
    <w:basedOn w:val="1"/>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92">
    <w:name w:val="p0"/>
    <w:basedOn w:val="1"/>
    <w:qFormat/>
    <w:uiPriority w:val="0"/>
    <w:pPr>
      <w:widowControl/>
      <w:jc w:val="left"/>
    </w:pPr>
    <w:rPr>
      <w:rFonts w:ascii="宋体" w:hAnsi="宋体"/>
      <w:kern w:val="0"/>
      <w:sz w:val="24"/>
      <w:szCs w:val="20"/>
    </w:rPr>
  </w:style>
  <w:style w:type="paragraph" w:customStyle="1" w:styleId="9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4">
    <w:name w:val="表蕊居中"/>
    <w:qFormat/>
    <w:uiPriority w:val="0"/>
    <w:pPr>
      <w:spacing w:line="320" w:lineRule="exact"/>
      <w:jc w:val="center"/>
    </w:pPr>
    <w:rPr>
      <w:rFonts w:ascii="Times New Roman" w:hAnsi="Times New Roman" w:eastAsia="宋体" w:cs="Times New Roman"/>
      <w:spacing w:val="8"/>
      <w:sz w:val="21"/>
      <w:szCs w:val="28"/>
      <w:lang w:val="en-US" w:eastAsia="zh-CN" w:bidi="ar-SA"/>
    </w:rPr>
  </w:style>
  <w:style w:type="paragraph" w:customStyle="1" w:styleId="95">
    <w:name w:val="表标题2"/>
    <w:basedOn w:val="1"/>
    <w:qFormat/>
    <w:uiPriority w:val="0"/>
    <w:pPr>
      <w:jc w:val="center"/>
    </w:pPr>
    <w:rPr>
      <w:rFonts w:ascii="Times New Roman" w:hAnsi="Times New Roman" w:eastAsia="宋体" w:cs="Times New Roman"/>
      <w:bCs/>
    </w:rPr>
  </w:style>
  <w:style w:type="paragraph" w:customStyle="1" w:styleId="96">
    <w:name w:val="表格填充1"/>
    <w:basedOn w:val="1"/>
    <w:qFormat/>
    <w:uiPriority w:val="0"/>
    <w:pPr>
      <w:adjustRightInd w:val="0"/>
      <w:snapToGrid w:val="0"/>
      <w:spacing w:line="400" w:lineRule="exact"/>
      <w:jc w:val="center"/>
    </w:pPr>
    <w:rPr>
      <w:rFonts w:ascii="Times New Roman" w:hAnsi="Times New Roman" w:eastAsia="宋体" w:cs="Times New Roman"/>
      <w:snapToGrid w:val="0"/>
      <w:szCs w:val="18"/>
    </w:rPr>
  </w:style>
  <w:style w:type="paragraph" w:customStyle="1" w:styleId="97">
    <w:name w:val="列出段落1"/>
    <w:basedOn w:val="1"/>
    <w:qFormat/>
    <w:uiPriority w:val="34"/>
    <w:pPr>
      <w:ind w:firstLine="420" w:firstLineChars="200"/>
    </w:pPr>
    <w:rPr>
      <w:rFonts w:ascii="Calibri" w:hAnsi="Calibri"/>
    </w:rPr>
  </w:style>
  <w:style w:type="paragraph" w:customStyle="1" w:styleId="98">
    <w:name w:val="Table Paragraph"/>
    <w:basedOn w:val="1"/>
    <w:qFormat/>
    <w:uiPriority w:val="0"/>
    <w:pPr>
      <w:autoSpaceDE w:val="0"/>
      <w:autoSpaceDN w:val="0"/>
      <w:adjustRightInd w:val="0"/>
      <w:jc w:val="left"/>
    </w:pPr>
    <w:rPr>
      <w:kern w:val="0"/>
      <w:sz w:val="24"/>
    </w:rPr>
  </w:style>
  <w:style w:type="paragraph" w:customStyle="1" w:styleId="99">
    <w:name w:val="正文 首行缩进:  2 字符"/>
    <w:qFormat/>
    <w:uiPriority w:val="0"/>
    <w:pPr>
      <w:widowControl w:val="0"/>
      <w:spacing w:beforeLines="50" w:line="360" w:lineRule="auto"/>
      <w:ind w:firstLine="420" w:firstLineChars="200"/>
      <w:jc w:val="both"/>
    </w:pPr>
    <w:rPr>
      <w:rFonts w:ascii="宋体" w:hAnsi="宋体" w:eastAsia="宋体" w:cs="Times New Roman"/>
      <w:color w:val="000000"/>
      <w:kern w:val="2"/>
      <w:sz w:val="21"/>
      <w:szCs w:val="24"/>
      <w:lang w:val="en-US" w:eastAsia="zh-CN" w:bidi="ar-SA"/>
    </w:rPr>
  </w:style>
  <w:style w:type="paragraph" w:customStyle="1" w:styleId="100">
    <w:name w:val="表格5"/>
    <w:basedOn w:val="1"/>
    <w:qFormat/>
    <w:uiPriority w:val="0"/>
    <w:pPr>
      <w:spacing w:line="360" w:lineRule="auto"/>
      <w:jc w:val="center"/>
    </w:pPr>
    <w:rPr>
      <w:kern w:val="0"/>
    </w:rPr>
  </w:style>
  <w:style w:type="paragraph" w:customStyle="1" w:styleId="101">
    <w:name w:val="_Style 61"/>
    <w:basedOn w:val="1"/>
    <w:next w:val="1"/>
    <w:qFormat/>
    <w:uiPriority w:val="0"/>
    <w:pPr>
      <w:pBdr>
        <w:bottom w:val="single" w:color="auto" w:sz="6" w:space="1"/>
      </w:pBdr>
      <w:jc w:val="center"/>
    </w:pPr>
    <w:rPr>
      <w:rFonts w:ascii="Arial"/>
      <w:vanish/>
      <w:sz w:val="16"/>
    </w:rPr>
  </w:style>
  <w:style w:type="paragraph" w:customStyle="1" w:styleId="102">
    <w:name w:val="1"/>
    <w:basedOn w:val="1"/>
    <w:next w:val="8"/>
    <w:qFormat/>
    <w:uiPriority w:val="0"/>
    <w:rPr>
      <w:rFonts w:ascii="宋体" w:hAnsi="Courier New" w:cs="Courier New"/>
      <w:szCs w:val="21"/>
    </w:rPr>
  </w:style>
  <w:style w:type="paragraph" w:customStyle="1" w:styleId="103">
    <w:name w:val="表格标题--中祥"/>
    <w:basedOn w:val="1"/>
    <w:qFormat/>
    <w:uiPriority w:val="0"/>
    <w:pPr>
      <w:spacing w:line="320" w:lineRule="exact"/>
      <w:ind w:firstLine="542" w:firstLineChars="200"/>
      <w:jc w:val="center"/>
    </w:pPr>
    <w:rPr>
      <w:b/>
      <w:color w:val="000000"/>
      <w:sz w:val="24"/>
      <w:szCs w:val="22"/>
      <w:lang w:val="zh-CN"/>
    </w:rPr>
  </w:style>
  <w:style w:type="paragraph" w:customStyle="1" w:styleId="104">
    <w:name w:val="表格内容--中祥"/>
    <w:basedOn w:val="1"/>
    <w:qFormat/>
    <w:uiPriority w:val="0"/>
    <w:pPr>
      <w:jc w:val="center"/>
    </w:pPr>
    <w:rPr>
      <w:kern w:val="0"/>
      <w:szCs w:val="21"/>
    </w:rPr>
  </w:style>
  <w:style w:type="paragraph" w:customStyle="1" w:styleId="105">
    <w:name w:val="正式文本"/>
    <w:basedOn w:val="1"/>
    <w:qFormat/>
    <w:uiPriority w:val="0"/>
    <w:pPr>
      <w:adjustRightInd w:val="0"/>
      <w:snapToGrid w:val="0"/>
      <w:spacing w:line="360" w:lineRule="auto"/>
      <w:ind w:firstLine="420" w:firstLineChars="200"/>
      <w:jc w:val="left"/>
    </w:pPr>
    <w:rPr>
      <w:bCs/>
      <w:szCs w:val="21"/>
    </w:rPr>
  </w:style>
  <w:style w:type="paragraph" w:customStyle="1" w:styleId="10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7">
    <w:name w:val="本文正文"/>
    <w:basedOn w:val="1"/>
    <w:qFormat/>
    <w:uiPriority w:val="0"/>
    <w:pPr>
      <w:autoSpaceDE w:val="0"/>
      <w:autoSpaceDN w:val="0"/>
      <w:adjustRightInd w:val="0"/>
      <w:spacing w:line="300" w:lineRule="auto"/>
      <w:ind w:firstLine="560" w:firstLineChars="200"/>
      <w:textAlignment w:val="baseline"/>
    </w:pPr>
    <w:rPr>
      <w:sz w:val="28"/>
      <w:szCs w:val="20"/>
    </w:rPr>
  </w:style>
  <w:style w:type="paragraph" w:customStyle="1" w:styleId="108">
    <w:name w:val="列出段落"/>
    <w:basedOn w:val="1"/>
    <w:qFormat/>
    <w:uiPriority w:val="0"/>
    <w:pPr>
      <w:ind w:firstLine="420" w:firstLineChars="200"/>
    </w:pPr>
  </w:style>
  <w:style w:type="paragraph" w:customStyle="1" w:styleId="109">
    <w:name w:val="文本"/>
    <w:qFormat/>
    <w:uiPriority w:val="0"/>
    <w:pPr>
      <w:widowControl w:val="0"/>
      <w:autoSpaceDE w:val="0"/>
      <w:autoSpaceDN w:val="0"/>
      <w:adjustRightInd w:val="0"/>
      <w:snapToGrid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10">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1">
    <w:name w:val="表标题"/>
    <w:basedOn w:val="1"/>
    <w:qFormat/>
    <w:uiPriority w:val="0"/>
    <w:pPr>
      <w:spacing w:line="360" w:lineRule="auto"/>
      <w:jc w:val="center"/>
    </w:pPr>
    <w:rPr>
      <w:b/>
      <w:bCs/>
      <w:szCs w:val="22"/>
    </w:rPr>
  </w:style>
  <w:style w:type="paragraph" w:customStyle="1" w:styleId="112">
    <w:name w:val="样式 报告书正文 + 小三 加粗 首行缩进:  0 厘米 行距: 固定值 25 磅"/>
    <w:basedOn w:val="1"/>
    <w:qFormat/>
    <w:uiPriority w:val="0"/>
    <w:pPr>
      <w:adjustRightInd w:val="0"/>
      <w:snapToGrid w:val="0"/>
      <w:spacing w:line="500" w:lineRule="exact"/>
      <w:jc w:val="left"/>
      <w:textAlignment w:val="baseline"/>
    </w:pPr>
    <w:rPr>
      <w:rFonts w:ascii="Times New Roman" w:hAnsi="Times New Roman" w:eastAsia="宋体" w:cs="宋体"/>
      <w:b/>
      <w:bCs/>
      <w:kern w:val="0"/>
      <w:sz w:val="28"/>
      <w:szCs w:val="20"/>
    </w:rPr>
  </w:style>
  <w:style w:type="paragraph" w:customStyle="1" w:styleId="113">
    <w:name w:val="居中正文"/>
    <w:basedOn w:val="33"/>
    <w:qFormat/>
    <w:uiPriority w:val="0"/>
    <w:pPr>
      <w:adjustRightInd w:val="0"/>
      <w:spacing w:before="120" w:after="0" w:line="360" w:lineRule="auto"/>
      <w:ind w:firstLine="0" w:firstLineChars="0"/>
      <w:jc w:val="center"/>
      <w:textAlignment w:val="baseline"/>
    </w:pPr>
    <w:rPr>
      <w:rFonts w:ascii="宋体" w:hAnsi="Times New Roman" w:eastAsia="宋体" w:cs="Times New Roman"/>
      <w:kern w:val="28"/>
      <w:sz w:val="24"/>
      <w:szCs w:val="20"/>
    </w:rPr>
  </w:style>
  <w:style w:type="paragraph" w:customStyle="1" w:styleId="114">
    <w:name w:val="表格正文"/>
    <w:basedOn w:val="1"/>
    <w:qFormat/>
    <w:uiPriority w:val="0"/>
    <w:pPr>
      <w:widowControl/>
      <w:tabs>
        <w:tab w:val="left" w:pos="995"/>
      </w:tabs>
      <w:spacing w:line="240" w:lineRule="auto"/>
      <w:ind w:firstLine="0" w:firstLineChars="0"/>
      <w:jc w:val="center"/>
    </w:pPr>
    <w:rPr>
      <w:kern w:val="0"/>
      <w:sz w:val="18"/>
      <w:szCs w:val="20"/>
    </w:rPr>
  </w:style>
  <w:style w:type="paragraph" w:customStyle="1" w:styleId="115">
    <w:name w:val="三级标题"/>
    <w:basedOn w:val="1"/>
    <w:qFormat/>
    <w:uiPriority w:val="0"/>
    <w:pPr>
      <w:spacing w:before="300" w:line="460" w:lineRule="exact"/>
      <w:outlineLvl w:val="2"/>
    </w:pPr>
    <w:rPr>
      <w:b/>
      <w:sz w:val="24"/>
      <w:szCs w:val="20"/>
    </w:rPr>
  </w:style>
  <w:style w:type="paragraph" w:customStyle="1" w:styleId="116">
    <w:name w:val="默认段落字体 Para Char Char Char Char Char Char Char Char Char Char Char Char Char"/>
    <w:basedOn w:val="1"/>
    <w:qFormat/>
    <w:uiPriority w:val="0"/>
  </w:style>
  <w:style w:type="paragraph" w:customStyle="1" w:styleId="117">
    <w:name w:val="正文(首行缩进)"/>
    <w:basedOn w:val="1"/>
    <w:qFormat/>
    <w:uiPriority w:val="0"/>
    <w:pPr>
      <w:adjustRightInd w:val="0"/>
      <w:snapToGrid w:val="0"/>
      <w:spacing w:line="360" w:lineRule="auto"/>
      <w:ind w:firstLine="200" w:firstLineChars="200"/>
    </w:pPr>
    <w:rPr>
      <w:rFonts w:eastAsia="宋体"/>
      <w:snapToGrid w:val="0"/>
      <w:sz w:val="24"/>
      <w:szCs w:val="24"/>
      <w:lang w:val="en-US" w:eastAsia="zh-CN" w:bidi="ar-SA"/>
    </w:rPr>
  </w:style>
  <w:style w:type="paragraph" w:customStyle="1" w:styleId="118">
    <w:name w:val="样式13"/>
    <w:basedOn w:val="1"/>
    <w:qFormat/>
    <w:uiPriority w:val="0"/>
    <w:pPr>
      <w:spacing w:line="360" w:lineRule="auto"/>
      <w:ind w:firstLine="480" w:firstLineChars="200"/>
    </w:pPr>
    <w:rPr>
      <w:color w:val="000000"/>
      <w:sz w:val="24"/>
    </w:rPr>
  </w:style>
  <w:style w:type="paragraph" w:customStyle="1" w:styleId="119">
    <w:name w:val="样式12"/>
    <w:basedOn w:val="1"/>
    <w:qFormat/>
    <w:uiPriority w:val="0"/>
    <w:pPr>
      <w:jc w:val="center"/>
    </w:pPr>
    <w:rPr>
      <w:szCs w:val="21"/>
    </w:rPr>
  </w:style>
  <w:style w:type="paragraph" w:customStyle="1" w:styleId="120">
    <w:name w:val="1表格"/>
    <w:basedOn w:val="1"/>
    <w:qFormat/>
    <w:uiPriority w:val="0"/>
    <w:pPr>
      <w:snapToGrid w:val="0"/>
      <w:spacing w:line="300" w:lineRule="auto"/>
      <w:jc w:val="center"/>
      <w:outlineLvl w:val="4"/>
    </w:pPr>
    <w:rPr>
      <w:spacing w:val="4"/>
    </w:rPr>
  </w:style>
  <w:style w:type="character" w:customStyle="1" w:styleId="121">
    <w:name w:val="font71"/>
    <w:qFormat/>
    <w:uiPriority w:val="0"/>
    <w:rPr>
      <w:rFonts w:hint="eastAsia" w:ascii="宋体" w:hAnsi="宋体" w:eastAsia="宋体" w:cs="宋体"/>
      <w:color w:val="000000"/>
      <w:sz w:val="21"/>
      <w:szCs w:val="21"/>
      <w:u w:val="none"/>
    </w:rPr>
  </w:style>
  <w:style w:type="character" w:customStyle="1" w:styleId="122">
    <w:name w:val="font51"/>
    <w:qFormat/>
    <w:uiPriority w:val="0"/>
    <w:rPr>
      <w:rFonts w:hint="default" w:ascii="Times New Roman" w:hAnsi="Times New Roman" w:cs="Times New Roman"/>
      <w:color w:val="000000"/>
      <w:sz w:val="21"/>
      <w:szCs w:val="21"/>
      <w:u w:val="none"/>
      <w:vertAlign w:val="subscript"/>
    </w:rPr>
  </w:style>
  <w:style w:type="paragraph" w:customStyle="1" w:styleId="123">
    <w:name w:val="报告 两端对齐 首行缩进:  2 字符"/>
    <w:qFormat/>
    <w:uiPriority w:val="0"/>
    <w:pPr>
      <w:spacing w:line="360" w:lineRule="auto"/>
      <w:ind w:firstLine="200" w:firstLineChars="200"/>
      <w:jc w:val="both"/>
    </w:pPr>
    <w:rPr>
      <w:rFonts w:ascii="宋体" w:hAnsi="Times New Roman" w:eastAsia="宋体" w:cs="宋体"/>
      <w:kern w:val="2"/>
      <w:sz w:val="24"/>
      <w:szCs w:val="24"/>
      <w:lang w:val="en-US" w:eastAsia="zh-CN" w:bidi="ar-SA"/>
    </w:rPr>
  </w:style>
  <w:style w:type="paragraph" w:customStyle="1" w:styleId="124">
    <w:name w:val="报告表正文"/>
    <w:basedOn w:val="1"/>
    <w:qFormat/>
    <w:uiPriority w:val="0"/>
    <w:pPr>
      <w:adjustRightInd w:val="0"/>
      <w:spacing w:line="312" w:lineRule="auto"/>
      <w:ind w:left="113" w:right="113" w:firstLine="482"/>
      <w:jc w:val="left"/>
      <w:textAlignment w:val="baseline"/>
    </w:pPr>
    <w:rPr>
      <w:kern w:val="0"/>
      <w:sz w:val="24"/>
    </w:rPr>
  </w:style>
  <w:style w:type="character" w:customStyle="1" w:styleId="125">
    <w:name w:val="font41"/>
    <w:qFormat/>
    <w:uiPriority w:val="0"/>
    <w:rPr>
      <w:rFonts w:hint="default" w:ascii="Times New Roman" w:hAnsi="Times New Roman" w:cs="Times New Roman"/>
      <w:color w:val="000000"/>
      <w:sz w:val="21"/>
      <w:szCs w:val="21"/>
      <w:u w:val="none"/>
      <w:vertAlign w:val="superscript"/>
    </w:rPr>
  </w:style>
  <w:style w:type="character" w:customStyle="1" w:styleId="126">
    <w:name w:val="font31"/>
    <w:qFormat/>
    <w:uiPriority w:val="0"/>
    <w:rPr>
      <w:rFonts w:hint="eastAsia" w:ascii="宋体" w:hAnsi="宋体" w:eastAsia="宋体" w:cs="宋体"/>
      <w:color w:val="000000"/>
      <w:sz w:val="21"/>
      <w:szCs w:val="21"/>
      <w:u w:val="none"/>
    </w:rPr>
  </w:style>
  <w:style w:type="table" w:customStyle="1" w:styleId="127">
    <w:name w:val="Table Normal"/>
    <w:qFormat/>
    <w:uiPriority w:val="0"/>
    <w:rPr>
      <w:lang w:val="en-US" w:eastAsia="zh-CN" w:bidi="ar-SA"/>
    </w:rPr>
    <w:tblPr>
      <w:tblCellMar>
        <w:top w:w="0" w:type="dxa"/>
        <w:left w:w="0" w:type="dxa"/>
        <w:bottom w:w="0" w:type="dxa"/>
        <w:right w:w="0" w:type="dxa"/>
      </w:tblCellMar>
    </w:tblPr>
  </w:style>
  <w:style w:type="paragraph" w:customStyle="1" w:styleId="128">
    <w:name w:val="表格内部-LYJ"/>
    <w:basedOn w:val="1"/>
    <w:qFormat/>
    <w:uiPriority w:val="0"/>
    <w:pPr>
      <w:jc w:val="center"/>
    </w:pPr>
    <w:rPr>
      <w:kern w:val="24"/>
      <w:szCs w:val="18"/>
    </w:rPr>
  </w:style>
  <w:style w:type="paragraph" w:customStyle="1" w:styleId="129">
    <w:name w:val="正文-zl"/>
    <w:basedOn w:val="1"/>
    <w:qFormat/>
    <w:uiPriority w:val="0"/>
    <w:pPr>
      <w:spacing w:line="360" w:lineRule="auto"/>
      <w:ind w:firstLine="480" w:firstLineChars="200"/>
    </w:pPr>
    <w:rPr>
      <w:color w:val="000000"/>
      <w:sz w:val="24"/>
    </w:rPr>
  </w:style>
  <w:style w:type="paragraph" w:customStyle="1" w:styleId="130">
    <w:name w:val="表-zl"/>
    <w:basedOn w:val="1"/>
    <w:qFormat/>
    <w:uiPriority w:val="0"/>
    <w:pPr>
      <w:spacing w:before="120" w:beforeLines="50"/>
      <w:jc w:val="center"/>
    </w:pPr>
    <w:rPr>
      <w:b/>
      <w:bCs/>
      <w:szCs w:val="21"/>
    </w:rPr>
  </w:style>
  <w:style w:type="paragraph" w:customStyle="1" w:styleId="131">
    <w:name w:val="xl36"/>
    <w:basedOn w:val="1"/>
    <w:qFormat/>
    <w:uiPriority w:val="0"/>
    <w:pPr>
      <w:widowControl/>
      <w:spacing w:before="100" w:beforeAutospacing="1" w:after="100" w:afterAutospacing="1"/>
      <w:jc w:val="center"/>
    </w:pPr>
    <w:rPr>
      <w:rFonts w:ascii="楷体_GB2312" w:hAnsi="Arial Unicode MS" w:eastAsia="楷体_GB2312"/>
      <w:b/>
      <w:bCs/>
      <w:kern w:val="0"/>
      <w:sz w:val="28"/>
      <w:szCs w:val="28"/>
    </w:rPr>
  </w:style>
  <w:style w:type="paragraph" w:customStyle="1" w:styleId="132">
    <w:name w:val="Table Text"/>
    <w:basedOn w:val="1"/>
    <w:qFormat/>
    <w:uiPriority w:val="0"/>
    <w:rPr>
      <w:rFonts w:ascii="宋体" w:hAnsi="宋体" w:eastAsia="宋体" w:cs="宋体"/>
      <w:sz w:val="20"/>
      <w:szCs w:val="20"/>
      <w:lang w:val="en-US" w:eastAsia="en-US" w:bidi="ar-SA"/>
    </w:rPr>
  </w:style>
  <w:style w:type="paragraph" w:customStyle="1" w:styleId="133">
    <w:name w:val="表格、图表名称"/>
    <w:basedOn w:val="134"/>
    <w:qFormat/>
    <w:uiPriority w:val="0"/>
    <w:pPr>
      <w:numPr>
        <w:ilvl w:val="0"/>
        <w:numId w:val="0"/>
      </w:numPr>
      <w:jc w:val="center"/>
    </w:pPr>
    <w:rPr>
      <w:b/>
    </w:rPr>
  </w:style>
  <w:style w:type="paragraph" w:customStyle="1" w:styleId="134">
    <w:name w:val="5级标题"/>
    <w:basedOn w:val="1"/>
    <w:qFormat/>
    <w:uiPriority w:val="0"/>
    <w:pPr>
      <w:numPr>
        <w:ilvl w:val="0"/>
        <w:numId w:val="3"/>
      </w:numPr>
      <w:jc w:val="left"/>
    </w:pPr>
  </w:style>
  <w:style w:type="paragraph" w:customStyle="1" w:styleId="135">
    <w:name w:val="正文 + 仿宋_GB2312"/>
    <w:basedOn w:val="1"/>
    <w:qFormat/>
    <w:uiPriority w:val="99"/>
    <w:pPr>
      <w:ind w:firstLine="480" w:firstLineChars="200"/>
    </w:pPr>
    <w:rPr>
      <w:rFonts w:ascii="仿宋_GB2312" w:hAnsi="Calibri" w:eastAsia="仿宋_GB2312" w:cs="仿宋_GB2312"/>
      <w:sz w:val="24"/>
      <w:szCs w:val="24"/>
    </w:rPr>
  </w:style>
  <w:style w:type="paragraph" w:customStyle="1" w:styleId="136">
    <w:name w:val="表头1"/>
    <w:basedOn w:val="17"/>
    <w:qFormat/>
    <w:uiPriority w:val="0"/>
    <w:pPr>
      <w:adjustRightInd w:val="0"/>
      <w:spacing w:before="120" w:line="360" w:lineRule="auto"/>
      <w:ind w:firstLine="200" w:firstLineChars="200"/>
      <w:jc w:val="center"/>
      <w:textAlignment w:val="baseline"/>
    </w:pPr>
    <w:rPr>
      <w:rFonts w:ascii="Times New Roman" w:hAnsi="Times New Roman" w:eastAsia="宋体"/>
      <w:snapToGrid/>
      <w:color w:val="000000"/>
      <w:sz w:val="24"/>
    </w:rPr>
  </w:style>
  <w:style w:type="paragraph" w:customStyle="1" w:styleId="137">
    <w:name w:val="表标-H"/>
    <w:basedOn w:val="1"/>
    <w:next w:val="1"/>
    <w:qFormat/>
    <w:uiPriority w:val="0"/>
    <w:pPr>
      <w:adjustRightInd w:val="0"/>
      <w:spacing w:line="240" w:lineRule="auto"/>
      <w:ind w:firstLine="0" w:firstLineChars="0"/>
      <w:jc w:val="center"/>
      <w:textAlignment w:val="baseline"/>
    </w:pPr>
    <w:rPr>
      <w:b/>
      <w:kern w:val="0"/>
      <w:sz w:val="21"/>
      <w:szCs w:val="20"/>
    </w:rPr>
  </w:style>
  <w:style w:type="paragraph" w:customStyle="1" w:styleId="138">
    <w:name w:val="表内-H"/>
    <w:basedOn w:val="1"/>
    <w:qFormat/>
    <w:uiPriority w:val="0"/>
    <w:pPr>
      <w:spacing w:line="280" w:lineRule="exact"/>
      <w:ind w:firstLine="0" w:firstLineChars="0"/>
      <w:jc w:val="center"/>
    </w:pPr>
    <w:rPr>
      <w:rFonts w:ascii="Times New Roman" w:hAnsi="Times New Roman"/>
      <w:kern w:val="0"/>
      <w:sz w:val="21"/>
      <w:szCs w:val="21"/>
    </w:rPr>
  </w:style>
  <w:style w:type="paragraph" w:customStyle="1" w:styleId="139">
    <w:name w:val="正文2"/>
    <w:qFormat/>
    <w:uiPriority w:val="0"/>
    <w:pPr>
      <w:jc w:val="both"/>
    </w:pPr>
    <w:rPr>
      <w:rFonts w:ascii="Calibri" w:hAnsi="Calibri" w:eastAsia="宋体" w:cs="Calibri"/>
      <w:kern w:val="2"/>
      <w:sz w:val="21"/>
      <w:szCs w:val="21"/>
      <w:lang w:val="en-US" w:eastAsia="zh-CN" w:bidi="ar-SA"/>
    </w:rPr>
  </w:style>
  <w:style w:type="paragraph" w:customStyle="1" w:styleId="140">
    <w:name w:val="样式 正文文本缩进 + 行距: 1.5 倍行距"/>
    <w:basedOn w:val="141"/>
    <w:qFormat/>
    <w:uiPriority w:val="0"/>
    <w:pPr>
      <w:snapToGrid/>
      <w:spacing w:before="0" w:after="120" w:line="360" w:lineRule="auto"/>
      <w:ind w:left="90" w:leftChars="32" w:firstLine="560" w:firstLineChars="200"/>
    </w:pPr>
    <w:rPr>
      <w:rFonts w:ascii="Times New Roman" w:eastAsia="宋体" w:cs="宋体"/>
    </w:rPr>
  </w:style>
  <w:style w:type="paragraph" w:customStyle="1" w:styleId="141">
    <w:name w:val="正文文本缩进1"/>
    <w:basedOn w:val="1"/>
    <w:next w:val="140"/>
    <w:qFormat/>
    <w:uiPriority w:val="0"/>
    <w:pPr>
      <w:spacing w:after="120"/>
      <w:ind w:left="420" w:leftChars="200"/>
    </w:pPr>
    <w:rPr>
      <w:sz w:val="24"/>
    </w:rPr>
  </w:style>
  <w:style w:type="paragraph" w:customStyle="1" w:styleId="142">
    <w:name w:val="表"/>
    <w:basedOn w:val="1"/>
    <w:qFormat/>
    <w:uiPriority w:val="0"/>
    <w:pPr>
      <w:snapToGrid w:val="0"/>
      <w:jc w:val="center"/>
    </w:pPr>
    <w:rPr>
      <w:spacing w:val="2"/>
      <w:sz w:val="24"/>
      <w:szCs w:val="20"/>
    </w:rPr>
  </w:style>
  <w:style w:type="paragraph" w:customStyle="1" w:styleId="143">
    <w:name w:val="样式35"/>
    <w:basedOn w:val="1"/>
    <w:qFormat/>
    <w:uiPriority w:val="0"/>
    <w:pPr>
      <w:adjustRightInd w:val="0"/>
      <w:spacing w:line="312" w:lineRule="auto"/>
      <w:ind w:firstLine="567"/>
    </w:pPr>
    <w:rPr>
      <w:rFonts w:ascii="宋体"/>
      <w:kern w:val="0"/>
      <w:sz w:val="28"/>
      <w:szCs w:val="20"/>
    </w:rPr>
  </w:style>
  <w:style w:type="paragraph" w:customStyle="1" w:styleId="144">
    <w:name w:val="报告表表格"/>
    <w:basedOn w:val="1"/>
    <w:qFormat/>
    <w:uiPriority w:val="0"/>
    <w:pPr>
      <w:spacing w:line="360" w:lineRule="exact"/>
      <w:jc w:val="center"/>
    </w:pPr>
    <w:rPr>
      <w:rFonts w:ascii="Arial" w:hAnsi="Arial" w:cs="Arial Unicode MS"/>
      <w:szCs w:val="21"/>
    </w:rPr>
  </w:style>
  <w:style w:type="paragraph" w:customStyle="1" w:styleId="145">
    <w:name w:val="正文01"/>
    <w:basedOn w:val="3"/>
    <w:qFormat/>
    <w:uiPriority w:val="0"/>
    <w:pPr>
      <w:keepNext w:val="0"/>
      <w:keepLines w:val="0"/>
      <w:spacing w:before="60" w:after="0" w:line="460" w:lineRule="exact"/>
      <w:ind w:firstLine="200" w:firstLineChars="200"/>
      <w:outlineLvl w:val="9"/>
    </w:pPr>
    <w:rPr>
      <w:rFonts w:ascii="Times New Roman" w:hAnsi="Times New Roman" w:eastAsia="宋体"/>
      <w:b w:val="0"/>
      <w:sz w:val="24"/>
      <w:szCs w:val="24"/>
    </w:rPr>
  </w:style>
  <w:style w:type="paragraph" w:customStyle="1" w:styleId="146">
    <w:name w:val="li_正文"/>
    <w:basedOn w:val="1"/>
    <w:qFormat/>
    <w:uiPriority w:val="0"/>
    <w:pPr>
      <w:tabs>
        <w:tab w:val="left" w:pos="2340"/>
        <w:tab w:val="left" w:pos="4320"/>
      </w:tabs>
      <w:ind w:firstLine="530" w:firstLineChars="200"/>
      <w:jc w:val="left"/>
    </w:pPr>
    <w:rPr>
      <w:sz w:val="28"/>
      <w:szCs w:val="28"/>
    </w:rPr>
  </w:style>
  <w:style w:type="character" w:customStyle="1" w:styleId="147">
    <w:name w:val="unnamed11"/>
    <w:qFormat/>
    <w:uiPriority w:val="0"/>
    <w:rPr>
      <w:sz w:val="21"/>
      <w:szCs w:val="21"/>
    </w:rPr>
  </w:style>
  <w:style w:type="paragraph" w:customStyle="1" w:styleId="148">
    <w:name w:val="！ 正文"/>
    <w:basedOn w:val="1"/>
    <w:qFormat/>
    <w:uiPriority w:val="0"/>
    <w:pPr>
      <w:adjustRightInd w:val="0"/>
      <w:snapToGrid w:val="0"/>
      <w:spacing w:line="360" w:lineRule="auto"/>
      <w:ind w:firstLine="200" w:firstLineChars="200"/>
    </w:pPr>
    <w:rPr>
      <w:sz w:val="24"/>
      <w:szCs w:val="24"/>
    </w:rPr>
  </w:style>
  <w:style w:type="paragraph" w:customStyle="1" w:styleId="149">
    <w:name w:val="表文"/>
    <w:qFormat/>
    <w:uiPriority w:val="99"/>
    <w:pPr>
      <w:widowControl w:val="0"/>
      <w:adjustRightInd w:val="0"/>
      <w:jc w:val="center"/>
    </w:pPr>
    <w:rPr>
      <w:rFonts w:ascii="Times New Roman" w:hAnsi="Times New Roman" w:eastAsia="宋体" w:cs="Times New Roman"/>
      <w:kern w:val="2"/>
      <w:sz w:val="21"/>
      <w:szCs w:val="21"/>
      <w:lang w:val="en-US" w:eastAsia="zh-CN" w:bidi="ar-SA"/>
    </w:rPr>
  </w:style>
  <w:style w:type="character" w:customStyle="1" w:styleId="150">
    <w:name w:val="font81"/>
    <w:qFormat/>
    <w:uiPriority w:val="0"/>
    <w:rPr>
      <w:rFonts w:hint="default" w:ascii="Arial" w:hAnsi="Arial" w:cs="Arial"/>
      <w:color w:val="000000"/>
      <w:sz w:val="18"/>
      <w:szCs w:val="18"/>
      <w:u w:val="none"/>
    </w:rPr>
  </w:style>
  <w:style w:type="paragraph" w:customStyle="1" w:styleId="151">
    <w:name w:val="图、表内容"/>
    <w:basedOn w:val="1"/>
    <w:qFormat/>
    <w:uiPriority w:val="0"/>
    <w:pPr>
      <w:spacing w:line="240" w:lineRule="auto"/>
      <w:ind w:firstLine="0" w:firstLineChars="0"/>
      <w:jc w:val="center"/>
    </w:pPr>
    <w:rPr>
      <w:sz w:val="21"/>
    </w:rPr>
  </w:style>
  <w:style w:type="paragraph" w:styleId="152">
    <w:name w:val="List Paragraph"/>
    <w:basedOn w:val="1"/>
    <w:qFormat/>
    <w:uiPriority w:val="34"/>
    <w:pPr>
      <w:ind w:firstLine="420" w:firstLineChars="200"/>
    </w:pPr>
  </w:style>
  <w:style w:type="character" w:customStyle="1" w:styleId="153">
    <w:name w:val="font6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8.png"/><Relationship Id="rId5" Type="http://schemas.openxmlformats.org/officeDocument/2006/relationships/header" Target="head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wmf"/><Relationship Id="rId40" Type="http://schemas.openxmlformats.org/officeDocument/2006/relationships/oleObject" Target="embeddings/oleObject12.bin"/><Relationship Id="rId4" Type="http://schemas.openxmlformats.org/officeDocument/2006/relationships/footer" Target="footer2.xml"/><Relationship Id="rId39" Type="http://schemas.openxmlformats.org/officeDocument/2006/relationships/image" Target="media/image18.wmf"/><Relationship Id="rId38" Type="http://schemas.openxmlformats.org/officeDocument/2006/relationships/oleObject" Target="embeddings/oleObject11.bin"/><Relationship Id="rId37" Type="http://schemas.openxmlformats.org/officeDocument/2006/relationships/image" Target="media/image17.wmf"/><Relationship Id="rId36" Type="http://schemas.openxmlformats.org/officeDocument/2006/relationships/oleObject" Target="embeddings/oleObject10.bin"/><Relationship Id="rId35" Type="http://schemas.openxmlformats.org/officeDocument/2006/relationships/image" Target="media/image16.wmf"/><Relationship Id="rId34" Type="http://schemas.openxmlformats.org/officeDocument/2006/relationships/oleObject" Target="embeddings/oleObject9.bin"/><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er" Target="footer1.xml"/><Relationship Id="rId29" Type="http://schemas.openxmlformats.org/officeDocument/2006/relationships/image" Target="media/image11.png"/><Relationship Id="rId28" Type="http://schemas.openxmlformats.org/officeDocument/2006/relationships/image" Target="media/image10.emf"/><Relationship Id="rId27" Type="http://schemas.openxmlformats.org/officeDocument/2006/relationships/oleObject" Target="embeddings/oleObject8.bin"/><Relationship Id="rId26" Type="http://schemas.openxmlformats.org/officeDocument/2006/relationships/image" Target="media/image9.wmf"/><Relationship Id="rId25" Type="http://schemas.openxmlformats.org/officeDocument/2006/relationships/oleObject" Target="embeddings/oleObject7.bin"/><Relationship Id="rId24" Type="http://schemas.openxmlformats.org/officeDocument/2006/relationships/image" Target="media/image8.wmf"/><Relationship Id="rId23" Type="http://schemas.openxmlformats.org/officeDocument/2006/relationships/oleObject" Target="embeddings/oleObject6.bin"/><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N\AppData\Local\Kingsoft\WPS%20Office\12.1.0.24657\office6\file:\C:\dsoa\wdzx9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9e39de-9b5c-4c54-8237-2e1ceaa4ea6f}">
  <ds:schemaRefs/>
</ds:datastoreItem>
</file>

<file path=docProps/app.xml><?xml version="1.0" encoding="utf-8"?>
<Properties xmlns="http://schemas.openxmlformats.org/officeDocument/2006/extended-properties" xmlns:vt="http://schemas.openxmlformats.org/officeDocument/2006/docPropsVTypes">
  <Template>wdzx97</Template>
  <Company>生态环境部制</Company>
  <Pages>72</Pages>
  <Words>21148</Words>
  <Characters>23138</Characters>
  <Paragraphs>3683</Paragraphs>
  <TotalTime>28</TotalTime>
  <ScaleCrop>false</ScaleCrop>
  <LinksUpToDate>false</LinksUpToDate>
  <CharactersWithSpaces>23277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2023-10-27T07:59:00Z</dcterms:created>
  <dc:creator>Administrator</dc:creator>
  <cp:lastModifiedBy>沐紫.</cp:lastModifiedBy>
  <cp:lastPrinted>2022-06-17T05:55:00Z</cp:lastPrinted>
  <dcterms:modified xsi:type="dcterms:W3CDTF">2026-02-12T06:54:33Z</dcterms:modified>
  <dc:title>建设项目环境影响报告表（污染影响类）模板(V1.00)</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7DC94258DDC84678911CD13A476CF52F_13</vt:lpwstr>
  </property>
  <property fmtid="{D5CDD505-2E9C-101B-9397-08002B2CF9AE}" pid="4" name="KSOTemplateDocerSaveRecord">
    <vt:lpwstr>eyJoZGlkIjoiNzI4MzA5OTUwYmZiYjVkZjczODlhZDg4NzMxNWJlZGMiLCJ1c2VySWQiOiI0NDAzODIzOTgifQ==</vt:lpwstr>
  </property>
</Properties>
</file>