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489A7E">
      <w:pPr>
        <w:rPr>
          <w:rFonts w:ascii="仿宋_GB2312" w:hAnsi="仿宋_GB2312" w:eastAsia="仿宋_GB2312" w:cs="仿宋_GB2312"/>
          <w:sz w:val="36"/>
          <w:szCs w:val="36"/>
        </w:rPr>
      </w:pPr>
    </w:p>
    <w:p w14:paraId="7E8ADFBB">
      <w:pPr>
        <w:pStyle w:val="8"/>
      </w:pPr>
    </w:p>
    <w:p w14:paraId="6DF68E52">
      <w:pPr>
        <w:rPr>
          <w:rFonts w:ascii="仿宋_GB2312" w:hAnsi="仿宋_GB2312" w:eastAsia="仿宋_GB2312" w:cs="仿宋_GB2312"/>
          <w:sz w:val="36"/>
          <w:szCs w:val="36"/>
        </w:rPr>
      </w:pPr>
    </w:p>
    <w:p w14:paraId="44ECF382">
      <w:pPr>
        <w:rPr>
          <w:rFonts w:ascii="仿宋_GB2312" w:hAnsi="仿宋_GB2312" w:eastAsia="仿宋_GB2312" w:cs="仿宋_GB2312"/>
          <w:sz w:val="36"/>
          <w:szCs w:val="36"/>
        </w:rPr>
      </w:pPr>
    </w:p>
    <w:p w14:paraId="76E029EB">
      <w:pPr>
        <w:rPr>
          <w:rFonts w:ascii="仿宋_GB2312" w:hAnsi="仿宋_GB2312" w:eastAsia="仿宋_GB2312" w:cs="仿宋_GB2312"/>
          <w:sz w:val="36"/>
          <w:szCs w:val="36"/>
        </w:rPr>
      </w:pPr>
    </w:p>
    <w:p w14:paraId="4B0F3560">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1E1A66A0">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01107B2F"/>
    <w:p w14:paraId="50D8F776">
      <w:pPr>
        <w:jc w:val="center"/>
        <w:rPr>
          <w:rFonts w:eastAsia="仿宋"/>
          <w:sz w:val="52"/>
          <w:szCs w:val="52"/>
        </w:rPr>
      </w:pPr>
    </w:p>
    <w:p w14:paraId="5945507B">
      <w:pPr>
        <w:ind w:firstLine="1040"/>
        <w:rPr>
          <w:rFonts w:eastAsia="仿宋"/>
          <w:sz w:val="44"/>
          <w:szCs w:val="44"/>
        </w:rPr>
      </w:pPr>
    </w:p>
    <w:p w14:paraId="71375427">
      <w:pPr>
        <w:ind w:firstLine="1040"/>
        <w:rPr>
          <w:rFonts w:eastAsia="仿宋"/>
          <w:sz w:val="44"/>
          <w:szCs w:val="44"/>
        </w:rPr>
      </w:pPr>
    </w:p>
    <w:p w14:paraId="18662228">
      <w:pPr>
        <w:ind w:firstLine="1040"/>
        <w:rPr>
          <w:rFonts w:eastAsia="仿宋"/>
          <w:sz w:val="44"/>
          <w:szCs w:val="44"/>
        </w:rPr>
      </w:pPr>
    </w:p>
    <w:p w14:paraId="3CE5635D">
      <w:pPr>
        <w:ind w:firstLine="1040"/>
        <w:rPr>
          <w:rFonts w:eastAsia="仿宋"/>
          <w:sz w:val="44"/>
          <w:szCs w:val="44"/>
        </w:rPr>
      </w:pPr>
    </w:p>
    <w:p w14:paraId="5E709AEB">
      <w:pPr>
        <w:adjustRightInd w:val="0"/>
        <w:snapToGrid w:val="0"/>
        <w:spacing w:line="288" w:lineRule="auto"/>
        <w:ind w:firstLine="360" w:firstLineChars="100"/>
        <w:jc w:val="left"/>
        <w:rPr>
          <w:rFonts w:ascii="仿宋_GB2312" w:eastAsia="仿宋_GB2312"/>
          <w:sz w:val="36"/>
          <w:szCs w:val="36"/>
          <w:u w:val="single"/>
        </w:rPr>
      </w:pPr>
      <w:bookmarkStart w:id="0" w:name="_Hlk57884087"/>
      <w:r>
        <w:rPr>
          <w:rFonts w:hint="eastAsia" w:ascii="仿宋_GB2312" w:eastAsia="仿宋_GB2312"/>
          <w:sz w:val="36"/>
          <w:szCs w:val="36"/>
        </w:rPr>
        <w:t>项目名称：</w:t>
      </w:r>
      <w:r>
        <w:rPr>
          <w:rFonts w:hint="eastAsia" w:ascii="仿宋_GB2312" w:eastAsia="仿宋_GB2312"/>
          <w:sz w:val="36"/>
          <w:szCs w:val="36"/>
          <w:u w:val="single"/>
        </w:rPr>
        <w:t xml:space="preserve">   </w:t>
      </w:r>
      <w:bookmarkStart w:id="6" w:name="_GoBack"/>
      <w:r>
        <w:rPr>
          <w:rFonts w:hint="eastAsia" w:ascii="仿宋_GB2312" w:eastAsia="仿宋_GB2312"/>
          <w:sz w:val="36"/>
          <w:szCs w:val="36"/>
          <w:u w:val="single"/>
        </w:rPr>
        <w:t xml:space="preserve">安徽优品诺年产3000吨大健康项目   </w:t>
      </w:r>
    </w:p>
    <w:bookmarkEnd w:id="6"/>
    <w:p w14:paraId="53238692">
      <w:pPr>
        <w:adjustRightInd w:val="0"/>
        <w:snapToGrid w:val="0"/>
        <w:spacing w:line="288" w:lineRule="auto"/>
        <w:ind w:firstLine="360" w:firstLineChars="100"/>
        <w:jc w:val="left"/>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安</w:t>
      </w:r>
      <w:r>
        <w:rPr>
          <w:rFonts w:hint="eastAsia" w:ascii="仿宋_GB2312" w:eastAsia="仿宋_GB2312"/>
          <w:sz w:val="36"/>
          <w:szCs w:val="36"/>
          <w:u w:val="single"/>
        </w:rPr>
        <w:t>徽优品诺健康科技有限公</w:t>
      </w:r>
      <w:r>
        <w:rPr>
          <w:rFonts w:hint="eastAsia" w:ascii="仿宋_GB2312" w:eastAsia="仿宋_GB2312"/>
          <w:sz w:val="36"/>
          <w:szCs w:val="36"/>
          <w:u w:val="single"/>
          <w:lang w:val="en-US" w:eastAsia="zh-CN"/>
        </w:rPr>
        <w:t>司</w:t>
      </w:r>
      <w:r>
        <w:rPr>
          <w:rFonts w:hint="eastAsia" w:ascii="仿宋_GB2312" w:eastAsia="仿宋_GB2312"/>
          <w:sz w:val="36"/>
          <w:szCs w:val="36"/>
          <w:u w:val="single"/>
        </w:rPr>
        <w:t xml:space="preserve">  </w:t>
      </w:r>
    </w:p>
    <w:p w14:paraId="79681105">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二〇二</w:t>
      </w:r>
      <w:r>
        <w:rPr>
          <w:rFonts w:hint="eastAsia" w:ascii="仿宋_GB2312" w:eastAsia="仿宋_GB2312"/>
          <w:sz w:val="36"/>
          <w:szCs w:val="36"/>
          <w:u w:val="single"/>
          <w:lang w:val="en-US" w:eastAsia="zh-CN"/>
        </w:rPr>
        <w:t>六</w:t>
      </w:r>
      <w:r>
        <w:rPr>
          <w:rFonts w:hint="eastAsia" w:ascii="仿宋_GB2312" w:eastAsia="仿宋_GB2312"/>
          <w:sz w:val="36"/>
          <w:szCs w:val="36"/>
          <w:u w:val="single"/>
        </w:rPr>
        <w:t>年</w:t>
      </w:r>
      <w:r>
        <w:rPr>
          <w:rFonts w:hint="eastAsia" w:ascii="仿宋_GB2312" w:eastAsia="仿宋_GB2312"/>
          <w:sz w:val="36"/>
          <w:szCs w:val="36"/>
          <w:u w:val="single"/>
          <w:lang w:val="en-US" w:eastAsia="zh-CN"/>
        </w:rPr>
        <w:t>三</w:t>
      </w:r>
      <w:r>
        <w:rPr>
          <w:rFonts w:hint="eastAsia" w:ascii="仿宋_GB2312" w:eastAsia="仿宋_GB2312"/>
          <w:sz w:val="36"/>
          <w:szCs w:val="36"/>
          <w:u w:val="single"/>
        </w:rPr>
        <w:t xml:space="preserve">月                 </w:t>
      </w:r>
    </w:p>
    <w:p w14:paraId="779908F3">
      <w:pPr>
        <w:adjustRightInd w:val="0"/>
        <w:snapToGrid w:val="0"/>
        <w:spacing w:line="288" w:lineRule="auto"/>
        <w:ind w:firstLine="1040"/>
        <w:rPr>
          <w:rFonts w:ascii="仿宋_GB2312" w:eastAsia="仿宋_GB2312"/>
          <w:sz w:val="36"/>
          <w:szCs w:val="36"/>
          <w:u w:val="single"/>
        </w:rPr>
      </w:pPr>
    </w:p>
    <w:p w14:paraId="43C153CF">
      <w:pPr>
        <w:adjustRightInd w:val="0"/>
        <w:snapToGrid w:val="0"/>
        <w:spacing w:line="288" w:lineRule="auto"/>
        <w:ind w:firstLine="1040"/>
        <w:rPr>
          <w:rFonts w:ascii="仿宋_GB2312" w:eastAsia="仿宋_GB2312"/>
          <w:sz w:val="36"/>
          <w:szCs w:val="36"/>
        </w:rPr>
      </w:pPr>
    </w:p>
    <w:p w14:paraId="586D2BD6">
      <w:pPr>
        <w:adjustRightInd w:val="0"/>
        <w:snapToGrid w:val="0"/>
        <w:spacing w:line="288" w:lineRule="auto"/>
        <w:ind w:firstLine="1040"/>
        <w:rPr>
          <w:rFonts w:ascii="仿宋_GB2312" w:eastAsia="仿宋_GB2312"/>
          <w:sz w:val="36"/>
          <w:szCs w:val="36"/>
        </w:rPr>
      </w:pPr>
    </w:p>
    <w:p w14:paraId="4A7A0440">
      <w:pPr>
        <w:adjustRightInd w:val="0"/>
        <w:snapToGrid w:val="0"/>
        <w:spacing w:line="288" w:lineRule="auto"/>
        <w:rPr>
          <w:rFonts w:ascii="仿宋_GB2312" w:eastAsia="仿宋_GB2312"/>
          <w:sz w:val="36"/>
          <w:szCs w:val="36"/>
        </w:rPr>
      </w:pPr>
    </w:p>
    <w:bookmarkEnd w:id="0"/>
    <w:p w14:paraId="4CD2F152">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29CB3EF7">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14:paraId="0E247E95">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1879"/>
        <w:gridCol w:w="2972"/>
      </w:tblGrid>
      <w:tr w14:paraId="35CB9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784FBE2A">
            <w:pPr>
              <w:adjustRightInd w:val="0"/>
              <w:snapToGrid w:val="0"/>
              <w:jc w:val="center"/>
            </w:pPr>
            <w:r>
              <w:t>建设项目名称</w:t>
            </w:r>
          </w:p>
        </w:tc>
        <w:tc>
          <w:tcPr>
            <w:tcW w:w="6488" w:type="dxa"/>
            <w:gridSpan w:val="3"/>
            <w:vAlign w:val="center"/>
          </w:tcPr>
          <w:p w14:paraId="25F412C3">
            <w:pPr>
              <w:adjustRightInd w:val="0"/>
              <w:snapToGrid w:val="0"/>
              <w:jc w:val="center"/>
            </w:pPr>
            <w:r>
              <w:rPr>
                <w:rFonts w:hint="eastAsia"/>
              </w:rPr>
              <w:t>安徽优品诺年产3000吨大健康项目</w:t>
            </w:r>
          </w:p>
        </w:tc>
      </w:tr>
      <w:tr w14:paraId="47BA07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4CD3BDB1">
            <w:pPr>
              <w:adjustRightInd w:val="0"/>
              <w:snapToGrid w:val="0"/>
              <w:jc w:val="center"/>
            </w:pPr>
            <w:r>
              <w:t>项目代码</w:t>
            </w:r>
          </w:p>
        </w:tc>
        <w:tc>
          <w:tcPr>
            <w:tcW w:w="6488" w:type="dxa"/>
            <w:gridSpan w:val="3"/>
            <w:vAlign w:val="center"/>
          </w:tcPr>
          <w:p w14:paraId="597B4493">
            <w:pPr>
              <w:adjustRightInd w:val="0"/>
              <w:snapToGrid w:val="0"/>
              <w:jc w:val="center"/>
            </w:pPr>
            <w:r>
              <w:rPr>
                <w:rFonts w:hint="eastAsia"/>
              </w:rPr>
              <w:t>2507-341367-04-03-461776</w:t>
            </w:r>
          </w:p>
        </w:tc>
      </w:tr>
      <w:tr w14:paraId="4891D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3F12259C">
            <w:pPr>
              <w:adjustRightInd w:val="0"/>
              <w:snapToGrid w:val="0"/>
              <w:jc w:val="center"/>
            </w:pPr>
            <w:r>
              <w:t>建设单位联系人</w:t>
            </w:r>
          </w:p>
        </w:tc>
        <w:tc>
          <w:tcPr>
            <w:tcW w:w="1637" w:type="dxa"/>
            <w:vAlign w:val="center"/>
          </w:tcPr>
          <w:p w14:paraId="71AC1CE1">
            <w:pPr>
              <w:adjustRightInd w:val="0"/>
              <w:snapToGrid w:val="0"/>
              <w:jc w:val="center"/>
              <w:rPr>
                <w:rFonts w:hint="eastAsia" w:eastAsia="宋体"/>
                <w:lang w:eastAsia="zh-CN"/>
              </w:rPr>
            </w:pPr>
            <w:r>
              <w:rPr>
                <w:rFonts w:hint="eastAsia"/>
                <w:lang w:val="en-US" w:eastAsia="zh-CN"/>
              </w:rPr>
              <w:t>李杰</w:t>
            </w:r>
          </w:p>
        </w:tc>
        <w:tc>
          <w:tcPr>
            <w:tcW w:w="1879" w:type="dxa"/>
            <w:vAlign w:val="center"/>
          </w:tcPr>
          <w:p w14:paraId="7E76CDBF">
            <w:pPr>
              <w:adjustRightInd w:val="0"/>
              <w:snapToGrid w:val="0"/>
              <w:jc w:val="center"/>
            </w:pPr>
            <w:r>
              <w:t>联系方式</w:t>
            </w:r>
          </w:p>
        </w:tc>
        <w:tc>
          <w:tcPr>
            <w:tcW w:w="2972" w:type="dxa"/>
            <w:vAlign w:val="center"/>
          </w:tcPr>
          <w:p w14:paraId="628D287C">
            <w:pPr>
              <w:widowControl/>
              <w:jc w:val="center"/>
            </w:pPr>
            <w:r>
              <w:rPr>
                <w:rFonts w:hint="eastAsia"/>
              </w:rPr>
              <w:t>18955753667</w:t>
            </w:r>
          </w:p>
        </w:tc>
      </w:tr>
      <w:tr w14:paraId="729E5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095FBE4D">
            <w:pPr>
              <w:adjustRightInd w:val="0"/>
              <w:snapToGrid w:val="0"/>
              <w:jc w:val="center"/>
            </w:pPr>
            <w:r>
              <w:t>建设地点</w:t>
            </w:r>
          </w:p>
        </w:tc>
        <w:tc>
          <w:tcPr>
            <w:tcW w:w="6488" w:type="dxa"/>
            <w:gridSpan w:val="3"/>
            <w:vAlign w:val="center"/>
          </w:tcPr>
          <w:p w14:paraId="5C21BC2B">
            <w:pPr>
              <w:adjustRightInd w:val="0"/>
              <w:snapToGrid w:val="0"/>
              <w:jc w:val="center"/>
            </w:pPr>
            <w:r>
              <w:rPr>
                <w:rFonts w:hint="eastAsia"/>
                <w:u w:val="single"/>
              </w:rPr>
              <w:t>安徽省宿州市高新</w:t>
            </w:r>
            <w:r>
              <w:rPr>
                <w:rFonts w:hint="eastAsia"/>
                <w:u w:val="single"/>
                <w:lang w:val="en-US" w:eastAsia="zh-CN"/>
              </w:rPr>
              <w:t>技术产业开发区</w:t>
            </w:r>
            <w:r>
              <w:rPr>
                <w:rFonts w:hint="eastAsia"/>
                <w:u w:val="single"/>
              </w:rPr>
              <w:t>双创产业园</w:t>
            </w:r>
            <w:r>
              <w:rPr>
                <w:rFonts w:hint="eastAsia"/>
                <w:u w:val="single"/>
                <w:lang w:val="en-US" w:eastAsia="zh-CN"/>
              </w:rPr>
              <w:t>4</w:t>
            </w:r>
            <w:r>
              <w:rPr>
                <w:rFonts w:hint="eastAsia"/>
                <w:u w:val="single"/>
              </w:rPr>
              <w:t>#楼</w:t>
            </w:r>
          </w:p>
        </w:tc>
      </w:tr>
      <w:tr w14:paraId="6D127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7B1F417D">
            <w:pPr>
              <w:adjustRightInd w:val="0"/>
              <w:snapToGrid w:val="0"/>
              <w:jc w:val="center"/>
            </w:pPr>
            <w:r>
              <w:t>地理坐标</w:t>
            </w:r>
          </w:p>
        </w:tc>
        <w:tc>
          <w:tcPr>
            <w:tcW w:w="6488" w:type="dxa"/>
            <w:gridSpan w:val="3"/>
            <w:vAlign w:val="center"/>
          </w:tcPr>
          <w:p w14:paraId="70517AF3">
            <w:pPr>
              <w:pStyle w:val="10"/>
              <w:jc w:val="center"/>
            </w:pPr>
            <w:r>
              <w:t>（</w:t>
            </w:r>
            <w:r>
              <w:rPr>
                <w:rFonts w:hint="eastAsia"/>
              </w:rPr>
              <w:t>东经</w:t>
            </w:r>
            <w:r>
              <w:rPr>
                <w:rFonts w:hint="eastAsia"/>
                <w:u w:val="single"/>
              </w:rPr>
              <w:t>116</w:t>
            </w:r>
            <w:r>
              <w:t>度</w:t>
            </w:r>
            <w:r>
              <w:rPr>
                <w:rFonts w:hint="eastAsia"/>
                <w:u w:val="single"/>
              </w:rPr>
              <w:t>5</w:t>
            </w:r>
            <w:r>
              <w:rPr>
                <w:rFonts w:hint="eastAsia"/>
                <w:u w:val="single"/>
                <w:lang w:val="en-US" w:eastAsia="zh-CN"/>
              </w:rPr>
              <w:t>7</w:t>
            </w:r>
            <w:r>
              <w:t>分</w:t>
            </w:r>
            <w:r>
              <w:rPr>
                <w:rFonts w:hint="eastAsia"/>
                <w:u w:val="single"/>
              </w:rPr>
              <w:t>9.102</w:t>
            </w:r>
            <w:r>
              <w:t>秒，</w:t>
            </w:r>
            <w:r>
              <w:rPr>
                <w:rFonts w:hint="eastAsia"/>
              </w:rPr>
              <w:t>北纬</w:t>
            </w:r>
            <w:r>
              <w:rPr>
                <w:rFonts w:hint="eastAsia"/>
                <w:u w:val="single"/>
              </w:rPr>
              <w:t>33</w:t>
            </w:r>
            <w:r>
              <w:t>度</w:t>
            </w:r>
            <w:r>
              <w:rPr>
                <w:rFonts w:hint="eastAsia"/>
                <w:u w:val="single"/>
              </w:rPr>
              <w:t>4</w:t>
            </w:r>
            <w:r>
              <w:rPr>
                <w:rFonts w:hint="eastAsia"/>
                <w:u w:val="single"/>
                <w:lang w:val="en-US" w:eastAsia="zh-CN"/>
              </w:rPr>
              <w:t>1</w:t>
            </w:r>
            <w:r>
              <w:t>分</w:t>
            </w:r>
            <w:r>
              <w:rPr>
                <w:rFonts w:hint="eastAsia"/>
                <w:u w:val="single"/>
              </w:rPr>
              <w:t>58.91</w:t>
            </w:r>
            <w:r>
              <w:rPr>
                <w:rFonts w:hint="eastAsia"/>
                <w:u w:val="single"/>
                <w:lang w:val="en-US" w:eastAsia="zh-CN"/>
              </w:rPr>
              <w:t>8</w:t>
            </w:r>
            <w:r>
              <w:t>秒）</w:t>
            </w:r>
          </w:p>
        </w:tc>
      </w:tr>
      <w:tr w14:paraId="1454B4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57FE3065">
            <w:pPr>
              <w:adjustRightInd w:val="0"/>
              <w:snapToGrid w:val="0"/>
              <w:jc w:val="center"/>
            </w:pPr>
            <w:r>
              <w:t>国民经济</w:t>
            </w:r>
          </w:p>
          <w:p w14:paraId="7A851DF1">
            <w:pPr>
              <w:adjustRightInd w:val="0"/>
              <w:snapToGrid w:val="0"/>
              <w:jc w:val="center"/>
            </w:pPr>
            <w:r>
              <w:t>行业类别</w:t>
            </w:r>
          </w:p>
        </w:tc>
        <w:tc>
          <w:tcPr>
            <w:tcW w:w="1637" w:type="dxa"/>
            <w:vAlign w:val="center"/>
          </w:tcPr>
          <w:p w14:paraId="2AD95BD9">
            <w:pPr>
              <w:adjustRightInd w:val="0"/>
              <w:snapToGrid w:val="0"/>
              <w:jc w:val="center"/>
              <w:rPr>
                <w:rFonts w:hint="default" w:eastAsia="宋体"/>
                <w:lang w:val="en-US" w:eastAsia="zh-CN"/>
              </w:rPr>
            </w:pPr>
            <w:r>
              <w:rPr>
                <w:rFonts w:hint="eastAsia"/>
                <w:szCs w:val="28"/>
              </w:rPr>
              <w:t>C</w:t>
            </w:r>
            <w:r>
              <w:rPr>
                <w:rFonts w:hint="eastAsia"/>
                <w:szCs w:val="28"/>
                <w:lang w:val="en-US" w:eastAsia="zh-CN"/>
              </w:rPr>
              <w:t>1491营养食品制造</w:t>
            </w:r>
          </w:p>
        </w:tc>
        <w:tc>
          <w:tcPr>
            <w:tcW w:w="1879" w:type="dxa"/>
            <w:vAlign w:val="center"/>
          </w:tcPr>
          <w:p w14:paraId="56034407">
            <w:pPr>
              <w:adjustRightInd w:val="0"/>
              <w:snapToGrid w:val="0"/>
              <w:jc w:val="center"/>
            </w:pPr>
            <w:r>
              <w:t>建设项目</w:t>
            </w:r>
          </w:p>
          <w:p w14:paraId="1546E875">
            <w:pPr>
              <w:adjustRightInd w:val="0"/>
              <w:snapToGrid w:val="0"/>
              <w:jc w:val="center"/>
            </w:pPr>
            <w:r>
              <w:t>行业类别</w:t>
            </w:r>
          </w:p>
        </w:tc>
        <w:tc>
          <w:tcPr>
            <w:tcW w:w="2972" w:type="dxa"/>
            <w:vAlign w:val="center"/>
          </w:tcPr>
          <w:p w14:paraId="3950DB58">
            <w:pPr>
              <w:adjustRightInd w:val="0"/>
              <w:snapToGrid w:val="0"/>
              <w:jc w:val="center"/>
              <w:rPr>
                <w:rFonts w:hint="default" w:eastAsia="宋体"/>
                <w:lang w:val="en-US" w:eastAsia="zh-CN"/>
              </w:rPr>
            </w:pPr>
            <w:r>
              <w:rPr>
                <w:rFonts w:hint="eastAsia" w:ascii="宋体" w:hAnsi="宋体" w:cs="宋体"/>
                <w:lang w:val="en-US" w:eastAsia="zh-CN"/>
              </w:rPr>
              <w:t>十一、食品制造</w:t>
            </w:r>
            <w:r>
              <w:rPr>
                <w:rFonts w:hint="default" w:ascii="Times New Roman" w:hAnsi="Times New Roman" w:cs="Times New Roman"/>
                <w:lang w:val="en-US" w:eastAsia="zh-CN"/>
              </w:rPr>
              <w:t>业14：</w:t>
            </w:r>
            <w:r>
              <w:rPr>
                <w:rFonts w:hint="eastAsia" w:ascii="Times New Roman" w:hAnsi="Times New Roman" w:cs="Times New Roman"/>
                <w:lang w:val="en-US" w:eastAsia="zh-CN"/>
              </w:rPr>
              <w:t>“</w:t>
            </w:r>
            <w:r>
              <w:rPr>
                <w:rFonts w:hint="default" w:ascii="Times New Roman" w:hAnsi="Times New Roman" w:cs="Times New Roman"/>
                <w:lang w:val="en-US" w:eastAsia="zh-CN"/>
              </w:rPr>
              <w:t>24.其他食品制造149</w:t>
            </w:r>
            <w:r>
              <w:rPr>
                <w:rFonts w:hint="eastAsia" w:ascii="Times New Roman" w:hAnsi="Times New Roman" w:cs="Times New Roman"/>
                <w:lang w:val="en-US" w:eastAsia="zh-CN"/>
              </w:rPr>
              <w:t>”</w:t>
            </w:r>
          </w:p>
        </w:tc>
      </w:tr>
      <w:tr w14:paraId="6ED82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4DF740D5">
            <w:pPr>
              <w:adjustRightInd w:val="0"/>
              <w:snapToGrid w:val="0"/>
              <w:jc w:val="center"/>
            </w:pPr>
            <w:r>
              <w:t>建设性质</w:t>
            </w:r>
          </w:p>
        </w:tc>
        <w:tc>
          <w:tcPr>
            <w:tcW w:w="1637" w:type="dxa"/>
            <w:vAlign w:val="center"/>
          </w:tcPr>
          <w:p w14:paraId="6D4EB657">
            <w:pPr>
              <w:jc w:val="left"/>
            </w:pPr>
            <w:r>
              <w:rPr>
                <w:rFonts w:hint="eastAsia" w:ascii="宋体" w:hAnsi="宋体" w:cs="宋体"/>
              </w:rPr>
              <w:t>☑</w:t>
            </w:r>
            <w:r>
              <w:t>新建（迁建）</w:t>
            </w:r>
          </w:p>
          <w:p w14:paraId="33ABEBF8">
            <w:pPr>
              <w:jc w:val="left"/>
            </w:pPr>
            <w:r>
              <w:rPr>
                <w:rFonts w:hint="eastAsia" w:ascii="宋体" w:hAnsi="宋体" w:cs="宋体"/>
              </w:rPr>
              <w:t>□</w:t>
            </w:r>
            <w:r>
              <w:t>改建</w:t>
            </w:r>
          </w:p>
          <w:p w14:paraId="7DADDA22">
            <w:pPr>
              <w:jc w:val="left"/>
            </w:pPr>
            <w:r>
              <w:rPr>
                <w:rFonts w:hint="eastAsia" w:ascii="宋体" w:hAnsi="宋体" w:cs="宋体"/>
              </w:rPr>
              <w:t>□</w:t>
            </w:r>
            <w:r>
              <w:t>扩建</w:t>
            </w:r>
          </w:p>
          <w:p w14:paraId="6311DFE9">
            <w:pPr>
              <w:jc w:val="left"/>
            </w:pPr>
            <w:r>
              <w:rPr>
                <w:rFonts w:hint="eastAsia" w:ascii="宋体" w:hAnsi="宋体" w:cs="宋体"/>
              </w:rPr>
              <w:t>□</w:t>
            </w:r>
            <w:r>
              <w:t>技术改造</w:t>
            </w:r>
          </w:p>
        </w:tc>
        <w:tc>
          <w:tcPr>
            <w:tcW w:w="1879" w:type="dxa"/>
            <w:vAlign w:val="center"/>
          </w:tcPr>
          <w:p w14:paraId="7D8648AB">
            <w:pPr>
              <w:adjustRightInd w:val="0"/>
              <w:snapToGrid w:val="0"/>
              <w:jc w:val="center"/>
            </w:pPr>
            <w:r>
              <w:t>建设项目</w:t>
            </w:r>
          </w:p>
          <w:p w14:paraId="68460E02">
            <w:pPr>
              <w:adjustRightInd w:val="0"/>
              <w:snapToGrid w:val="0"/>
              <w:jc w:val="center"/>
            </w:pPr>
            <w:r>
              <w:t>申报情形</w:t>
            </w:r>
          </w:p>
        </w:tc>
        <w:tc>
          <w:tcPr>
            <w:tcW w:w="2972" w:type="dxa"/>
            <w:vAlign w:val="center"/>
          </w:tcPr>
          <w:p w14:paraId="32D56E6E">
            <w:pPr>
              <w:jc w:val="left"/>
            </w:pPr>
            <w:r>
              <w:rPr>
                <w:rFonts w:hint="eastAsia" w:ascii="宋体" w:hAnsi="宋体" w:cs="宋体"/>
              </w:rPr>
              <w:t>☑</w:t>
            </w:r>
            <w:r>
              <w:t>首次申报项目</w:t>
            </w:r>
          </w:p>
          <w:p w14:paraId="5BE0FA86">
            <w:pPr>
              <w:jc w:val="left"/>
            </w:pPr>
            <w:r>
              <w:rPr>
                <w:rFonts w:hint="eastAsia" w:ascii="宋体" w:hAnsi="宋体" w:cs="宋体"/>
              </w:rPr>
              <w:t>□</w:t>
            </w:r>
            <w:r>
              <w:t>不予批准后再次申报项目</w:t>
            </w:r>
          </w:p>
          <w:p w14:paraId="78A6FC70">
            <w:pPr>
              <w:jc w:val="left"/>
            </w:pPr>
            <w:r>
              <w:rPr>
                <w:rFonts w:hint="eastAsia" w:ascii="宋体" w:hAnsi="宋体" w:cs="宋体"/>
              </w:rPr>
              <w:t>□</w:t>
            </w:r>
            <w:r>
              <w:t>超五年重新审核项目</w:t>
            </w:r>
          </w:p>
          <w:p w14:paraId="49D5CD36">
            <w:pPr>
              <w:jc w:val="left"/>
            </w:pPr>
            <w:r>
              <w:rPr>
                <w:rFonts w:hint="eastAsia" w:ascii="宋体" w:hAnsi="宋体" w:cs="宋体"/>
              </w:rPr>
              <w:t>□</w:t>
            </w:r>
            <w:r>
              <w:t>重大变动重新报批项目</w:t>
            </w:r>
          </w:p>
        </w:tc>
      </w:tr>
      <w:tr w14:paraId="712B5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0469036C">
            <w:pPr>
              <w:adjustRightInd w:val="0"/>
              <w:snapToGrid w:val="0"/>
              <w:jc w:val="center"/>
            </w:pPr>
            <w:r>
              <w:t>项目审批（核准/</w:t>
            </w:r>
          </w:p>
          <w:p w14:paraId="0AA16598">
            <w:pPr>
              <w:adjustRightInd w:val="0"/>
              <w:snapToGrid w:val="0"/>
              <w:jc w:val="center"/>
            </w:pPr>
            <w:r>
              <w:t>备案）部门（选填）</w:t>
            </w:r>
          </w:p>
        </w:tc>
        <w:tc>
          <w:tcPr>
            <w:tcW w:w="1637" w:type="dxa"/>
            <w:vAlign w:val="center"/>
          </w:tcPr>
          <w:p w14:paraId="5A91BADF">
            <w:pPr>
              <w:adjustRightInd w:val="0"/>
              <w:snapToGrid w:val="0"/>
              <w:jc w:val="center"/>
            </w:pPr>
            <w:r>
              <w:rPr>
                <w:color w:val="000000"/>
              </w:rPr>
              <w:t>宿州市高新技术产业开发区经济与科技局</w:t>
            </w:r>
          </w:p>
        </w:tc>
        <w:tc>
          <w:tcPr>
            <w:tcW w:w="1879" w:type="dxa"/>
            <w:vAlign w:val="center"/>
          </w:tcPr>
          <w:p w14:paraId="714CB3E7">
            <w:pPr>
              <w:adjustRightInd w:val="0"/>
              <w:snapToGrid w:val="0"/>
              <w:jc w:val="center"/>
            </w:pPr>
            <w:r>
              <w:t>项目审批（核准/</w:t>
            </w:r>
          </w:p>
          <w:p w14:paraId="4C367076">
            <w:pPr>
              <w:adjustRightInd w:val="0"/>
              <w:snapToGrid w:val="0"/>
              <w:jc w:val="center"/>
            </w:pPr>
            <w:r>
              <w:t>备案）文号（选填）</w:t>
            </w:r>
          </w:p>
        </w:tc>
        <w:tc>
          <w:tcPr>
            <w:tcW w:w="2972" w:type="dxa"/>
            <w:vAlign w:val="center"/>
          </w:tcPr>
          <w:p w14:paraId="784E1262">
            <w:pPr>
              <w:adjustRightInd w:val="0"/>
              <w:snapToGrid w:val="0"/>
              <w:jc w:val="center"/>
            </w:pPr>
            <w:r>
              <w:rPr>
                <w:rFonts w:hint="eastAsia"/>
              </w:rPr>
              <w:t>/</w:t>
            </w:r>
          </w:p>
        </w:tc>
      </w:tr>
      <w:tr w14:paraId="53D43E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7CBEF952">
            <w:pPr>
              <w:adjustRightInd w:val="0"/>
              <w:snapToGrid w:val="0"/>
              <w:jc w:val="center"/>
            </w:pPr>
            <w:r>
              <w:t>总投资（万元）</w:t>
            </w:r>
          </w:p>
        </w:tc>
        <w:tc>
          <w:tcPr>
            <w:tcW w:w="1637" w:type="dxa"/>
            <w:vAlign w:val="center"/>
          </w:tcPr>
          <w:p w14:paraId="0DE41CC8">
            <w:pPr>
              <w:adjustRightInd w:val="0"/>
              <w:snapToGrid w:val="0"/>
              <w:jc w:val="center"/>
              <w:rPr>
                <w:rFonts w:hint="default" w:eastAsia="宋体"/>
                <w:lang w:val="en-US" w:eastAsia="zh-CN"/>
              </w:rPr>
            </w:pPr>
            <w:r>
              <w:rPr>
                <w:rFonts w:hint="eastAsia"/>
                <w:lang w:val="en-US" w:eastAsia="zh-CN"/>
              </w:rPr>
              <w:t>30100</w:t>
            </w:r>
          </w:p>
        </w:tc>
        <w:tc>
          <w:tcPr>
            <w:tcW w:w="1879" w:type="dxa"/>
            <w:tcMar>
              <w:top w:w="16" w:type="dxa"/>
              <w:left w:w="16" w:type="dxa"/>
              <w:right w:w="16" w:type="dxa"/>
            </w:tcMar>
            <w:vAlign w:val="center"/>
          </w:tcPr>
          <w:p w14:paraId="13A061FA">
            <w:pPr>
              <w:adjustRightInd w:val="0"/>
              <w:snapToGrid w:val="0"/>
              <w:jc w:val="center"/>
            </w:pPr>
            <w:r>
              <w:t>环保投资（万元）</w:t>
            </w:r>
          </w:p>
        </w:tc>
        <w:tc>
          <w:tcPr>
            <w:tcW w:w="2972" w:type="dxa"/>
            <w:vAlign w:val="center"/>
          </w:tcPr>
          <w:p w14:paraId="46EF6B6F">
            <w:pPr>
              <w:adjustRightInd w:val="0"/>
              <w:snapToGrid w:val="0"/>
              <w:jc w:val="center"/>
            </w:pPr>
            <w:r>
              <w:rPr>
                <w:rFonts w:hint="eastAsia"/>
              </w:rPr>
              <w:t>40</w:t>
            </w:r>
          </w:p>
        </w:tc>
      </w:tr>
      <w:tr w14:paraId="4D5EE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445E5025">
            <w:pPr>
              <w:adjustRightInd w:val="0"/>
              <w:snapToGrid w:val="0"/>
              <w:jc w:val="center"/>
            </w:pPr>
            <w:r>
              <w:t>环保投资占比（%）</w:t>
            </w:r>
          </w:p>
        </w:tc>
        <w:tc>
          <w:tcPr>
            <w:tcW w:w="1637" w:type="dxa"/>
            <w:vAlign w:val="center"/>
          </w:tcPr>
          <w:p w14:paraId="1124252E">
            <w:pPr>
              <w:adjustRightInd w:val="0"/>
              <w:snapToGrid w:val="0"/>
              <w:jc w:val="center"/>
              <w:rPr>
                <w:rFonts w:hint="default"/>
                <w:lang w:val="en-US"/>
              </w:rPr>
            </w:pPr>
            <w:r>
              <w:rPr>
                <w:rFonts w:hint="eastAsia"/>
                <w:lang w:val="en-US" w:eastAsia="zh-CN"/>
              </w:rPr>
              <w:t>0.11</w:t>
            </w:r>
          </w:p>
        </w:tc>
        <w:tc>
          <w:tcPr>
            <w:tcW w:w="1879" w:type="dxa"/>
            <w:tcMar>
              <w:top w:w="16" w:type="dxa"/>
              <w:left w:w="16" w:type="dxa"/>
              <w:right w:w="16" w:type="dxa"/>
            </w:tcMar>
            <w:vAlign w:val="center"/>
          </w:tcPr>
          <w:p w14:paraId="3AFB262C">
            <w:pPr>
              <w:adjustRightInd w:val="0"/>
              <w:snapToGrid w:val="0"/>
              <w:jc w:val="center"/>
            </w:pPr>
            <w:r>
              <w:t>施工工期</w:t>
            </w:r>
          </w:p>
        </w:tc>
        <w:tc>
          <w:tcPr>
            <w:tcW w:w="2972" w:type="dxa"/>
            <w:vAlign w:val="center"/>
          </w:tcPr>
          <w:p w14:paraId="69A48F9A">
            <w:pPr>
              <w:adjustRightInd w:val="0"/>
              <w:snapToGrid w:val="0"/>
              <w:jc w:val="center"/>
            </w:pPr>
            <w:r>
              <w:rPr>
                <w:rFonts w:hint="eastAsia"/>
                <w:lang w:val="en-US" w:eastAsia="zh-CN"/>
              </w:rPr>
              <w:t>3</w:t>
            </w:r>
            <w:r>
              <w:rPr>
                <w:rFonts w:hint="eastAsia"/>
              </w:rPr>
              <w:t>个月</w:t>
            </w:r>
          </w:p>
        </w:tc>
      </w:tr>
      <w:tr w14:paraId="7B2B1A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82" w:type="dxa"/>
            <w:tcMar>
              <w:top w:w="16" w:type="dxa"/>
              <w:left w:w="16" w:type="dxa"/>
              <w:right w:w="16" w:type="dxa"/>
            </w:tcMar>
            <w:vAlign w:val="center"/>
          </w:tcPr>
          <w:p w14:paraId="43679533">
            <w:pPr>
              <w:adjustRightInd w:val="0"/>
              <w:snapToGrid w:val="0"/>
              <w:jc w:val="center"/>
            </w:pPr>
            <w:r>
              <w:t>是否开工建设</w:t>
            </w:r>
          </w:p>
        </w:tc>
        <w:tc>
          <w:tcPr>
            <w:tcW w:w="1637" w:type="dxa"/>
            <w:vAlign w:val="center"/>
          </w:tcPr>
          <w:p w14:paraId="286D1A13">
            <w:pPr>
              <w:adjustRightInd w:val="0"/>
              <w:snapToGrid w:val="0"/>
            </w:pPr>
            <w:r>
              <w:rPr>
                <w:rFonts w:hint="eastAsia" w:ascii="宋体" w:hAnsi="宋体" w:cs="宋体"/>
              </w:rPr>
              <w:t>☑</w:t>
            </w:r>
            <w:r>
              <w:t>否</w:t>
            </w:r>
          </w:p>
          <w:p w14:paraId="2859E81F">
            <w:pPr>
              <w:adjustRightInd w:val="0"/>
              <w:snapToGrid w:val="0"/>
            </w:pPr>
            <w:r>
              <w:rPr>
                <w:rFonts w:hint="eastAsia" w:ascii="宋体" w:hAnsi="宋体" w:cs="宋体"/>
              </w:rPr>
              <w:t>□</w:t>
            </w:r>
            <w:r>
              <w:t>是：</w:t>
            </w:r>
            <w:r>
              <w:rPr>
                <w:u w:val="single"/>
              </w:rPr>
              <w:t xml:space="preserve">             </w:t>
            </w:r>
          </w:p>
        </w:tc>
        <w:tc>
          <w:tcPr>
            <w:tcW w:w="1879" w:type="dxa"/>
            <w:tcMar>
              <w:top w:w="16" w:type="dxa"/>
              <w:left w:w="16" w:type="dxa"/>
              <w:right w:w="16" w:type="dxa"/>
            </w:tcMar>
            <w:vAlign w:val="center"/>
          </w:tcPr>
          <w:p w14:paraId="0442D462">
            <w:pPr>
              <w:adjustRightInd w:val="0"/>
              <w:snapToGrid w:val="0"/>
              <w:jc w:val="center"/>
              <w:rPr>
                <w:spacing w:val="-6"/>
              </w:rPr>
            </w:pPr>
            <w:r>
              <w:rPr>
                <w:spacing w:val="-6"/>
              </w:rPr>
              <w:t>用地（用海）</w:t>
            </w:r>
          </w:p>
          <w:p w14:paraId="08647710">
            <w:pPr>
              <w:adjustRightInd w:val="0"/>
              <w:snapToGrid w:val="0"/>
              <w:jc w:val="center"/>
            </w:pPr>
            <w:r>
              <w:rPr>
                <w:spacing w:val="-6"/>
              </w:rPr>
              <w:t>面积（m</w:t>
            </w:r>
            <w:r>
              <w:rPr>
                <w:spacing w:val="-6"/>
                <w:vertAlign w:val="superscript"/>
              </w:rPr>
              <w:t>2</w:t>
            </w:r>
            <w:r>
              <w:rPr>
                <w:spacing w:val="-6"/>
              </w:rPr>
              <w:t>）</w:t>
            </w:r>
          </w:p>
        </w:tc>
        <w:tc>
          <w:tcPr>
            <w:tcW w:w="2972" w:type="dxa"/>
            <w:vAlign w:val="center"/>
          </w:tcPr>
          <w:p w14:paraId="155B20AD">
            <w:pPr>
              <w:adjustRightInd w:val="0"/>
              <w:snapToGrid w:val="0"/>
              <w:jc w:val="center"/>
              <w:rPr>
                <w:rFonts w:hint="default"/>
                <w:lang w:val="en-US"/>
              </w:rPr>
            </w:pPr>
            <w:r>
              <w:rPr>
                <w:rFonts w:hint="eastAsia"/>
                <w:lang w:val="en-US" w:eastAsia="zh-CN"/>
              </w:rPr>
              <w:t>17105.4</w:t>
            </w:r>
          </w:p>
        </w:tc>
      </w:tr>
      <w:tr w14:paraId="69621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2382" w:type="dxa"/>
            <w:vAlign w:val="center"/>
          </w:tcPr>
          <w:p w14:paraId="143E00D0">
            <w:pPr>
              <w:autoSpaceDE w:val="0"/>
              <w:autoSpaceDN w:val="0"/>
              <w:adjustRightInd w:val="0"/>
              <w:snapToGrid w:val="0"/>
              <w:jc w:val="center"/>
              <w:rPr>
                <w:kern w:val="0"/>
              </w:rPr>
            </w:pPr>
            <w:r>
              <w:rPr>
                <w:kern w:val="0"/>
              </w:rPr>
              <w:t>专项评价设置情况</w:t>
            </w:r>
          </w:p>
        </w:tc>
        <w:tc>
          <w:tcPr>
            <w:tcW w:w="6488" w:type="dxa"/>
            <w:gridSpan w:val="3"/>
            <w:vAlign w:val="center"/>
          </w:tcPr>
          <w:p w14:paraId="19156976">
            <w:pPr>
              <w:autoSpaceDE w:val="0"/>
              <w:autoSpaceDN w:val="0"/>
              <w:adjustRightInd w:val="0"/>
              <w:snapToGrid w:val="0"/>
              <w:jc w:val="center"/>
              <w:rPr>
                <w:kern w:val="0"/>
              </w:rPr>
            </w:pPr>
            <w:r>
              <w:rPr>
                <w:rFonts w:hint="eastAsia" w:cs="宋体"/>
                <w:lang w:bidi="ar"/>
              </w:rPr>
              <w:t>无</w:t>
            </w:r>
          </w:p>
        </w:tc>
      </w:tr>
      <w:tr w14:paraId="347D5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2382" w:type="dxa"/>
            <w:vAlign w:val="center"/>
          </w:tcPr>
          <w:p w14:paraId="2FAA2F2A">
            <w:pPr>
              <w:autoSpaceDE w:val="0"/>
              <w:autoSpaceDN w:val="0"/>
              <w:adjustRightInd w:val="0"/>
              <w:snapToGrid w:val="0"/>
              <w:jc w:val="center"/>
              <w:rPr>
                <w:kern w:val="0"/>
              </w:rPr>
            </w:pPr>
            <w:r>
              <w:t>规划情况</w:t>
            </w:r>
          </w:p>
        </w:tc>
        <w:tc>
          <w:tcPr>
            <w:tcW w:w="6488" w:type="dxa"/>
            <w:gridSpan w:val="3"/>
            <w:vAlign w:val="center"/>
          </w:tcPr>
          <w:p w14:paraId="789E7545">
            <w:pPr>
              <w:autoSpaceDE w:val="0"/>
              <w:autoSpaceDN w:val="0"/>
              <w:adjustRightInd w:val="0"/>
              <w:snapToGrid w:val="0"/>
              <w:spacing w:before="120" w:beforeLines="50" w:line="360" w:lineRule="auto"/>
            </w:pPr>
            <w:r>
              <w:rPr>
                <w:b/>
                <w:bCs/>
                <w:kern w:val="0"/>
              </w:rPr>
              <w:t>规划名称：</w:t>
            </w:r>
            <w:r>
              <w:rPr>
                <w:rFonts w:hint="eastAsia"/>
                <w:szCs w:val="32"/>
              </w:rPr>
              <w:t>《</w:t>
            </w:r>
            <w:r>
              <w:rPr>
                <w:kern w:val="0"/>
              </w:rPr>
              <w:t>宿州市高新技术产业开发区总体规划（2012-2030）</w:t>
            </w:r>
            <w:r>
              <w:rPr>
                <w:rFonts w:hint="eastAsia"/>
                <w:szCs w:val="32"/>
              </w:rPr>
              <w:t>》</w:t>
            </w:r>
          </w:p>
          <w:p w14:paraId="33855F76">
            <w:pPr>
              <w:autoSpaceDE w:val="0"/>
              <w:autoSpaceDN w:val="0"/>
              <w:adjustRightInd w:val="0"/>
              <w:snapToGrid w:val="0"/>
              <w:spacing w:line="360" w:lineRule="auto"/>
              <w:jc w:val="left"/>
            </w:pPr>
            <w:r>
              <w:rPr>
                <w:b/>
                <w:bCs/>
                <w:kern w:val="0"/>
              </w:rPr>
              <w:t>审批机关：</w:t>
            </w:r>
            <w:r>
              <w:rPr>
                <w:rFonts w:hint="eastAsia"/>
                <w:kern w:val="0"/>
              </w:rPr>
              <w:t>安徽省</w:t>
            </w:r>
            <w:r>
              <w:rPr>
                <w:rFonts w:hint="eastAsia"/>
              </w:rPr>
              <w:t>人民政府</w:t>
            </w:r>
          </w:p>
          <w:p w14:paraId="418FEFB0">
            <w:pPr>
              <w:autoSpaceDE w:val="0"/>
              <w:autoSpaceDN w:val="0"/>
              <w:adjustRightInd w:val="0"/>
              <w:snapToGrid w:val="0"/>
              <w:spacing w:line="360" w:lineRule="auto"/>
              <w:jc w:val="left"/>
              <w:rPr>
                <w:rFonts w:cs="宋体"/>
                <w:lang w:bidi="ar"/>
              </w:rPr>
            </w:pPr>
            <w:r>
              <w:rPr>
                <w:b/>
                <w:bCs/>
                <w:kern w:val="0"/>
              </w:rPr>
              <w:t>审批文件名称和文号：</w:t>
            </w:r>
            <w:r>
              <w:rPr>
                <w:rFonts w:hint="eastAsia" w:ascii="宋体" w:hAnsi="宋体" w:cs="宋体"/>
                <w:kern w:val="0"/>
              </w:rPr>
              <w:t>《</w:t>
            </w:r>
            <w:r>
              <w:rPr>
                <w:kern w:val="0"/>
              </w:rPr>
              <w:t>安徽省人民政府关于筹建安徽宿州高新技术产业开发区的批复</w:t>
            </w:r>
            <w:r>
              <w:rPr>
                <w:rFonts w:hint="eastAsia"/>
                <w:kern w:val="0"/>
              </w:rPr>
              <w:t>》，</w:t>
            </w:r>
            <w:r>
              <w:rPr>
                <w:kern w:val="0"/>
              </w:rPr>
              <w:t>皖政秘</w:t>
            </w:r>
            <w:r>
              <w:rPr>
                <w:rFonts w:hint="eastAsia"/>
                <w:kern w:val="0"/>
              </w:rPr>
              <w:t>【2013】</w:t>
            </w:r>
            <w:r>
              <w:rPr>
                <w:kern w:val="0"/>
              </w:rPr>
              <w:t>48号</w:t>
            </w:r>
          </w:p>
        </w:tc>
      </w:tr>
      <w:tr w14:paraId="40F0B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82" w:type="dxa"/>
            <w:vAlign w:val="center"/>
          </w:tcPr>
          <w:p w14:paraId="29888E5C">
            <w:pPr>
              <w:adjustRightInd w:val="0"/>
              <w:snapToGrid w:val="0"/>
              <w:jc w:val="center"/>
            </w:pPr>
            <w:r>
              <w:t>规划环境影响</w:t>
            </w:r>
          </w:p>
          <w:p w14:paraId="5661F30E">
            <w:pPr>
              <w:adjustRightInd w:val="0"/>
              <w:snapToGrid w:val="0"/>
              <w:jc w:val="center"/>
              <w:rPr>
                <w:kern w:val="0"/>
              </w:rPr>
            </w:pPr>
            <w:r>
              <w:t>评价情况</w:t>
            </w:r>
          </w:p>
        </w:tc>
        <w:tc>
          <w:tcPr>
            <w:tcW w:w="6488" w:type="dxa"/>
            <w:gridSpan w:val="3"/>
            <w:vAlign w:val="center"/>
          </w:tcPr>
          <w:p w14:paraId="30DBB683">
            <w:pPr>
              <w:widowControl/>
              <w:adjustRightInd w:val="0"/>
              <w:snapToGrid w:val="0"/>
              <w:spacing w:before="120" w:beforeLines="50" w:line="360" w:lineRule="auto"/>
              <w:jc w:val="left"/>
            </w:pPr>
            <w:r>
              <w:rPr>
                <w:rFonts w:hint="eastAsia"/>
                <w:b/>
                <w:bCs/>
              </w:rPr>
              <w:t>规划环境影响评价文件名称：</w:t>
            </w:r>
            <w:r>
              <w:rPr>
                <w:rFonts w:hint="eastAsia" w:ascii="宋体" w:hAnsi="宋体" w:cs="宋体"/>
                <w:kern w:val="0"/>
                <w:lang w:bidi="ar"/>
              </w:rPr>
              <w:t>《</w:t>
            </w:r>
            <w:r>
              <w:rPr>
                <w:color w:val="000000"/>
                <w:kern w:val="0"/>
              </w:rPr>
              <w:t>宿州高新技术产业开发区总体规划环境影响报告书</w:t>
            </w:r>
            <w:r>
              <w:rPr>
                <w:rFonts w:hint="eastAsia" w:ascii="宋体" w:hAnsi="宋体" w:cs="宋体"/>
                <w:kern w:val="0"/>
                <w:lang w:bidi="ar"/>
              </w:rPr>
              <w:t>》</w:t>
            </w:r>
          </w:p>
          <w:p w14:paraId="7FD7440E">
            <w:pPr>
              <w:widowControl/>
              <w:spacing w:line="360" w:lineRule="auto"/>
              <w:jc w:val="left"/>
            </w:pPr>
            <w:r>
              <w:rPr>
                <w:rFonts w:hint="eastAsia" w:ascii="宋体" w:hAnsi="宋体" w:cs="宋体"/>
                <w:b/>
                <w:bCs/>
                <w:kern w:val="0"/>
                <w:lang w:bidi="ar"/>
              </w:rPr>
              <w:t>审查机关：</w:t>
            </w:r>
            <w:r>
              <w:rPr>
                <w:color w:val="000000"/>
                <w:kern w:val="0"/>
              </w:rPr>
              <w:t>安徽省环境保护厅</w:t>
            </w:r>
          </w:p>
          <w:p w14:paraId="7F507FE9">
            <w:pPr>
              <w:widowControl/>
              <w:spacing w:line="360" w:lineRule="auto"/>
              <w:jc w:val="left"/>
              <w:rPr>
                <w:rFonts w:cs="宋体"/>
                <w:lang w:bidi="ar"/>
              </w:rPr>
            </w:pPr>
            <w:r>
              <w:rPr>
                <w:rFonts w:hint="eastAsia" w:ascii="宋体" w:hAnsi="宋体" w:cs="宋体"/>
                <w:b/>
                <w:bCs/>
                <w:kern w:val="0"/>
                <w:lang w:bidi="ar"/>
              </w:rPr>
              <w:t>审查文件及文号：</w:t>
            </w:r>
            <w:r>
              <w:rPr>
                <w:rFonts w:hint="eastAsia" w:ascii="宋体" w:hAnsi="宋体" w:cs="宋体"/>
                <w:kern w:val="0"/>
                <w:lang w:bidi="ar"/>
              </w:rPr>
              <w:t>《</w:t>
            </w:r>
            <w:r>
              <w:rPr>
                <w:color w:val="000000"/>
                <w:kern w:val="0"/>
              </w:rPr>
              <w:t>关于宿州高新技术产业开发区总体规划环境影响报告书审查意见的函</w:t>
            </w:r>
            <w:r>
              <w:rPr>
                <w:rFonts w:hint="eastAsia" w:ascii="宋体" w:hAnsi="宋体" w:cs="宋体"/>
                <w:kern w:val="0"/>
                <w:lang w:bidi="ar"/>
              </w:rPr>
              <w:t>》，</w:t>
            </w:r>
            <w:r>
              <w:rPr>
                <w:color w:val="000000"/>
                <w:kern w:val="0"/>
              </w:rPr>
              <w:t>环评函</w:t>
            </w:r>
            <w:r>
              <w:rPr>
                <w:rFonts w:hint="eastAsia"/>
                <w:color w:val="000000"/>
                <w:kern w:val="0"/>
              </w:rPr>
              <w:t>【2012】</w:t>
            </w:r>
            <w:r>
              <w:rPr>
                <w:color w:val="000000"/>
                <w:kern w:val="0"/>
              </w:rPr>
              <w:t>1220号</w:t>
            </w:r>
          </w:p>
        </w:tc>
      </w:tr>
      <w:tr w14:paraId="73F31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2382" w:type="dxa"/>
            <w:vAlign w:val="center"/>
          </w:tcPr>
          <w:p w14:paraId="7B6077C0">
            <w:pPr>
              <w:autoSpaceDE w:val="0"/>
              <w:autoSpaceDN w:val="0"/>
              <w:adjustRightInd w:val="0"/>
              <w:snapToGrid w:val="0"/>
              <w:jc w:val="center"/>
              <w:rPr>
                <w:kern w:val="0"/>
              </w:rPr>
            </w:pPr>
            <w:r>
              <w:rPr>
                <w:kern w:val="0"/>
              </w:rPr>
              <w:t>规划及规划环境</w:t>
            </w:r>
          </w:p>
          <w:p w14:paraId="41B3BDAC">
            <w:pPr>
              <w:autoSpaceDE w:val="0"/>
              <w:autoSpaceDN w:val="0"/>
              <w:adjustRightInd w:val="0"/>
              <w:snapToGrid w:val="0"/>
              <w:jc w:val="center"/>
              <w:rPr>
                <w:kern w:val="0"/>
              </w:rPr>
            </w:pPr>
            <w:r>
              <w:rPr>
                <w:kern w:val="0"/>
              </w:rPr>
              <w:t>影响评价符合性分析</w:t>
            </w:r>
          </w:p>
        </w:tc>
        <w:tc>
          <w:tcPr>
            <w:tcW w:w="6488" w:type="dxa"/>
            <w:gridSpan w:val="3"/>
            <w:vAlign w:val="center"/>
          </w:tcPr>
          <w:p w14:paraId="4DF5AE27">
            <w:pPr>
              <w:autoSpaceDE w:val="0"/>
              <w:autoSpaceDN w:val="0"/>
              <w:adjustRightInd w:val="0"/>
              <w:snapToGrid w:val="0"/>
              <w:spacing w:before="120" w:beforeLines="50" w:line="360" w:lineRule="auto"/>
              <w:rPr>
                <w:kern w:val="0"/>
              </w:rPr>
            </w:pPr>
            <w:r>
              <w:rPr>
                <w:b/>
                <w:bCs/>
                <w:kern w:val="0"/>
              </w:rPr>
              <w:t>1、</w:t>
            </w:r>
            <w:r>
              <w:rPr>
                <w:b/>
                <w:bCs/>
                <w:color w:val="000000"/>
                <w:kern w:val="0"/>
              </w:rPr>
              <w:t>宿州高新技术产业开发区规划范围、用地性质及主导产业</w:t>
            </w:r>
          </w:p>
          <w:p w14:paraId="3C62B575">
            <w:pPr>
              <w:autoSpaceDE w:val="0"/>
              <w:autoSpaceDN w:val="0"/>
              <w:adjustRightInd w:val="0"/>
              <w:snapToGrid w:val="0"/>
              <w:spacing w:line="360" w:lineRule="auto"/>
              <w:ind w:firstLine="480" w:firstLineChars="200"/>
              <w:rPr>
                <w:color w:val="000000"/>
                <w:kern w:val="0"/>
              </w:rPr>
            </w:pPr>
            <w:r>
              <w:rPr>
                <w:color w:val="000000"/>
                <w:kern w:val="0"/>
              </w:rPr>
              <w:t>根据《宿州高新技术产业开发区总体规划》（2012年</w:t>
            </w:r>
            <w:r>
              <w:rPr>
                <w:rFonts w:hint="eastAsia"/>
                <w:color w:val="000000"/>
                <w:kern w:val="0"/>
              </w:rPr>
              <w:t>~</w:t>
            </w:r>
            <w:r>
              <w:rPr>
                <w:color w:val="000000"/>
                <w:kern w:val="0"/>
              </w:rPr>
              <w:t>2030年），宿州市高新技术产业开发区位于宿州市汴河新区北部，规划面积7.4平方公里，四至范围为东至原206国道，南至拱辰路及唐河路，西至京台高速，北至泗许高速。宿州市高新技术产业开发区的规划区分为信息产业园、动漫产业园、新能源新材科产业园、生命科学园和一个商务中心区。规划主导产业为电子信息技术、新能源新材料、生物医药、创意文化和高新技术服务业。</w:t>
            </w:r>
          </w:p>
          <w:p w14:paraId="3FEC8A9C">
            <w:pPr>
              <w:autoSpaceDE w:val="0"/>
              <w:autoSpaceDN w:val="0"/>
              <w:adjustRightInd w:val="0"/>
              <w:snapToGrid w:val="0"/>
              <w:spacing w:line="360" w:lineRule="auto"/>
              <w:ind w:firstLine="480" w:firstLineChars="200"/>
              <w:rPr>
                <w:color w:val="000000"/>
                <w:kern w:val="0"/>
              </w:rPr>
            </w:pPr>
            <w:r>
              <w:rPr>
                <w:color w:val="000000"/>
                <w:kern w:val="0"/>
              </w:rPr>
              <w:t>①信息产业园</w:t>
            </w:r>
          </w:p>
          <w:p w14:paraId="16F2FDD8">
            <w:pPr>
              <w:autoSpaceDE w:val="0"/>
              <w:autoSpaceDN w:val="0"/>
              <w:adjustRightInd w:val="0"/>
              <w:snapToGrid w:val="0"/>
              <w:spacing w:line="360" w:lineRule="auto"/>
              <w:ind w:firstLine="480" w:firstLineChars="200"/>
              <w:rPr>
                <w:color w:val="000000"/>
                <w:kern w:val="0"/>
              </w:rPr>
            </w:pPr>
            <w:r>
              <w:rPr>
                <w:color w:val="000000"/>
                <w:kern w:val="0"/>
              </w:rPr>
              <w:t>以云计算技术为主导的信息产业园区。</w:t>
            </w:r>
          </w:p>
          <w:p w14:paraId="639F6982">
            <w:pPr>
              <w:autoSpaceDE w:val="0"/>
              <w:autoSpaceDN w:val="0"/>
              <w:adjustRightInd w:val="0"/>
              <w:snapToGrid w:val="0"/>
              <w:spacing w:line="360" w:lineRule="auto"/>
              <w:ind w:firstLine="480" w:firstLineChars="200"/>
              <w:rPr>
                <w:color w:val="000000"/>
                <w:kern w:val="0"/>
              </w:rPr>
            </w:pPr>
            <w:r>
              <w:rPr>
                <w:color w:val="000000"/>
                <w:kern w:val="0"/>
              </w:rPr>
              <w:t>②动漫产业园</w:t>
            </w:r>
          </w:p>
          <w:p w14:paraId="1AE52871">
            <w:pPr>
              <w:autoSpaceDE w:val="0"/>
              <w:autoSpaceDN w:val="0"/>
              <w:adjustRightInd w:val="0"/>
              <w:snapToGrid w:val="0"/>
              <w:spacing w:line="360" w:lineRule="auto"/>
              <w:ind w:firstLine="480" w:firstLineChars="200"/>
              <w:rPr>
                <w:color w:val="000000"/>
                <w:kern w:val="0"/>
              </w:rPr>
            </w:pPr>
            <w:r>
              <w:rPr>
                <w:color w:val="000000"/>
                <w:kern w:val="0"/>
              </w:rPr>
              <w:t>是以动漫产品实景演绎为特色，以创业产业平台为支撑，融游乐、休闲、创意产业、生态等功能于体的动漫产业园区。</w:t>
            </w:r>
          </w:p>
          <w:p w14:paraId="3807965F">
            <w:pPr>
              <w:autoSpaceDE w:val="0"/>
              <w:autoSpaceDN w:val="0"/>
              <w:adjustRightInd w:val="0"/>
              <w:snapToGrid w:val="0"/>
              <w:spacing w:line="360" w:lineRule="auto"/>
              <w:ind w:firstLine="480" w:firstLineChars="200"/>
              <w:rPr>
                <w:color w:val="000000"/>
                <w:kern w:val="0"/>
              </w:rPr>
            </w:pPr>
            <w:r>
              <w:rPr>
                <w:color w:val="000000"/>
                <w:kern w:val="0"/>
              </w:rPr>
              <w:t>③新能源新材料产业园</w:t>
            </w:r>
          </w:p>
          <w:p w14:paraId="186644EA">
            <w:pPr>
              <w:autoSpaceDE w:val="0"/>
              <w:autoSpaceDN w:val="0"/>
              <w:adjustRightInd w:val="0"/>
              <w:snapToGrid w:val="0"/>
              <w:spacing w:line="360" w:lineRule="auto"/>
              <w:ind w:firstLine="480" w:firstLineChars="200"/>
              <w:rPr>
                <w:color w:val="000000"/>
                <w:kern w:val="0"/>
              </w:rPr>
            </w:pPr>
            <w:r>
              <w:rPr>
                <w:color w:val="000000"/>
                <w:kern w:val="0"/>
              </w:rPr>
              <w:t>以新能源新材料产业为主导，技术高度密集、研究与开发投入高、产品附加值高的产业园区。</w:t>
            </w:r>
          </w:p>
          <w:p w14:paraId="7A13B3FC">
            <w:pPr>
              <w:autoSpaceDE w:val="0"/>
              <w:autoSpaceDN w:val="0"/>
              <w:adjustRightInd w:val="0"/>
              <w:snapToGrid w:val="0"/>
              <w:spacing w:line="360" w:lineRule="auto"/>
              <w:ind w:firstLine="480" w:firstLineChars="200"/>
              <w:rPr>
                <w:color w:val="000000"/>
                <w:kern w:val="0"/>
              </w:rPr>
            </w:pPr>
            <w:r>
              <w:rPr>
                <w:color w:val="000000"/>
                <w:kern w:val="0"/>
              </w:rPr>
              <w:t>④生命科学园</w:t>
            </w:r>
          </w:p>
          <w:p w14:paraId="6D2FC616">
            <w:pPr>
              <w:autoSpaceDE w:val="0"/>
              <w:autoSpaceDN w:val="0"/>
              <w:adjustRightInd w:val="0"/>
              <w:snapToGrid w:val="0"/>
              <w:spacing w:line="360" w:lineRule="auto"/>
              <w:ind w:firstLine="480" w:firstLineChars="200"/>
              <w:rPr>
                <w:color w:val="000000"/>
                <w:kern w:val="0"/>
              </w:rPr>
            </w:pPr>
            <w:r>
              <w:rPr>
                <w:color w:val="000000"/>
                <w:kern w:val="0"/>
              </w:rPr>
              <w:t>以生物物种研发，生物农业技术孵化为核心项目，并将引进国内外有影响的优质生物企业和科研单位入驻园区，吸引金融资本和产业资本，推动农业生命科学升级换代。</w:t>
            </w:r>
          </w:p>
          <w:p w14:paraId="3316EB97">
            <w:pPr>
              <w:autoSpaceDE w:val="0"/>
              <w:autoSpaceDN w:val="0"/>
              <w:adjustRightInd w:val="0"/>
              <w:snapToGrid w:val="0"/>
              <w:spacing w:line="360" w:lineRule="auto"/>
              <w:ind w:firstLine="480" w:firstLineChars="200"/>
              <w:rPr>
                <w:color w:val="000000"/>
                <w:kern w:val="0"/>
              </w:rPr>
            </w:pPr>
            <w:r>
              <w:rPr>
                <w:color w:val="000000"/>
                <w:kern w:val="0"/>
              </w:rPr>
              <w:t>⑤商务中心区</w:t>
            </w:r>
          </w:p>
          <w:p w14:paraId="5744BCF9">
            <w:pPr>
              <w:autoSpaceDE w:val="0"/>
              <w:autoSpaceDN w:val="0"/>
              <w:adjustRightInd w:val="0"/>
              <w:snapToGrid w:val="0"/>
              <w:spacing w:line="360" w:lineRule="auto"/>
              <w:ind w:firstLine="480" w:firstLineChars="200"/>
              <w:rPr>
                <w:color w:val="000000"/>
                <w:kern w:val="0"/>
              </w:rPr>
            </w:pPr>
            <w:r>
              <w:rPr>
                <w:color w:val="000000"/>
                <w:kern w:val="0"/>
              </w:rPr>
              <w:t>以交通集散、商业金融、商务办公、餐饮休闲、企业总部等综合商业设施及居住为主，提开高新区整体形象。</w:t>
            </w:r>
          </w:p>
          <w:p w14:paraId="4B8AC115">
            <w:pPr>
              <w:autoSpaceDE w:val="0"/>
              <w:autoSpaceDN w:val="0"/>
              <w:adjustRightInd w:val="0"/>
              <w:snapToGrid w:val="0"/>
              <w:spacing w:line="360" w:lineRule="auto"/>
              <w:ind w:firstLine="480" w:firstLineChars="200"/>
              <w:rPr>
                <w:color w:val="000000"/>
                <w:kern w:val="0"/>
              </w:rPr>
            </w:pPr>
            <w:r>
              <w:rPr>
                <w:color w:val="000000"/>
                <w:kern w:val="0"/>
              </w:rPr>
              <w:t>本项目位于</w:t>
            </w:r>
            <w:r>
              <w:rPr>
                <w:rFonts w:hint="eastAsia"/>
                <w:color w:val="000000"/>
                <w:kern w:val="0"/>
              </w:rPr>
              <w:t>安徽省宿州市高新技术产业开发区双创产业园4#楼</w:t>
            </w:r>
            <w:r>
              <w:rPr>
                <w:color w:val="000000"/>
                <w:kern w:val="0"/>
              </w:rPr>
              <w:t>，占地为工业用地，用地性质符合要求；项目为</w:t>
            </w:r>
            <w:r>
              <w:rPr>
                <w:rFonts w:hint="eastAsia"/>
                <w:color w:val="000000"/>
                <w:kern w:val="0"/>
                <w:lang w:val="en-US" w:eastAsia="zh-CN"/>
              </w:rPr>
              <w:t>营养食品制造</w:t>
            </w:r>
            <w:r>
              <w:rPr>
                <w:color w:val="000000"/>
                <w:kern w:val="0"/>
              </w:rPr>
              <w:t>，</w:t>
            </w:r>
            <w:r>
              <w:rPr>
                <w:rFonts w:hint="eastAsia"/>
                <w:color w:val="000000"/>
                <w:kern w:val="0"/>
              </w:rPr>
              <w:t>位于</w:t>
            </w:r>
            <w:r>
              <w:rPr>
                <w:rFonts w:hint="eastAsia"/>
                <w:color w:val="000000"/>
                <w:kern w:val="0"/>
                <w:lang w:val="en-US" w:eastAsia="zh-CN"/>
              </w:rPr>
              <w:t>双创产业园内</w:t>
            </w:r>
            <w:r>
              <w:rPr>
                <w:rFonts w:hint="eastAsia"/>
                <w:color w:val="000000"/>
                <w:kern w:val="0"/>
              </w:rPr>
              <w:t>，不属于宿州市高新技术产业开发区产业准入要求中“限制发展项目”和“禁止发展项目，属于允许入园项目，符合园区总体发展规划</w:t>
            </w:r>
            <w:r>
              <w:rPr>
                <w:color w:val="000000"/>
                <w:kern w:val="0"/>
              </w:rPr>
              <w:t>。</w:t>
            </w:r>
          </w:p>
          <w:p w14:paraId="22A12EFF">
            <w:pPr>
              <w:autoSpaceDE w:val="0"/>
              <w:autoSpaceDN w:val="0"/>
              <w:adjustRightInd w:val="0"/>
              <w:snapToGrid w:val="0"/>
              <w:spacing w:line="360" w:lineRule="auto"/>
              <w:rPr>
                <w:b/>
                <w:bCs/>
                <w:kern w:val="0"/>
              </w:rPr>
            </w:pPr>
            <w:r>
              <w:rPr>
                <w:b/>
                <w:bCs/>
                <w:kern w:val="0"/>
              </w:rPr>
              <w:t>2、</w:t>
            </w:r>
            <w:r>
              <w:rPr>
                <w:b/>
                <w:bCs/>
                <w:color w:val="000000"/>
                <w:kern w:val="0"/>
              </w:rPr>
              <w:t>与高新区规划环评结论及审查意见的符合性</w:t>
            </w:r>
          </w:p>
          <w:p w14:paraId="0B004659">
            <w:pPr>
              <w:autoSpaceDE w:val="0"/>
              <w:autoSpaceDN w:val="0"/>
              <w:adjustRightInd w:val="0"/>
              <w:snapToGrid w:val="0"/>
              <w:spacing w:line="360" w:lineRule="auto"/>
              <w:ind w:firstLine="480" w:firstLineChars="200"/>
              <w:rPr>
                <w:color w:val="000000"/>
              </w:rPr>
            </w:pPr>
            <w:r>
              <w:rPr>
                <w:color w:val="000000"/>
                <w:kern w:val="0"/>
              </w:rPr>
              <w:t>根据《宿州高新技术产业开发区总体规划环境影响报告书》及《关于宿州高新技术产业开发区总体规划环境影响报告书审查意见的函》，环评函</w:t>
            </w:r>
            <w:r>
              <w:rPr>
                <w:rFonts w:hint="eastAsia"/>
                <w:color w:val="000000"/>
                <w:kern w:val="0"/>
              </w:rPr>
              <w:t>【2012】</w:t>
            </w:r>
            <w:r>
              <w:rPr>
                <w:color w:val="000000"/>
                <w:kern w:val="0"/>
              </w:rPr>
              <w:t>1220号，本项目与规划环评及审查意见的符合性分析见下表所示。</w:t>
            </w:r>
          </w:p>
          <w:p w14:paraId="1339451D">
            <w:pPr>
              <w:jc w:val="center"/>
              <w:rPr>
                <w:color w:val="000000"/>
              </w:rPr>
            </w:pPr>
            <w:r>
              <w:rPr>
                <w:b/>
                <w:bCs/>
                <w:color w:val="000000"/>
                <w:lang w:bidi="ar"/>
              </w:rPr>
              <w:t>表1</w:t>
            </w:r>
            <w:r>
              <w:rPr>
                <w:rFonts w:hint="eastAsia"/>
                <w:b/>
                <w:bCs/>
                <w:color w:val="000000"/>
                <w:lang w:bidi="ar"/>
              </w:rPr>
              <w:t>.</w:t>
            </w:r>
            <w:r>
              <w:rPr>
                <w:b/>
                <w:bCs/>
                <w:color w:val="000000"/>
                <w:lang w:bidi="ar"/>
              </w:rPr>
              <w:t xml:space="preserve">1 </w:t>
            </w:r>
            <w:r>
              <w:rPr>
                <w:rFonts w:hint="eastAsia"/>
                <w:b/>
                <w:bCs/>
                <w:color w:val="000000"/>
                <w:lang w:bidi="ar"/>
              </w:rPr>
              <w:t xml:space="preserve"> </w:t>
            </w:r>
            <w:r>
              <w:rPr>
                <w:b/>
                <w:bCs/>
                <w:color w:val="000000"/>
                <w:lang w:bidi="ar"/>
              </w:rPr>
              <w:t>与高新区规划环评审查意见相符性分析一览表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3105"/>
              <w:gridCol w:w="1935"/>
              <w:gridCol w:w="794"/>
            </w:tblGrid>
            <w:tr w14:paraId="3E93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dxa"/>
                  <w:vAlign w:val="center"/>
                </w:tcPr>
                <w:p w14:paraId="02D38BA3">
                  <w:pPr>
                    <w:autoSpaceDE w:val="0"/>
                    <w:autoSpaceDN w:val="0"/>
                    <w:adjustRightInd w:val="0"/>
                    <w:snapToGrid w:val="0"/>
                    <w:jc w:val="center"/>
                    <w:rPr>
                      <w:b/>
                      <w:bCs/>
                      <w:kern w:val="0"/>
                      <w:sz w:val="21"/>
                      <w:szCs w:val="21"/>
                    </w:rPr>
                  </w:pPr>
                  <w:r>
                    <w:rPr>
                      <w:b/>
                      <w:bCs/>
                      <w:kern w:val="0"/>
                      <w:sz w:val="21"/>
                      <w:szCs w:val="21"/>
                    </w:rPr>
                    <w:t>序号</w:t>
                  </w:r>
                </w:p>
              </w:tc>
              <w:tc>
                <w:tcPr>
                  <w:tcW w:w="3105" w:type="dxa"/>
                  <w:vAlign w:val="center"/>
                </w:tcPr>
                <w:p w14:paraId="314223D7">
                  <w:pPr>
                    <w:autoSpaceDE w:val="0"/>
                    <w:autoSpaceDN w:val="0"/>
                    <w:adjustRightInd w:val="0"/>
                    <w:snapToGrid w:val="0"/>
                    <w:jc w:val="center"/>
                    <w:rPr>
                      <w:b/>
                      <w:bCs/>
                      <w:kern w:val="0"/>
                      <w:sz w:val="21"/>
                      <w:szCs w:val="21"/>
                    </w:rPr>
                  </w:pPr>
                  <w:r>
                    <w:rPr>
                      <w:b/>
                      <w:bCs/>
                      <w:kern w:val="0"/>
                      <w:sz w:val="21"/>
                      <w:szCs w:val="21"/>
                    </w:rPr>
                    <w:t>审查意见</w:t>
                  </w:r>
                </w:p>
              </w:tc>
              <w:tc>
                <w:tcPr>
                  <w:tcW w:w="1935" w:type="dxa"/>
                  <w:vAlign w:val="center"/>
                </w:tcPr>
                <w:p w14:paraId="56DB77D8">
                  <w:pPr>
                    <w:autoSpaceDE w:val="0"/>
                    <w:autoSpaceDN w:val="0"/>
                    <w:adjustRightInd w:val="0"/>
                    <w:snapToGrid w:val="0"/>
                    <w:jc w:val="center"/>
                    <w:rPr>
                      <w:b/>
                      <w:bCs/>
                      <w:kern w:val="0"/>
                      <w:sz w:val="21"/>
                      <w:szCs w:val="21"/>
                    </w:rPr>
                  </w:pPr>
                  <w:r>
                    <w:rPr>
                      <w:b/>
                      <w:bCs/>
                      <w:kern w:val="0"/>
                      <w:sz w:val="21"/>
                      <w:szCs w:val="21"/>
                    </w:rPr>
                    <w:t>本项目情况</w:t>
                  </w:r>
                </w:p>
              </w:tc>
              <w:tc>
                <w:tcPr>
                  <w:tcW w:w="794" w:type="dxa"/>
                  <w:vAlign w:val="center"/>
                </w:tcPr>
                <w:p w14:paraId="1F3309CA">
                  <w:pPr>
                    <w:autoSpaceDE w:val="0"/>
                    <w:autoSpaceDN w:val="0"/>
                    <w:adjustRightInd w:val="0"/>
                    <w:snapToGrid w:val="0"/>
                    <w:jc w:val="center"/>
                    <w:rPr>
                      <w:b/>
                      <w:bCs/>
                      <w:kern w:val="0"/>
                      <w:sz w:val="21"/>
                      <w:szCs w:val="21"/>
                    </w:rPr>
                  </w:pPr>
                  <w:r>
                    <w:rPr>
                      <w:b/>
                      <w:bCs/>
                      <w:kern w:val="0"/>
                      <w:sz w:val="21"/>
                      <w:szCs w:val="21"/>
                    </w:rPr>
                    <w:t>符合性</w:t>
                  </w:r>
                </w:p>
              </w:tc>
            </w:tr>
            <w:tr w14:paraId="1AD0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dxa"/>
                  <w:vAlign w:val="center"/>
                </w:tcPr>
                <w:p w14:paraId="71C2BC9F">
                  <w:pPr>
                    <w:autoSpaceDE w:val="0"/>
                    <w:autoSpaceDN w:val="0"/>
                    <w:adjustRightInd w:val="0"/>
                    <w:snapToGrid w:val="0"/>
                    <w:jc w:val="center"/>
                    <w:rPr>
                      <w:kern w:val="0"/>
                      <w:sz w:val="21"/>
                      <w:szCs w:val="21"/>
                    </w:rPr>
                  </w:pPr>
                  <w:r>
                    <w:rPr>
                      <w:kern w:val="0"/>
                      <w:sz w:val="21"/>
                      <w:szCs w:val="21"/>
                    </w:rPr>
                    <w:t>1</w:t>
                  </w:r>
                </w:p>
              </w:tc>
              <w:tc>
                <w:tcPr>
                  <w:tcW w:w="3105" w:type="dxa"/>
                  <w:vAlign w:val="center"/>
                </w:tcPr>
                <w:p w14:paraId="5FA40953">
                  <w:pPr>
                    <w:autoSpaceDE w:val="0"/>
                    <w:autoSpaceDN w:val="0"/>
                    <w:adjustRightInd w:val="0"/>
                    <w:snapToGrid w:val="0"/>
                    <w:jc w:val="center"/>
                    <w:rPr>
                      <w:kern w:val="0"/>
                      <w:sz w:val="21"/>
                      <w:szCs w:val="21"/>
                    </w:rPr>
                  </w:pPr>
                  <w:r>
                    <w:rPr>
                      <w:kern w:val="0"/>
                      <w:sz w:val="21"/>
                      <w:szCs w:val="21"/>
                    </w:rPr>
                    <w:t>进一步优化高新区的空间布局，强化节约用地管理。根据开发区各产业特点，充分考虑居住用地区域环境要求，进一步优化调整空间布局。各功能之间设置一定距离的绿化隔离带；需要设置卫生防护距离的企业，应按照规定设置防护距离。严格控制开发区周边用地性质，企业布局充分考虑对环境敏感点的保护。做好高新区建设中防至水土流失的各项工作</w:t>
                  </w:r>
                </w:p>
              </w:tc>
              <w:tc>
                <w:tcPr>
                  <w:tcW w:w="1935" w:type="dxa"/>
                  <w:vAlign w:val="center"/>
                </w:tcPr>
                <w:p w14:paraId="4D6EB029">
                  <w:pPr>
                    <w:autoSpaceDE w:val="0"/>
                    <w:autoSpaceDN w:val="0"/>
                    <w:adjustRightInd w:val="0"/>
                    <w:snapToGrid w:val="0"/>
                    <w:jc w:val="center"/>
                    <w:rPr>
                      <w:kern w:val="0"/>
                      <w:sz w:val="21"/>
                      <w:szCs w:val="21"/>
                    </w:rPr>
                  </w:pPr>
                  <w:r>
                    <w:rPr>
                      <w:kern w:val="0"/>
                      <w:sz w:val="21"/>
                      <w:szCs w:val="21"/>
                    </w:rPr>
                    <w:t>本项目位于</w:t>
                  </w:r>
                  <w:r>
                    <w:rPr>
                      <w:rFonts w:hint="eastAsia"/>
                      <w:kern w:val="0"/>
                      <w:sz w:val="21"/>
                      <w:szCs w:val="21"/>
                      <w:lang w:eastAsia="zh-CN"/>
                    </w:rPr>
                    <w:t>安徽省宿州市高新技术产业开发区双创产业园4#楼</w:t>
                  </w:r>
                  <w:r>
                    <w:rPr>
                      <w:kern w:val="0"/>
                      <w:sz w:val="21"/>
                      <w:szCs w:val="21"/>
                    </w:rPr>
                    <w:t>，租用已建成厂房；项目为</w:t>
                  </w:r>
                  <w:r>
                    <w:rPr>
                      <w:rFonts w:hint="eastAsia"/>
                      <w:kern w:val="0"/>
                      <w:sz w:val="21"/>
                      <w:szCs w:val="21"/>
                      <w:lang w:val="en-US" w:eastAsia="zh-CN"/>
                    </w:rPr>
                    <w:t>营养食品制造</w:t>
                  </w:r>
                  <w:r>
                    <w:rPr>
                      <w:kern w:val="0"/>
                      <w:sz w:val="21"/>
                      <w:szCs w:val="21"/>
                    </w:rPr>
                    <w:t>，厂区废气</w:t>
                  </w:r>
                  <w:r>
                    <w:rPr>
                      <w:rFonts w:hint="eastAsia"/>
                      <w:kern w:val="0"/>
                      <w:sz w:val="21"/>
                      <w:szCs w:val="21"/>
                      <w:lang w:val="en-US" w:eastAsia="zh-CN"/>
                    </w:rPr>
                    <w:t>产生量较少，采用无组织排放</w:t>
                  </w:r>
                  <w:r>
                    <w:rPr>
                      <w:kern w:val="0"/>
                      <w:sz w:val="21"/>
                      <w:szCs w:val="21"/>
                    </w:rPr>
                    <w:t>。项目用地性质为工业用地</w:t>
                  </w:r>
                </w:p>
              </w:tc>
              <w:tc>
                <w:tcPr>
                  <w:tcW w:w="794" w:type="dxa"/>
                  <w:vAlign w:val="center"/>
                </w:tcPr>
                <w:p w14:paraId="21685E56">
                  <w:pPr>
                    <w:autoSpaceDE w:val="0"/>
                    <w:autoSpaceDN w:val="0"/>
                    <w:adjustRightInd w:val="0"/>
                    <w:snapToGrid w:val="0"/>
                    <w:jc w:val="center"/>
                    <w:rPr>
                      <w:kern w:val="0"/>
                      <w:sz w:val="21"/>
                      <w:szCs w:val="21"/>
                    </w:rPr>
                  </w:pPr>
                  <w:r>
                    <w:rPr>
                      <w:kern w:val="0"/>
                      <w:sz w:val="21"/>
                      <w:szCs w:val="21"/>
                    </w:rPr>
                    <w:t>符合</w:t>
                  </w:r>
                </w:p>
              </w:tc>
            </w:tr>
            <w:tr w14:paraId="5096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dxa"/>
                  <w:vAlign w:val="center"/>
                </w:tcPr>
                <w:p w14:paraId="186C3597">
                  <w:pPr>
                    <w:autoSpaceDE w:val="0"/>
                    <w:autoSpaceDN w:val="0"/>
                    <w:adjustRightInd w:val="0"/>
                    <w:snapToGrid w:val="0"/>
                    <w:jc w:val="center"/>
                    <w:rPr>
                      <w:kern w:val="0"/>
                      <w:sz w:val="21"/>
                      <w:szCs w:val="21"/>
                    </w:rPr>
                  </w:pPr>
                  <w:r>
                    <w:rPr>
                      <w:kern w:val="0"/>
                      <w:sz w:val="21"/>
                      <w:szCs w:val="21"/>
                    </w:rPr>
                    <w:t>2</w:t>
                  </w:r>
                </w:p>
              </w:tc>
              <w:tc>
                <w:tcPr>
                  <w:tcW w:w="3105" w:type="dxa"/>
                  <w:vAlign w:val="center"/>
                </w:tcPr>
                <w:p w14:paraId="37C9AFAD">
                  <w:pPr>
                    <w:autoSpaceDE w:val="0"/>
                    <w:autoSpaceDN w:val="0"/>
                    <w:adjustRightInd w:val="0"/>
                    <w:snapToGrid w:val="0"/>
                    <w:jc w:val="center"/>
                    <w:rPr>
                      <w:kern w:val="0"/>
                      <w:sz w:val="21"/>
                      <w:szCs w:val="21"/>
                    </w:rPr>
                  </w:pPr>
                  <w:r>
                    <w:rPr>
                      <w:kern w:val="0"/>
                      <w:sz w:val="21"/>
                      <w:szCs w:val="21"/>
                    </w:rPr>
                    <w:t>充分考虑水资源供给和水环境容量等条件，结合高新区产业与区域产业的互补，在规划的产业定位总体框架下，进一步论证和优化发展重点，控制非主导产业园定位方向的项目入区建设。严禁建设国家产业政策、技术政策和环保法律法规明令禁止的项目，严格控制高耗水、高耗能，污水排放量大的项目入区。鉴于现阶段水环境容量的制约以及改善水环境质量的需要，高新区禁止新建生物医药、新能源材料行业中高能耗、高污染型项目或工段</w:t>
                  </w:r>
                </w:p>
              </w:tc>
              <w:tc>
                <w:tcPr>
                  <w:tcW w:w="1935" w:type="dxa"/>
                  <w:vAlign w:val="center"/>
                </w:tcPr>
                <w:p w14:paraId="299488A5">
                  <w:pPr>
                    <w:autoSpaceDE w:val="0"/>
                    <w:autoSpaceDN w:val="0"/>
                    <w:adjustRightInd w:val="0"/>
                    <w:snapToGrid w:val="0"/>
                    <w:jc w:val="center"/>
                    <w:rPr>
                      <w:kern w:val="0"/>
                      <w:sz w:val="21"/>
                      <w:szCs w:val="21"/>
                    </w:rPr>
                  </w:pPr>
                  <w:r>
                    <w:rPr>
                      <w:kern w:val="0"/>
                      <w:sz w:val="21"/>
                      <w:szCs w:val="21"/>
                    </w:rPr>
                    <w:t>本项目</w:t>
                  </w:r>
                  <w:r>
                    <w:rPr>
                      <w:rFonts w:hint="eastAsia"/>
                      <w:kern w:val="0"/>
                      <w:sz w:val="21"/>
                      <w:szCs w:val="21"/>
                    </w:rPr>
                    <w:t>位于</w:t>
                  </w:r>
                  <w:r>
                    <w:rPr>
                      <w:kern w:val="0"/>
                      <w:sz w:val="21"/>
                      <w:szCs w:val="21"/>
                    </w:rPr>
                    <w:t>高新区产业园。项目的建设符合国家产业政策、技术政策，建设项目不属于环保法律法规明令禁止的项目。本项目用水主要是员工生活用水，项目废水主要为生活污水。不属于高耗水、高耗能和污水排放量大的项目。项目也不属于生物医药、新能源材料行业中高能耗、高污染型项目或工段</w:t>
                  </w:r>
                </w:p>
              </w:tc>
              <w:tc>
                <w:tcPr>
                  <w:tcW w:w="794" w:type="dxa"/>
                  <w:vAlign w:val="center"/>
                </w:tcPr>
                <w:p w14:paraId="3826F24C">
                  <w:pPr>
                    <w:autoSpaceDE w:val="0"/>
                    <w:autoSpaceDN w:val="0"/>
                    <w:adjustRightInd w:val="0"/>
                    <w:snapToGrid w:val="0"/>
                    <w:jc w:val="center"/>
                    <w:rPr>
                      <w:kern w:val="0"/>
                      <w:sz w:val="21"/>
                      <w:szCs w:val="21"/>
                    </w:rPr>
                  </w:pPr>
                  <w:r>
                    <w:rPr>
                      <w:kern w:val="0"/>
                      <w:sz w:val="21"/>
                      <w:szCs w:val="21"/>
                    </w:rPr>
                    <w:t>符合</w:t>
                  </w:r>
                </w:p>
              </w:tc>
            </w:tr>
            <w:tr w14:paraId="5C56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8" w:type="dxa"/>
                  <w:vAlign w:val="center"/>
                </w:tcPr>
                <w:p w14:paraId="17CF56EB">
                  <w:pPr>
                    <w:autoSpaceDE w:val="0"/>
                    <w:autoSpaceDN w:val="0"/>
                    <w:adjustRightInd w:val="0"/>
                    <w:snapToGrid w:val="0"/>
                    <w:jc w:val="center"/>
                    <w:rPr>
                      <w:kern w:val="0"/>
                      <w:sz w:val="21"/>
                      <w:szCs w:val="21"/>
                    </w:rPr>
                  </w:pPr>
                  <w:r>
                    <w:rPr>
                      <w:kern w:val="0"/>
                      <w:sz w:val="21"/>
                      <w:szCs w:val="21"/>
                    </w:rPr>
                    <w:t>3</w:t>
                  </w:r>
                </w:p>
              </w:tc>
              <w:tc>
                <w:tcPr>
                  <w:tcW w:w="3105" w:type="dxa"/>
                  <w:vAlign w:val="center"/>
                </w:tcPr>
                <w:p w14:paraId="7758AD9B">
                  <w:pPr>
                    <w:autoSpaceDE w:val="0"/>
                    <w:autoSpaceDN w:val="0"/>
                    <w:adjustRightInd w:val="0"/>
                    <w:snapToGrid w:val="0"/>
                    <w:jc w:val="center"/>
                    <w:rPr>
                      <w:kern w:val="0"/>
                      <w:sz w:val="21"/>
                      <w:szCs w:val="21"/>
                    </w:rPr>
                  </w:pPr>
                  <w:r>
                    <w:rPr>
                      <w:kern w:val="0"/>
                      <w:sz w:val="21"/>
                      <w:szCs w:val="21"/>
                    </w:rPr>
                    <w:t>入区项目要采用先进的生产工艺和装备，建设完善的环境保护、安全生产和事故防范系统，实行最严格的水资源管理制度，强化节能、节水等各项环保措施。清洁生产水平现阶段要按国内先进水平要求，并逐步提高，最大限度控制开发区污染物排放量和排放强度。加强地下水资源保护与管理，入区项目一律采用市政集中供水，采取措施防止污染地下水。进一步论证高新区集中供热方案，加快天然气管道等基础设施建设进展，高新区内企业采用清洁能源、禁止新建燃煤锅炉，减少大气污染物排放，环境保护规划中环境空气质量标准应采用《环境空气质量标准》（GB3095-2012）</w:t>
                  </w:r>
                </w:p>
              </w:tc>
              <w:tc>
                <w:tcPr>
                  <w:tcW w:w="1935" w:type="dxa"/>
                  <w:vAlign w:val="center"/>
                </w:tcPr>
                <w:p w14:paraId="00FD4518">
                  <w:pPr>
                    <w:autoSpaceDE w:val="0"/>
                    <w:autoSpaceDN w:val="0"/>
                    <w:adjustRightInd w:val="0"/>
                    <w:snapToGrid w:val="0"/>
                    <w:jc w:val="center"/>
                    <w:rPr>
                      <w:kern w:val="0"/>
                      <w:sz w:val="21"/>
                      <w:szCs w:val="21"/>
                    </w:rPr>
                  </w:pPr>
                  <w:r>
                    <w:rPr>
                      <w:kern w:val="0"/>
                      <w:sz w:val="21"/>
                      <w:szCs w:val="21"/>
                    </w:rPr>
                    <w:t>本项目生产采用先进的生产工艺和装备，建有环境保护系统，项目用水来自高新区供水管网。项目使用能源为电能，为清洁能源，不建设燃煤锅炉。项目区域环境空气质量标准执行</w:t>
                  </w:r>
                  <w:r>
                    <w:rPr>
                      <w:rFonts w:hint="eastAsia"/>
                      <w:kern w:val="0"/>
                      <w:sz w:val="21"/>
                      <w:szCs w:val="21"/>
                    </w:rPr>
                    <w:t>《环境空气质量标准》（GB3095-2026）</w:t>
                  </w:r>
                </w:p>
              </w:tc>
              <w:tc>
                <w:tcPr>
                  <w:tcW w:w="794" w:type="dxa"/>
                  <w:vAlign w:val="center"/>
                </w:tcPr>
                <w:p w14:paraId="0BB50E97">
                  <w:pPr>
                    <w:autoSpaceDE w:val="0"/>
                    <w:autoSpaceDN w:val="0"/>
                    <w:adjustRightInd w:val="0"/>
                    <w:snapToGrid w:val="0"/>
                    <w:jc w:val="center"/>
                    <w:rPr>
                      <w:kern w:val="0"/>
                      <w:sz w:val="21"/>
                      <w:szCs w:val="21"/>
                    </w:rPr>
                  </w:pPr>
                  <w:r>
                    <w:rPr>
                      <w:kern w:val="0"/>
                      <w:sz w:val="21"/>
                      <w:szCs w:val="21"/>
                    </w:rPr>
                    <w:t>符合</w:t>
                  </w:r>
                </w:p>
              </w:tc>
            </w:tr>
          </w:tbl>
          <w:p w14:paraId="418B6BAD">
            <w:pPr>
              <w:autoSpaceDE w:val="0"/>
              <w:autoSpaceDN w:val="0"/>
              <w:adjustRightInd w:val="0"/>
              <w:snapToGrid w:val="0"/>
              <w:spacing w:before="120" w:beforeLines="50" w:line="360" w:lineRule="auto"/>
              <w:ind w:firstLine="480" w:firstLineChars="200"/>
              <w:jc w:val="left"/>
              <w:rPr>
                <w:rFonts w:cs="宋体"/>
                <w:lang w:bidi="ar"/>
              </w:rPr>
            </w:pPr>
            <w:r>
              <w:rPr>
                <w:rFonts w:hint="eastAsia" w:cs="宋体"/>
                <w:lang w:bidi="ar"/>
              </w:rPr>
              <w:t xml:space="preserve"> </w:t>
            </w:r>
          </w:p>
        </w:tc>
      </w:tr>
      <w:tr w14:paraId="10A0FB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82" w:type="dxa"/>
            <w:vAlign w:val="center"/>
          </w:tcPr>
          <w:p w14:paraId="758DAA7D">
            <w:pPr>
              <w:autoSpaceDE w:val="0"/>
              <w:autoSpaceDN w:val="0"/>
              <w:adjustRightInd w:val="0"/>
              <w:snapToGrid w:val="0"/>
              <w:jc w:val="center"/>
              <w:rPr>
                <w:kern w:val="0"/>
              </w:rPr>
            </w:pPr>
            <w:r>
              <w:rPr>
                <w:kern w:val="0"/>
              </w:rPr>
              <w:t>其他符合性分析</w:t>
            </w:r>
          </w:p>
        </w:tc>
        <w:tc>
          <w:tcPr>
            <w:tcW w:w="6488" w:type="dxa"/>
            <w:gridSpan w:val="3"/>
            <w:vAlign w:val="center"/>
          </w:tcPr>
          <w:p w14:paraId="7A2114FE">
            <w:pPr>
              <w:pStyle w:val="62"/>
              <w:widowControl/>
              <w:adjustRightInd w:val="0"/>
              <w:snapToGrid w:val="0"/>
              <w:spacing w:before="120" w:beforeLines="50" w:line="360" w:lineRule="auto"/>
              <w:ind w:firstLine="0" w:firstLineChars="0"/>
              <w:rPr>
                <w:b/>
                <w:bCs/>
              </w:rPr>
            </w:pPr>
            <w:r>
              <w:rPr>
                <w:rFonts w:hint="eastAsia" w:cs="宋体"/>
                <w:b/>
                <w:bCs/>
              </w:rPr>
              <w:t>1、产业政策符合性分析</w:t>
            </w:r>
          </w:p>
          <w:p w14:paraId="6F6F37F1">
            <w:pPr>
              <w:spacing w:line="360" w:lineRule="auto"/>
              <w:ind w:firstLine="480" w:firstLineChars="200"/>
              <w:rPr>
                <w:rFonts w:cs="宋体"/>
                <w:lang w:bidi="ar"/>
              </w:rPr>
            </w:pPr>
            <w:r>
              <w:rPr>
                <w:rFonts w:hint="eastAsia" w:cs="宋体"/>
                <w:lang w:bidi="ar"/>
              </w:rPr>
              <w:t>根据《产业结构调整指导目录（</w:t>
            </w:r>
            <w:r>
              <w:rPr>
                <w:lang w:bidi="ar"/>
              </w:rPr>
              <w:t>2019</w:t>
            </w:r>
            <w:r>
              <w:rPr>
                <w:rFonts w:hint="eastAsia" w:cs="宋体"/>
                <w:lang w:bidi="ar"/>
              </w:rPr>
              <w:t>年本）》及其修改清单，本项目不属于鼓励类、限制类和淘汰类，属于允许类项目。</w:t>
            </w:r>
          </w:p>
          <w:p w14:paraId="10DE7D1D">
            <w:pPr>
              <w:spacing w:line="360" w:lineRule="auto"/>
              <w:ind w:firstLine="480" w:firstLineChars="200"/>
            </w:pPr>
            <w:r>
              <w:rPr>
                <w:rFonts w:hint="eastAsia" w:cs="宋体"/>
                <w:lang w:bidi="ar"/>
              </w:rPr>
              <w:t>本项目已于</w:t>
            </w:r>
            <w:r>
              <w:rPr>
                <w:lang w:bidi="ar"/>
              </w:rPr>
              <w:t>202</w:t>
            </w:r>
            <w:r>
              <w:rPr>
                <w:rFonts w:hint="eastAsia"/>
                <w:lang w:val="en-US" w:eastAsia="zh-CN" w:bidi="ar"/>
              </w:rPr>
              <w:t>5</w:t>
            </w:r>
            <w:r>
              <w:rPr>
                <w:rFonts w:hint="eastAsia" w:cs="宋体"/>
                <w:lang w:bidi="ar"/>
              </w:rPr>
              <w:t>年7月2</w:t>
            </w:r>
            <w:r>
              <w:rPr>
                <w:rFonts w:hint="eastAsia" w:cs="宋体"/>
                <w:lang w:val="en-US" w:eastAsia="zh-CN" w:bidi="ar"/>
              </w:rPr>
              <w:t>1</w:t>
            </w:r>
            <w:r>
              <w:rPr>
                <w:rFonts w:hint="eastAsia" w:cs="宋体"/>
                <w:lang w:bidi="ar"/>
              </w:rPr>
              <w:t>日由</w:t>
            </w:r>
            <w:r>
              <w:rPr>
                <w:color w:val="000000"/>
              </w:rPr>
              <w:t>宿州市高新技术产业开发区经济与科技局</w:t>
            </w:r>
            <w:r>
              <w:rPr>
                <w:rFonts w:hint="eastAsia" w:cs="宋体"/>
                <w:lang w:bidi="ar"/>
              </w:rPr>
              <w:t>予以备案。项目代码为</w:t>
            </w:r>
            <w:r>
              <w:rPr>
                <w:rFonts w:hint="eastAsia"/>
              </w:rPr>
              <w:t>2507-341367-04-03-461776</w:t>
            </w:r>
            <w:r>
              <w:rPr>
                <w:rFonts w:hint="eastAsia" w:cs="宋体"/>
                <w:lang w:bidi="ar"/>
              </w:rPr>
              <w:t>。因此，本项目的建设符合地方相关产业政策要求。</w:t>
            </w:r>
          </w:p>
          <w:p w14:paraId="3B7207CD">
            <w:pPr>
              <w:widowControl/>
              <w:adjustRightInd w:val="0"/>
              <w:snapToGrid w:val="0"/>
              <w:spacing w:line="360" w:lineRule="auto"/>
              <w:ind w:firstLine="480" w:firstLineChars="200"/>
              <w:jc w:val="left"/>
            </w:pPr>
            <w:r>
              <w:rPr>
                <w:rFonts w:hint="eastAsia"/>
                <w:lang w:bidi="ar"/>
              </w:rPr>
              <w:t>综上所述，本项目符合国家和地方产业政策要求。</w:t>
            </w:r>
          </w:p>
          <w:p w14:paraId="33D39A7F">
            <w:pPr>
              <w:pStyle w:val="25"/>
              <w:widowControl w:val="0"/>
              <w:spacing w:before="0" w:beforeAutospacing="0" w:after="0" w:afterAutospacing="0" w:line="360" w:lineRule="auto"/>
              <w:jc w:val="both"/>
              <w:rPr>
                <w:b/>
                <w:bCs/>
              </w:rPr>
            </w:pPr>
            <w:r>
              <w:rPr>
                <w:rFonts w:hint="eastAsia" w:ascii="Times New Roman" w:hAnsi="Times New Roman" w:cs="宋体"/>
                <w:b/>
                <w:bCs/>
                <w:kern w:val="2"/>
                <w:szCs w:val="24"/>
                <w:lang w:bidi="ar"/>
              </w:rPr>
              <w:t>2、土地利用的符合性分析</w:t>
            </w:r>
          </w:p>
          <w:p w14:paraId="7997643A">
            <w:pPr>
              <w:widowControl/>
              <w:spacing w:line="360" w:lineRule="auto"/>
              <w:ind w:firstLine="480" w:firstLineChars="200"/>
              <w:rPr>
                <w:szCs w:val="32"/>
                <w:lang w:bidi="ar"/>
              </w:rPr>
            </w:pPr>
            <w:r>
              <w:t>本项目位于</w:t>
            </w:r>
            <w:r>
              <w:rPr>
                <w:rFonts w:hint="eastAsia"/>
                <w:kern w:val="0"/>
                <w:lang w:eastAsia="zh-CN"/>
              </w:rPr>
              <w:t>安徽省宿州市高新技术产业开发区双创产业园4#楼</w:t>
            </w:r>
            <w:r>
              <w:rPr>
                <w:lang w:bidi="ar"/>
              </w:rPr>
              <w:t>，</w:t>
            </w:r>
            <w:r>
              <w:rPr>
                <w:rFonts w:hint="eastAsia"/>
                <w:lang w:bidi="ar"/>
              </w:rPr>
              <w:t>根据</w:t>
            </w:r>
            <w:r>
              <w:rPr>
                <w:color w:val="000000"/>
              </w:rPr>
              <w:t>《宿州市高新技术开发区总体发展规划（2012-2030）》及宿州市高新技术产业开发区产业布局图，宿州市高新技术产业开发区主导产业为动漫产业园、信息产业园、生命科技园和新材料新能源产业园。本项目</w:t>
            </w:r>
            <w:r>
              <w:rPr>
                <w:rFonts w:hint="eastAsia"/>
                <w:color w:val="000000"/>
                <w:lang w:val="en-US" w:eastAsia="zh-CN"/>
              </w:rPr>
              <w:t>为营养食品制造，</w:t>
            </w:r>
            <w:r>
              <w:rPr>
                <w:color w:val="000000"/>
              </w:rPr>
              <w:t>产品为</w:t>
            </w:r>
            <w:r>
              <w:rPr>
                <w:rFonts w:hint="eastAsia"/>
                <w:color w:val="000000"/>
                <w:lang w:val="en-US" w:eastAsia="zh-CN"/>
              </w:rPr>
              <w:t>固体饮料益生菌、蛋白棒、凝胶</w:t>
            </w:r>
            <w:r>
              <w:rPr>
                <w:color w:val="000000"/>
              </w:rPr>
              <w:t>，</w:t>
            </w:r>
            <w:r>
              <w:rPr>
                <w:rFonts w:hint="eastAsia"/>
                <w:color w:val="000000"/>
                <w:kern w:val="0"/>
              </w:rPr>
              <w:t>位于</w:t>
            </w:r>
            <w:r>
              <w:rPr>
                <w:rFonts w:hint="eastAsia"/>
                <w:color w:val="000000"/>
                <w:kern w:val="0"/>
                <w:lang w:val="en-US" w:eastAsia="zh-CN"/>
              </w:rPr>
              <w:t>双创产业园</w:t>
            </w:r>
            <w:r>
              <w:rPr>
                <w:rFonts w:hint="eastAsia"/>
                <w:color w:val="000000"/>
                <w:kern w:val="0"/>
              </w:rPr>
              <w:t>内。项目不属于宿州市高新技术产业开发区产业准入要求中“限制发展项目”和“禁止发展项目，属于允许入园项目，符合园区总体发展规划。</w:t>
            </w:r>
          </w:p>
          <w:p w14:paraId="2C6557D7">
            <w:pPr>
              <w:spacing w:line="360" w:lineRule="auto"/>
              <w:ind w:firstLine="480" w:firstLineChars="200"/>
              <w:jc w:val="left"/>
              <w:rPr>
                <w:rFonts w:hint="eastAsia"/>
              </w:rPr>
            </w:pPr>
            <w:r>
              <w:rPr>
                <w:rFonts w:hint="eastAsia"/>
                <w:lang w:bidi="ar"/>
              </w:rPr>
              <w:t>项目</w:t>
            </w:r>
            <w:r>
              <w:rPr>
                <w:rFonts w:hint="eastAsia"/>
              </w:rPr>
              <w:t>厂区东侧为</w:t>
            </w:r>
            <w:r>
              <w:rPr>
                <w:rFonts w:hint="eastAsia"/>
                <w:lang w:val="en-US" w:eastAsia="zh-CN"/>
              </w:rPr>
              <w:t>园区道路</w:t>
            </w:r>
            <w:r>
              <w:rPr>
                <w:rFonts w:hint="eastAsia"/>
              </w:rPr>
              <w:t>；西侧为</w:t>
            </w:r>
            <w:r>
              <w:rPr>
                <w:rFonts w:hint="eastAsia"/>
                <w:lang w:val="en-US" w:eastAsia="zh-CN"/>
              </w:rPr>
              <w:t>龙城路</w:t>
            </w:r>
            <w:r>
              <w:rPr>
                <w:rFonts w:hint="eastAsia"/>
              </w:rPr>
              <w:t>路；南侧为</w:t>
            </w:r>
            <w:r>
              <w:rPr>
                <w:rFonts w:hint="eastAsia"/>
                <w:lang w:val="en-US" w:eastAsia="zh-CN"/>
              </w:rPr>
              <w:t>安徽美奇生物医药科技有限公司</w:t>
            </w:r>
            <w:r>
              <w:rPr>
                <w:rFonts w:hint="eastAsia"/>
              </w:rPr>
              <w:t>；北侧为</w:t>
            </w:r>
            <w:r>
              <w:rPr>
                <w:rFonts w:hint="eastAsia"/>
                <w:lang w:val="en-US" w:eastAsia="zh-CN"/>
              </w:rPr>
              <w:t>空地以及安徽华耀信息科技有限公司</w:t>
            </w:r>
            <w:r>
              <w:rPr>
                <w:rFonts w:hint="eastAsia"/>
                <w:lang w:eastAsia="zh-CN"/>
              </w:rPr>
              <w:t>，</w:t>
            </w:r>
            <w:r>
              <w:rPr>
                <w:color w:val="000000"/>
                <w:sz w:val="24"/>
              </w:rPr>
              <w:t>项目周边状况图见附图</w:t>
            </w:r>
            <w:r>
              <w:rPr>
                <w:rFonts w:hint="eastAsia"/>
              </w:rPr>
              <w:t>。</w:t>
            </w:r>
          </w:p>
          <w:p w14:paraId="43CC1F78">
            <w:pPr>
              <w:spacing w:line="360" w:lineRule="auto"/>
              <w:ind w:firstLine="480" w:firstLineChars="200"/>
              <w:jc w:val="left"/>
              <w:rPr>
                <w:color w:val="auto"/>
                <w:lang w:bidi="ar"/>
              </w:rPr>
            </w:pPr>
            <w:r>
              <w:rPr>
                <w:color w:val="auto"/>
                <w:sz w:val="24"/>
              </w:rPr>
              <w:t>项目周边500米范围内有</w:t>
            </w:r>
            <w:r>
              <w:rPr>
                <w:rFonts w:hint="eastAsia"/>
                <w:color w:val="auto"/>
                <w:sz w:val="24"/>
                <w:lang w:val="en-US" w:eastAsia="zh-CN"/>
              </w:rPr>
              <w:t>无</w:t>
            </w:r>
            <w:r>
              <w:rPr>
                <w:color w:val="auto"/>
                <w:sz w:val="24"/>
              </w:rPr>
              <w:t>敏感点，项目运行过程产生</w:t>
            </w:r>
            <w:r>
              <w:rPr>
                <w:rFonts w:hint="eastAsia"/>
                <w:color w:val="auto"/>
                <w:sz w:val="24"/>
                <w:lang w:val="en-US" w:eastAsia="zh-CN"/>
              </w:rPr>
              <w:t>的</w:t>
            </w:r>
            <w:r>
              <w:rPr>
                <w:color w:val="auto"/>
                <w:sz w:val="24"/>
              </w:rPr>
              <w:t>生活污水经化粪池处理后进入</w:t>
            </w:r>
            <w:r>
              <w:rPr>
                <w:rFonts w:hint="eastAsia"/>
                <w:color w:val="auto"/>
                <w:sz w:val="24"/>
                <w:lang w:val="en-US" w:eastAsia="zh-CN"/>
              </w:rPr>
              <w:t>汴北污水处理厂</w:t>
            </w:r>
            <w:r>
              <w:rPr>
                <w:color w:val="auto"/>
                <w:sz w:val="24"/>
              </w:rPr>
              <w:t>进一步处理，最终达标排放至</w:t>
            </w:r>
            <w:r>
              <w:rPr>
                <w:rFonts w:hint="eastAsia"/>
                <w:color w:val="auto"/>
                <w:sz w:val="24"/>
                <w:lang w:val="en-US" w:eastAsia="zh-CN"/>
              </w:rPr>
              <w:t>运粮河</w:t>
            </w:r>
            <w:r>
              <w:rPr>
                <w:color w:val="auto"/>
                <w:sz w:val="24"/>
              </w:rPr>
              <w:t>；项目产生的固体废物分类收集分类处置，不造成二次污染。</w:t>
            </w:r>
            <w:r>
              <w:rPr>
                <w:color w:val="auto"/>
              </w:rPr>
              <w:t>项</w:t>
            </w:r>
            <w:r>
              <w:rPr>
                <w:color w:val="auto"/>
                <w:lang w:bidi="ar"/>
              </w:rPr>
              <w:t>目周边无饮用水源保护区、自然保护区、风景名胜区、生态环境敏感区等环境保护目标。运营消耗资源主要为水、电，项目耗电量相对区域资源利用总量较少，满足项目建设外部条件要求。</w:t>
            </w:r>
          </w:p>
          <w:p w14:paraId="27C4DFD7">
            <w:pPr>
              <w:widowControl/>
              <w:spacing w:line="360" w:lineRule="auto"/>
              <w:ind w:firstLine="480" w:firstLineChars="200"/>
              <w:jc w:val="left"/>
              <w:rPr>
                <w:lang w:bidi="ar"/>
              </w:rPr>
            </w:pPr>
            <w:r>
              <w:rPr>
                <w:rFonts w:hint="eastAsia"/>
                <w:lang w:bidi="ar"/>
              </w:rPr>
              <w:t>综上所述，本项目与周边环境基本相容，项目的选址基本合理。</w:t>
            </w:r>
          </w:p>
          <w:p w14:paraId="6403362E">
            <w:pPr>
              <w:spacing w:line="360" w:lineRule="auto"/>
              <w:rPr>
                <w:b/>
                <w:bCs/>
                <w:kern w:val="0"/>
              </w:rPr>
            </w:pPr>
            <w:r>
              <w:rPr>
                <w:rFonts w:hint="eastAsia" w:cs="宋体"/>
                <w:b/>
                <w:bCs/>
                <w:lang w:bidi="ar"/>
              </w:rPr>
              <w:t>3、</w:t>
            </w:r>
            <w:r>
              <w:rPr>
                <w:rFonts w:hint="eastAsia" w:cs="宋体"/>
                <w:b/>
                <w:bCs/>
                <w:snapToGrid w:val="0"/>
                <w:color w:val="auto"/>
                <w:kern w:val="0"/>
                <w:highlight w:val="none"/>
                <w:lang w:bidi="ar"/>
              </w:rPr>
              <w:t>生态保护红线</w:t>
            </w:r>
            <w:r>
              <w:rPr>
                <w:rFonts w:hint="eastAsia"/>
                <w:b/>
                <w:bCs/>
                <w:kern w:val="0"/>
              </w:rPr>
              <w:t>符合性分析：</w:t>
            </w:r>
          </w:p>
          <w:p w14:paraId="7F0E820A">
            <w:pPr>
              <w:spacing w:line="360" w:lineRule="auto"/>
              <w:ind w:firstLine="480"/>
              <w:rPr>
                <w:bCs/>
                <w:kern w:val="0"/>
              </w:rPr>
            </w:pPr>
            <w:r>
              <w:rPr>
                <w:rFonts w:hint="eastAsia"/>
                <w:bCs/>
                <w:kern w:val="0"/>
                <w:lang w:val="en-US" w:eastAsia="zh-CN"/>
              </w:rPr>
              <w:t>3.1</w:t>
            </w:r>
            <w:r>
              <w:rPr>
                <w:bCs/>
                <w:kern w:val="0"/>
              </w:rPr>
              <w:t>生态保护红线</w:t>
            </w:r>
          </w:p>
          <w:p w14:paraId="08AAE0A1">
            <w:pPr>
              <w:keepNext/>
              <w:keepLines/>
              <w:pageBreakBefore w:val="0"/>
              <w:widowControl/>
              <w:suppressLineNumbers w:val="0"/>
              <w:wordWrap/>
              <w:topLinePunct w:val="0"/>
              <w:autoSpaceDE w:val="0"/>
              <w:autoSpaceDN w:val="0"/>
              <w:bidi w:val="0"/>
              <w:adjustRightInd w:val="0"/>
              <w:snapToGrid w:val="0"/>
              <w:spacing w:before="0" w:beforeAutospacing="0" w:after="0" w:afterAutospacing="0" w:line="360" w:lineRule="auto"/>
              <w:ind w:left="0" w:right="0" w:firstLine="480" w:firstLineChars="200"/>
              <w:jc w:val="left"/>
              <w:rPr>
                <w:rFonts w:hint="eastAsia" w:eastAsia="宋体"/>
                <w:snapToGrid w:val="0"/>
                <w:color w:val="auto"/>
                <w:kern w:val="0"/>
                <w:highlight w:val="none"/>
                <w:lang w:eastAsia="zh-CN"/>
              </w:rPr>
            </w:pPr>
            <w:r>
              <w:rPr>
                <w:snapToGrid w:val="0"/>
                <w:color w:val="auto"/>
                <w:kern w:val="0"/>
                <w:sz w:val="24"/>
                <w:highlight w:val="none"/>
              </w:rPr>
              <w:t>根据</w:t>
            </w:r>
            <w:r>
              <w:rPr>
                <w:rFonts w:hint="eastAsia"/>
                <w:snapToGrid w:val="0"/>
                <w:color w:val="auto"/>
                <w:kern w:val="0"/>
                <w:sz w:val="24"/>
                <w:highlight w:val="none"/>
                <w:lang w:eastAsia="zh-CN"/>
              </w:rPr>
              <w:t>《宿州市生态环境分区管控编制文本》</w:t>
            </w:r>
            <w:r>
              <w:rPr>
                <w:snapToGrid w:val="0"/>
                <w:color w:val="auto"/>
                <w:kern w:val="0"/>
                <w:sz w:val="24"/>
                <w:highlight w:val="none"/>
              </w:rPr>
              <w:t>，宿州市的生态保护红线主要分布在以下片区</w:t>
            </w:r>
            <w:r>
              <w:rPr>
                <w:rFonts w:hint="eastAsia" w:cs="宋体"/>
                <w:snapToGrid w:val="0"/>
                <w:color w:val="auto"/>
                <w:kern w:val="0"/>
                <w:sz w:val="24"/>
                <w:highlight w:val="none"/>
                <w:lang w:eastAsia="zh-CN"/>
              </w:rPr>
              <w:t>：</w:t>
            </w:r>
          </w:p>
          <w:p w14:paraId="3FC17528">
            <w:pPr>
              <w:keepNext/>
              <w:keepLines/>
              <w:pageBreakBefore w:val="0"/>
              <w:widowControl/>
              <w:suppressLineNumbers w:val="0"/>
              <w:wordWrap/>
              <w:topLinePunct w:val="0"/>
              <w:bidi w:val="0"/>
              <w:adjustRightInd w:val="0"/>
              <w:snapToGrid w:val="0"/>
              <w:spacing w:before="0" w:beforeAutospacing="0" w:after="0" w:afterAutospacing="0"/>
              <w:ind w:left="0" w:right="0" w:firstLine="482" w:firstLineChars="200"/>
              <w:jc w:val="center"/>
              <w:rPr>
                <w:rFonts w:hint="default" w:eastAsia="仿宋"/>
                <w:b/>
                <w:snapToGrid w:val="0"/>
                <w:color w:val="auto"/>
                <w:kern w:val="0"/>
                <w:szCs w:val="28"/>
                <w:highlight w:val="none"/>
              </w:rPr>
            </w:pPr>
            <w:r>
              <w:rPr>
                <w:rFonts w:hint="eastAsia" w:ascii="宋体" w:hAnsi="宋体" w:cs="宋体"/>
                <w:b/>
                <w:bCs/>
                <w:snapToGrid w:val="0"/>
                <w:color w:val="auto"/>
                <w:kern w:val="0"/>
                <w:highlight w:val="none"/>
              </w:rPr>
              <w:t>表</w:t>
            </w:r>
            <w:r>
              <w:rPr>
                <w:rFonts w:hint="eastAsia" w:ascii="宋体" w:hAnsi="宋体" w:cs="宋体"/>
                <w:b/>
                <w:bCs/>
                <w:snapToGrid w:val="0"/>
                <w:color w:val="auto"/>
                <w:kern w:val="0"/>
                <w:highlight w:val="none"/>
                <w:lang w:val="en-US" w:eastAsia="zh-CN"/>
              </w:rPr>
              <w:t>1.</w:t>
            </w:r>
            <w:r>
              <w:rPr>
                <w:rFonts w:hint="default" w:ascii="Times New Roman" w:hAnsi="Times New Roman" w:cs="Times New Roman"/>
                <w:b/>
                <w:bCs/>
                <w:snapToGrid w:val="0"/>
                <w:color w:val="auto"/>
                <w:kern w:val="0"/>
                <w:highlight w:val="none"/>
                <w:lang w:val="en-US" w:eastAsia="zh-CN"/>
              </w:rPr>
              <w:t>2</w:t>
            </w:r>
            <w:r>
              <w:rPr>
                <w:rFonts w:hint="eastAsia"/>
                <w:b/>
                <w:bCs/>
                <w:snapToGrid w:val="0"/>
                <w:color w:val="auto"/>
                <w:kern w:val="0"/>
                <w:highlight w:val="none"/>
              </w:rPr>
              <w:t xml:space="preserve">  </w:t>
            </w:r>
            <w:r>
              <w:rPr>
                <w:rFonts w:hint="default"/>
                <w:b/>
                <w:bCs/>
                <w:snapToGrid w:val="0"/>
                <w:color w:val="auto"/>
                <w:kern w:val="0"/>
                <w:highlight w:val="none"/>
              </w:rPr>
              <w:t>宿州市生态保护红线登记表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879"/>
              <w:gridCol w:w="978"/>
              <w:gridCol w:w="2123"/>
              <w:gridCol w:w="850"/>
              <w:gridCol w:w="797"/>
            </w:tblGrid>
            <w:tr w14:paraId="5338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noWrap w:val="0"/>
                  <w:vAlign w:val="center"/>
                </w:tcPr>
                <w:p w14:paraId="4A0BA064">
                  <w:pPr>
                    <w:keepNext/>
                    <w:keepLines/>
                    <w:pageBreakBefore w:val="0"/>
                    <w:widowControl/>
                    <w:wordWrap/>
                    <w:topLinePunct w:val="0"/>
                    <w:autoSpaceDE w:val="0"/>
                    <w:autoSpaceDN w:val="0"/>
                    <w:bidi w:val="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类型</w:t>
                  </w:r>
                </w:p>
              </w:tc>
              <w:tc>
                <w:tcPr>
                  <w:tcW w:w="945" w:type="dxa"/>
                  <w:noWrap w:val="0"/>
                  <w:vAlign w:val="center"/>
                </w:tcPr>
                <w:p w14:paraId="64CABAF7">
                  <w:pPr>
                    <w:keepNext/>
                    <w:keepLines/>
                    <w:pageBreakBefore w:val="0"/>
                    <w:widowControl/>
                    <w:wordWrap/>
                    <w:topLinePunct w:val="0"/>
                    <w:autoSpaceDE w:val="0"/>
                    <w:autoSpaceDN w:val="0"/>
                    <w:bidi w:val="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名称</w:t>
                  </w:r>
                </w:p>
              </w:tc>
              <w:tc>
                <w:tcPr>
                  <w:tcW w:w="1052" w:type="dxa"/>
                  <w:noWrap w:val="0"/>
                  <w:vAlign w:val="center"/>
                </w:tcPr>
                <w:p w14:paraId="1FB50944">
                  <w:pPr>
                    <w:keepNext/>
                    <w:keepLines/>
                    <w:pageBreakBefore w:val="0"/>
                    <w:widowControl/>
                    <w:wordWrap/>
                    <w:topLinePunct w:val="0"/>
                    <w:autoSpaceDE w:val="0"/>
                    <w:autoSpaceDN w:val="0"/>
                    <w:bidi w:val="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生态系统特征</w:t>
                  </w:r>
                </w:p>
              </w:tc>
              <w:tc>
                <w:tcPr>
                  <w:tcW w:w="2284" w:type="dxa"/>
                  <w:noWrap w:val="0"/>
                  <w:vAlign w:val="center"/>
                </w:tcPr>
                <w:p w14:paraId="1B453634">
                  <w:pPr>
                    <w:keepNext/>
                    <w:keepLines/>
                    <w:pageBreakBefore w:val="0"/>
                    <w:widowControl/>
                    <w:wordWrap/>
                    <w:topLinePunct w:val="0"/>
                    <w:autoSpaceDE w:val="0"/>
                    <w:autoSpaceDN w:val="0"/>
                    <w:bidi w:val="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保护地名录</w:t>
                  </w:r>
                </w:p>
              </w:tc>
              <w:tc>
                <w:tcPr>
                  <w:tcW w:w="915" w:type="dxa"/>
                  <w:noWrap w:val="0"/>
                  <w:vAlign w:val="center"/>
                </w:tcPr>
                <w:p w14:paraId="3AB6E6DF">
                  <w:pPr>
                    <w:keepNext/>
                    <w:keepLines/>
                    <w:pageBreakBefore w:val="0"/>
                    <w:widowControl/>
                    <w:wordWrap/>
                    <w:topLinePunct w:val="0"/>
                    <w:autoSpaceDE w:val="0"/>
                    <w:autoSpaceDN w:val="0"/>
                    <w:bidi w:val="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所属行政区</w:t>
                  </w:r>
                </w:p>
              </w:tc>
              <w:tc>
                <w:tcPr>
                  <w:tcW w:w="857" w:type="dxa"/>
                  <w:noWrap w:val="0"/>
                  <w:vAlign w:val="center"/>
                </w:tcPr>
                <w:p w14:paraId="44085230">
                  <w:pPr>
                    <w:keepNext/>
                    <w:keepLines/>
                    <w:pageBreakBefore w:val="0"/>
                    <w:widowControl/>
                    <w:wordWrap/>
                    <w:topLinePunct w:val="0"/>
                    <w:autoSpaceDE w:val="0"/>
                    <w:autoSpaceDN w:val="0"/>
                    <w:bidi w:val="0"/>
                    <w:jc w:val="center"/>
                    <w:rPr>
                      <w:rFonts w:hint="default" w:ascii="Times New Roman" w:hAnsi="Times New Roman" w:eastAsia="宋体" w:cs="Times New Roman"/>
                      <w:b/>
                      <w:bCs/>
                      <w:snapToGrid w:val="0"/>
                      <w:color w:val="auto"/>
                      <w:kern w:val="0"/>
                      <w:sz w:val="21"/>
                      <w:szCs w:val="21"/>
                      <w:highlight w:val="none"/>
                    </w:rPr>
                  </w:pPr>
                  <w:r>
                    <w:rPr>
                      <w:rFonts w:hint="default" w:ascii="Times New Roman" w:hAnsi="Times New Roman" w:eastAsia="宋体" w:cs="Times New Roman"/>
                      <w:b/>
                      <w:bCs/>
                      <w:snapToGrid w:val="0"/>
                      <w:color w:val="auto"/>
                      <w:kern w:val="0"/>
                      <w:sz w:val="21"/>
                      <w:szCs w:val="21"/>
                      <w:highlight w:val="none"/>
                    </w:rPr>
                    <w:t>面积/km</w:t>
                  </w:r>
                  <w:r>
                    <w:rPr>
                      <w:rFonts w:hint="default" w:ascii="Times New Roman" w:hAnsi="Times New Roman" w:eastAsia="宋体" w:cs="Times New Roman"/>
                      <w:b/>
                      <w:bCs/>
                      <w:snapToGrid w:val="0"/>
                      <w:color w:val="auto"/>
                      <w:kern w:val="0"/>
                      <w:sz w:val="21"/>
                      <w:szCs w:val="21"/>
                      <w:highlight w:val="none"/>
                      <w:vertAlign w:val="superscript"/>
                    </w:rPr>
                    <w:t>2</w:t>
                  </w:r>
                </w:p>
              </w:tc>
            </w:tr>
            <w:tr w14:paraId="7219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noWrap w:val="0"/>
                  <w:vAlign w:val="center"/>
                </w:tcPr>
                <w:p w14:paraId="291C0167">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Ⅱ水土保持生态保护红线</w:t>
                  </w:r>
                </w:p>
              </w:tc>
              <w:tc>
                <w:tcPr>
                  <w:tcW w:w="945" w:type="dxa"/>
                  <w:vMerge w:val="restart"/>
                  <w:noWrap w:val="0"/>
                  <w:vAlign w:val="center"/>
                </w:tcPr>
                <w:p w14:paraId="3EC0E66C">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Ⅱ-1淮北河间平原农产品提供及水土保持生态保护红线</w:t>
                  </w:r>
                </w:p>
              </w:tc>
              <w:tc>
                <w:tcPr>
                  <w:tcW w:w="1052" w:type="dxa"/>
                  <w:vMerge w:val="restart"/>
                  <w:noWrap w:val="0"/>
                  <w:vAlign w:val="center"/>
                </w:tcPr>
                <w:p w14:paraId="55F245A9">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暖温带落叶阔叶林带</w:t>
                  </w:r>
                </w:p>
              </w:tc>
              <w:tc>
                <w:tcPr>
                  <w:tcW w:w="2284" w:type="dxa"/>
                  <w:vMerge w:val="restart"/>
                  <w:noWrap w:val="0"/>
                  <w:vAlign w:val="center"/>
                </w:tcPr>
                <w:p w14:paraId="2E6BD5FB">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宿州大方寺省级自然保护区、泗县沱河省级自然保护区、泗县新汴河省级湿地自然公园、安徽灵璧磬云山国家地质自然公园、泗县沱河省级自然保护区、安徽泗县石龙湖国家湿地公园</w:t>
                  </w:r>
                </w:p>
              </w:tc>
              <w:tc>
                <w:tcPr>
                  <w:tcW w:w="915" w:type="dxa"/>
                  <w:noWrap w:val="0"/>
                  <w:vAlign w:val="center"/>
                </w:tcPr>
                <w:p w14:paraId="72023B79">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灵璧县</w:t>
                  </w:r>
                </w:p>
              </w:tc>
              <w:tc>
                <w:tcPr>
                  <w:tcW w:w="857" w:type="dxa"/>
                  <w:noWrap w:val="0"/>
                  <w:vAlign w:val="center"/>
                </w:tcPr>
                <w:p w14:paraId="2B7E9EF5">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lang w:eastAsia="zh-CN"/>
                    </w:rPr>
                  </w:pPr>
                  <w:r>
                    <w:rPr>
                      <w:rFonts w:hint="default" w:ascii="Times New Roman" w:hAnsi="Times New Roman" w:eastAsia="宋体" w:cs="Times New Roman"/>
                      <w:snapToGrid w:val="0"/>
                      <w:color w:val="auto"/>
                      <w:kern w:val="0"/>
                      <w:sz w:val="21"/>
                      <w:szCs w:val="21"/>
                      <w:highlight w:val="none"/>
                    </w:rPr>
                    <w:t>8.</w:t>
                  </w:r>
                  <w:r>
                    <w:rPr>
                      <w:rFonts w:hint="default" w:ascii="Times New Roman" w:hAnsi="Times New Roman" w:eastAsia="宋体" w:cs="Times New Roman"/>
                      <w:snapToGrid w:val="0"/>
                      <w:color w:val="auto"/>
                      <w:kern w:val="0"/>
                      <w:sz w:val="21"/>
                      <w:szCs w:val="21"/>
                      <w:highlight w:val="none"/>
                      <w:lang w:val="en-US" w:eastAsia="zh-CN"/>
                    </w:rPr>
                    <w:t>2</w:t>
                  </w:r>
                </w:p>
              </w:tc>
            </w:tr>
            <w:tr w14:paraId="4842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noWrap w:val="0"/>
                  <w:vAlign w:val="center"/>
                </w:tcPr>
                <w:p w14:paraId="3D265877">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945" w:type="dxa"/>
                  <w:vMerge w:val="continue"/>
                  <w:noWrap w:val="0"/>
                  <w:vAlign w:val="center"/>
                </w:tcPr>
                <w:p w14:paraId="5CB36F40">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1052" w:type="dxa"/>
                  <w:vMerge w:val="continue"/>
                  <w:noWrap w:val="0"/>
                  <w:vAlign w:val="center"/>
                </w:tcPr>
                <w:p w14:paraId="2F002EFB">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2284" w:type="dxa"/>
                  <w:vMerge w:val="continue"/>
                  <w:noWrap w:val="0"/>
                  <w:vAlign w:val="center"/>
                </w:tcPr>
                <w:p w14:paraId="23299DDD">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915" w:type="dxa"/>
                  <w:noWrap w:val="0"/>
                  <w:vAlign w:val="center"/>
                </w:tcPr>
                <w:p w14:paraId="75AAB5F5">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泗</w:t>
                  </w:r>
                  <w:r>
                    <w:rPr>
                      <w:rFonts w:hint="default" w:ascii="Times New Roman" w:hAnsi="Times New Roman" w:eastAsia="宋体" w:cs="Times New Roman"/>
                      <w:snapToGrid w:val="0"/>
                      <w:color w:val="auto"/>
                      <w:kern w:val="0"/>
                      <w:sz w:val="21"/>
                      <w:szCs w:val="21"/>
                      <w:highlight w:val="none"/>
                    </w:rPr>
                    <w:t>县</w:t>
                  </w:r>
                </w:p>
              </w:tc>
              <w:tc>
                <w:tcPr>
                  <w:tcW w:w="857" w:type="dxa"/>
                  <w:noWrap w:val="0"/>
                  <w:vAlign w:val="center"/>
                </w:tcPr>
                <w:p w14:paraId="1441B6C1">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28.82</w:t>
                  </w:r>
                </w:p>
              </w:tc>
            </w:tr>
            <w:tr w14:paraId="1EA5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noWrap w:val="0"/>
                  <w:vAlign w:val="center"/>
                </w:tcPr>
                <w:p w14:paraId="52AE82D6">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945" w:type="dxa"/>
                  <w:vMerge w:val="continue"/>
                  <w:noWrap w:val="0"/>
                  <w:vAlign w:val="center"/>
                </w:tcPr>
                <w:p w14:paraId="4E03BC8A">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1052" w:type="dxa"/>
                  <w:vMerge w:val="continue"/>
                  <w:noWrap w:val="0"/>
                  <w:vAlign w:val="center"/>
                </w:tcPr>
                <w:p w14:paraId="4D8684A4">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2284" w:type="dxa"/>
                  <w:vMerge w:val="continue"/>
                  <w:noWrap w:val="0"/>
                  <w:vAlign w:val="center"/>
                </w:tcPr>
                <w:p w14:paraId="48F20927">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915" w:type="dxa"/>
                  <w:noWrap w:val="0"/>
                  <w:vAlign w:val="center"/>
                </w:tcPr>
                <w:p w14:paraId="7691D12A">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埇桥区</w:t>
                  </w:r>
                </w:p>
              </w:tc>
              <w:tc>
                <w:tcPr>
                  <w:tcW w:w="857" w:type="dxa"/>
                  <w:noWrap w:val="0"/>
                  <w:vAlign w:val="center"/>
                </w:tcPr>
                <w:p w14:paraId="6E8E3A7F">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65.24</w:t>
                  </w:r>
                </w:p>
              </w:tc>
            </w:tr>
            <w:tr w14:paraId="6722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restart"/>
                  <w:noWrap w:val="0"/>
                  <w:vAlign w:val="center"/>
                </w:tcPr>
                <w:p w14:paraId="2E22EF96">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Ⅲ生物多样性维护生态保护红线</w:t>
                  </w:r>
                </w:p>
              </w:tc>
              <w:tc>
                <w:tcPr>
                  <w:tcW w:w="945" w:type="dxa"/>
                  <w:vMerge w:val="restart"/>
                  <w:noWrap w:val="0"/>
                  <w:vAlign w:val="center"/>
                </w:tcPr>
                <w:p w14:paraId="7554C525">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Ⅲ-1淮北平原北部生物多样性维护及水土保持生态保护红线</w:t>
                  </w:r>
                </w:p>
              </w:tc>
              <w:tc>
                <w:tcPr>
                  <w:tcW w:w="1052" w:type="dxa"/>
                  <w:vMerge w:val="restart"/>
                  <w:noWrap w:val="0"/>
                  <w:vAlign w:val="center"/>
                </w:tcPr>
                <w:p w14:paraId="2881B6A9">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暖温带落叶阔叶林带</w:t>
                  </w:r>
                </w:p>
              </w:tc>
              <w:tc>
                <w:tcPr>
                  <w:tcW w:w="2284" w:type="dxa"/>
                  <w:vMerge w:val="restart"/>
                  <w:noWrap w:val="0"/>
                  <w:vAlign w:val="center"/>
                </w:tcPr>
                <w:p w14:paraId="449D3C0B">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安徽砀山酥梨种质资源森林公园、砀山县黄河故道省级自然保护区、安徽相山国家森林自然公园、安徽萧县皇藏峪省级自然保护区、安徽萧县黄河故道省级自然保护区、梅山省级森林自然公园、宿州大方寺省级自然保护区、萧县凤山省级森林自然公园、萧县永堌省级森林自然公园</w:t>
                  </w:r>
                </w:p>
              </w:tc>
              <w:tc>
                <w:tcPr>
                  <w:tcW w:w="915" w:type="dxa"/>
                  <w:noWrap w:val="0"/>
                  <w:vAlign w:val="center"/>
                </w:tcPr>
                <w:p w14:paraId="53249AAF">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砀山县</w:t>
                  </w:r>
                </w:p>
              </w:tc>
              <w:tc>
                <w:tcPr>
                  <w:tcW w:w="857" w:type="dxa"/>
                  <w:noWrap w:val="0"/>
                  <w:vAlign w:val="center"/>
                </w:tcPr>
                <w:p w14:paraId="1A2961C7">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113.87</w:t>
                  </w:r>
                </w:p>
              </w:tc>
            </w:tr>
            <w:tr w14:paraId="47EEB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2" w:type="dxa"/>
                  <w:vMerge w:val="continue"/>
                  <w:noWrap w:val="0"/>
                  <w:vAlign w:val="center"/>
                </w:tcPr>
                <w:p w14:paraId="035080E0">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945" w:type="dxa"/>
                  <w:vMerge w:val="continue"/>
                  <w:noWrap w:val="0"/>
                  <w:vAlign w:val="center"/>
                </w:tcPr>
                <w:p w14:paraId="74008404">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1052" w:type="dxa"/>
                  <w:vMerge w:val="continue"/>
                  <w:noWrap w:val="0"/>
                  <w:vAlign w:val="center"/>
                </w:tcPr>
                <w:p w14:paraId="0176333A">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2284" w:type="dxa"/>
                  <w:vMerge w:val="continue"/>
                  <w:noWrap w:val="0"/>
                  <w:vAlign w:val="center"/>
                </w:tcPr>
                <w:p w14:paraId="68C71692">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p>
              </w:tc>
              <w:tc>
                <w:tcPr>
                  <w:tcW w:w="915" w:type="dxa"/>
                  <w:noWrap w:val="0"/>
                  <w:vAlign w:val="center"/>
                </w:tcPr>
                <w:p w14:paraId="31D4C999">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萧县</w:t>
                  </w:r>
                </w:p>
              </w:tc>
              <w:tc>
                <w:tcPr>
                  <w:tcW w:w="857" w:type="dxa"/>
                  <w:noWrap w:val="0"/>
                  <w:vAlign w:val="center"/>
                </w:tcPr>
                <w:p w14:paraId="381D9FB0">
                  <w:pPr>
                    <w:keepNext/>
                    <w:keepLines/>
                    <w:pageBreakBefore w:val="0"/>
                    <w:widowControl/>
                    <w:wordWrap/>
                    <w:topLinePunct w:val="0"/>
                    <w:autoSpaceDE w:val="0"/>
                    <w:autoSpaceDN w:val="0"/>
                    <w:bidi w:val="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lang w:val="en-US" w:eastAsia="zh-CN"/>
                    </w:rPr>
                    <w:t>103.45</w:t>
                  </w:r>
                </w:p>
              </w:tc>
            </w:tr>
          </w:tbl>
          <w:p w14:paraId="191DAAE7">
            <w:pPr>
              <w:autoSpaceDE w:val="0"/>
              <w:autoSpaceDN w:val="0"/>
              <w:adjustRightInd w:val="0"/>
              <w:snapToGrid w:val="0"/>
              <w:spacing w:before="120" w:beforeLines="50" w:line="360" w:lineRule="auto"/>
              <w:ind w:firstLine="480" w:firstLineChars="200"/>
              <w:jc w:val="left"/>
              <w:rPr>
                <w:rFonts w:ascii="宋体" w:hAnsi="宋体" w:cs="宋体"/>
                <w:color w:val="000000" w:themeColor="text1"/>
                <w14:textFill>
                  <w14:solidFill>
                    <w14:schemeClr w14:val="tx1"/>
                  </w14:solidFill>
                </w14:textFill>
              </w:rPr>
            </w:pPr>
            <w:r>
              <w:rPr>
                <w:rFonts w:hint="eastAsia" w:cs="宋体"/>
                <w:snapToGrid w:val="0"/>
                <w:color w:val="auto"/>
                <w:kern w:val="0"/>
                <w:sz w:val="24"/>
                <w:highlight w:val="none"/>
              </w:rPr>
              <w:t>项目位于</w:t>
            </w:r>
            <w:r>
              <w:rPr>
                <w:rFonts w:hint="eastAsia" w:cs="宋体"/>
                <w:snapToGrid w:val="0"/>
                <w:color w:val="auto"/>
                <w:kern w:val="0"/>
                <w:sz w:val="24"/>
                <w:highlight w:val="none"/>
                <w:lang w:val="en-US" w:eastAsia="zh-CN"/>
              </w:rPr>
              <w:t>宿州经济开发区内</w:t>
            </w:r>
            <w:r>
              <w:rPr>
                <w:rFonts w:hint="eastAsia" w:cs="宋体"/>
                <w:snapToGrid w:val="0"/>
                <w:color w:val="auto"/>
                <w:kern w:val="0"/>
                <w:sz w:val="24"/>
                <w:highlight w:val="none"/>
              </w:rPr>
              <w:t>，所在区域不在生态保护红线区域内，因此，本项目的建设符合宿州市生态保护红线的要求</w:t>
            </w:r>
            <w:r>
              <w:rPr>
                <w:rFonts w:hint="eastAsia" w:ascii="宋体" w:hAnsi="宋体" w:cs="宋体"/>
              </w:rPr>
              <w:t>。</w:t>
            </w:r>
          </w:p>
          <w:p w14:paraId="2FC771E0">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textAlignment w:val="auto"/>
              <w:rPr>
                <w:rFonts w:hint="eastAsia"/>
                <w:color w:val="000000"/>
                <w:sz w:val="24"/>
                <w:szCs w:val="32"/>
              </w:rPr>
            </w:pPr>
            <w:r>
              <w:rPr>
                <w:rFonts w:hint="default" w:ascii="Times New Roman" w:hAnsi="Times New Roman" w:eastAsia="宋体" w:cs="Times New Roman"/>
                <w:b/>
                <w:bCs/>
                <w:color w:val="000000"/>
                <w:sz w:val="24"/>
                <w:szCs w:val="24"/>
                <w:highlight w:val="none"/>
              </w:rPr>
              <w:t>（1）生态保护红线</w:t>
            </w:r>
            <w:r>
              <w:rPr>
                <w:rFonts w:hint="eastAsia" w:cs="Times New Roman"/>
                <w:b/>
                <w:bCs/>
                <w:color w:val="000000"/>
                <w:sz w:val="24"/>
                <w:szCs w:val="24"/>
                <w:highlight w:val="none"/>
                <w:lang w:eastAsia="zh-CN"/>
              </w:rPr>
              <w:t>及生态分区管控</w:t>
            </w:r>
          </w:p>
          <w:p w14:paraId="034E9FB4">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依据中办、国办印发的《关于划定并严守生态保护红线的若干意见》，生态保护红线原则上按禁止开发区域的要求进行管理。严禁不符合主体功能定位的各类开发活动，严禁任意改变用途，确保生态保护红线的生态功能不降低、面积不减少、性质不改变。对生态保护红线内的国家公园、自然保护区、风景名胜区、森林公园、地质公园、世界自然遗产、湿地公园、饮用水水源保护区、天然林、生态公益林等各类保护地的管理，按照法律、法规和规章等要求执行。</w:t>
            </w:r>
          </w:p>
          <w:p w14:paraId="270C3E11">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在非生态保护红线的一般生态空间内，参照《自然生态空间用途管制办法（试行）》，执行涉及自然生态空间的相应准入要求。对一般生态空间内的国家公园、自然保护区、风景名胜区、森林公园、地质公园、世界自然遗产、湿地公园、饮用水水源保护区、天然林、生态公益林等各类保护地的管理，按照法律、法规和规章等要求执行。</w:t>
            </w:r>
          </w:p>
          <w:p w14:paraId="44673BFF">
            <w:pPr>
              <w:autoSpaceDE w:val="0"/>
              <w:autoSpaceDN w:val="0"/>
              <w:adjustRightInd w:val="0"/>
              <w:snapToGrid w:val="0"/>
              <w:spacing w:line="360" w:lineRule="auto"/>
              <w:ind w:firstLine="480" w:firstLineChars="200"/>
              <w:rPr>
                <w:rFonts w:hint="eastAsia" w:cs="Times New Roman"/>
                <w:color w:val="auto"/>
                <w:sz w:val="24"/>
                <w:szCs w:val="24"/>
                <w:lang w:val="en-US"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位</w:t>
            </w:r>
            <w:r>
              <w:rPr>
                <w:rFonts w:hint="default" w:ascii="Times New Roman" w:hAnsi="Times New Roman" w:eastAsia="宋体" w:cs="Times New Roman"/>
                <w:color w:val="auto"/>
                <w:sz w:val="24"/>
                <w:szCs w:val="24"/>
              </w:rPr>
              <w:t>于安徽省宿州市高新技术产业开发区双创产业园4#楼</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rPr>
              <w:t>不在生态保护红线范围内</w:t>
            </w:r>
            <w:r>
              <w:rPr>
                <w:rFonts w:hint="eastAsia" w:ascii="Times New Roman" w:hAnsi="Times New Roman" w:cs="Times New Roman"/>
                <w:color w:val="auto"/>
                <w:sz w:val="24"/>
                <w:szCs w:val="24"/>
                <w:lang w:eastAsia="zh-CN"/>
              </w:rPr>
              <w:t>（详见附图）</w:t>
            </w:r>
            <w:r>
              <w:rPr>
                <w:rFonts w:hint="eastAsia" w:cs="Times New Roman"/>
                <w:color w:val="auto"/>
                <w:sz w:val="24"/>
                <w:szCs w:val="24"/>
                <w:lang w:eastAsia="zh-CN"/>
              </w:rPr>
              <w:t>，也不在</w:t>
            </w:r>
            <w:r>
              <w:rPr>
                <w:rFonts w:hint="eastAsia" w:ascii="Times New Roman" w:hAnsi="Times New Roman" w:eastAsia="宋体" w:cs="Times New Roman"/>
                <w:color w:val="auto"/>
                <w:sz w:val="24"/>
                <w:szCs w:val="24"/>
                <w:lang w:val="en-US" w:eastAsia="zh-CN"/>
              </w:rPr>
              <w:t>一般生态空间内（详见附图）</w:t>
            </w:r>
            <w:r>
              <w:rPr>
                <w:rFonts w:hint="default" w:ascii="Times New Roman" w:hAnsi="Times New Roman" w:cs="Times New Roman"/>
                <w:color w:val="auto"/>
                <w:sz w:val="24"/>
                <w:szCs w:val="24"/>
              </w:rPr>
              <w:t>，且项目选址周边无自然保护区、风景名胜区、世界文化和自然遗产地、饮用水水源保护区以及基本农田保护区、基本草原、森林公园、地质公园、重要湿地等敏感点存在。因此本项目符合生态保护红线</w:t>
            </w:r>
            <w:r>
              <w:rPr>
                <w:rFonts w:hint="eastAsia" w:cs="Times New Roman"/>
                <w:color w:val="auto"/>
                <w:sz w:val="24"/>
                <w:szCs w:val="24"/>
                <w:lang w:eastAsia="zh-CN"/>
              </w:rPr>
              <w:t>及生态分区管控</w:t>
            </w:r>
            <w:r>
              <w:rPr>
                <w:rFonts w:hint="default" w:ascii="Times New Roman" w:hAnsi="Times New Roman" w:cs="Times New Roman"/>
                <w:color w:val="auto"/>
                <w:sz w:val="24"/>
                <w:szCs w:val="24"/>
              </w:rPr>
              <w:t>要求</w:t>
            </w:r>
            <w:r>
              <w:rPr>
                <w:rFonts w:hint="default" w:ascii="Times New Roman" w:hAnsi="Times New Roman" w:eastAsia="宋体" w:cs="Times New Roman"/>
                <w:color w:val="000000"/>
                <w:sz w:val="24"/>
                <w:szCs w:val="24"/>
                <w:highlight w:val="none"/>
                <w:lang w:eastAsia="zh-CN"/>
              </w:rPr>
              <w:t>。</w:t>
            </w:r>
          </w:p>
          <w:p w14:paraId="6B915658">
            <w:pPr>
              <w:keepNext/>
              <w:keepLines/>
              <w:pageBreakBefore w:val="0"/>
              <w:widowControl/>
              <w:kinsoku/>
              <w:wordWrap/>
              <w:overflowPunct/>
              <w:topLinePunct w:val="0"/>
              <w:autoSpaceDE/>
              <w:autoSpaceDN/>
              <w:bidi w:val="0"/>
              <w:spacing w:line="360" w:lineRule="auto"/>
              <w:ind w:firstLine="480"/>
              <w:textAlignment w:val="auto"/>
              <w:rPr>
                <w:b/>
                <w:bCs w:val="0"/>
                <w:snapToGrid w:val="0"/>
                <w:color w:val="auto"/>
                <w:kern w:val="0"/>
                <w:highlight w:val="none"/>
              </w:rPr>
            </w:pPr>
            <w:r>
              <w:rPr>
                <w:rFonts w:hint="eastAsia"/>
                <w:b/>
                <w:bCs w:val="0"/>
                <w:snapToGrid w:val="0"/>
                <w:color w:val="auto"/>
                <w:kern w:val="0"/>
                <w:highlight w:val="none"/>
                <w:lang w:val="en-US" w:eastAsia="zh-CN"/>
              </w:rPr>
              <w:t>3.2</w:t>
            </w:r>
            <w:r>
              <w:rPr>
                <w:rFonts w:hint="eastAsia"/>
                <w:b/>
                <w:bCs w:val="0"/>
                <w:snapToGrid w:val="0"/>
                <w:color w:val="auto"/>
                <w:kern w:val="0"/>
                <w:highlight w:val="none"/>
              </w:rPr>
              <w:t>环境质量底线</w:t>
            </w:r>
          </w:p>
          <w:p w14:paraId="5F105D86">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right="0" w:firstLine="482" w:firstLineChars="200"/>
              <w:jc w:val="left"/>
              <w:textAlignment w:val="auto"/>
              <w:rPr>
                <w:rFonts w:hint="default" w:ascii="Times New Roman" w:hAnsi="Times New Roman" w:eastAsia="宋体" w:cs="宋体"/>
                <w:b/>
                <w:bCs/>
                <w:snapToGrid w:val="0"/>
                <w:color w:val="auto"/>
                <w:kern w:val="0"/>
                <w:sz w:val="24"/>
                <w:highlight w:val="none"/>
                <w:lang w:val="en-US" w:eastAsia="zh-CN"/>
              </w:rPr>
            </w:pPr>
            <w:r>
              <w:rPr>
                <w:rFonts w:hint="eastAsia" w:ascii="Times New Roman" w:hAnsi="Times New Roman" w:eastAsia="宋体" w:cs="宋体"/>
                <w:b/>
                <w:bCs/>
                <w:snapToGrid w:val="0"/>
                <w:color w:val="auto"/>
                <w:kern w:val="0"/>
                <w:sz w:val="24"/>
                <w:highlight w:val="none"/>
                <w:lang w:val="en-US" w:eastAsia="zh-CN"/>
              </w:rPr>
              <w:t>（1）大气环境质量底线及分区管控</w:t>
            </w:r>
          </w:p>
          <w:p w14:paraId="0073E807">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①大气环境质量底线</w:t>
            </w:r>
          </w:p>
          <w:p w14:paraId="219EFE36">
            <w:pPr>
              <w:autoSpaceDE w:val="0"/>
              <w:autoSpaceDN w:val="0"/>
              <w:adjustRightInd w:val="0"/>
              <w:snapToGrid w:val="0"/>
              <w:spacing w:line="360" w:lineRule="auto"/>
              <w:ind w:firstLine="480" w:firstLineChars="200"/>
              <w:jc w:val="left"/>
              <w:rPr>
                <w:rFonts w:hint="eastAsia" w:cs="宋体"/>
                <w:color w:val="FF0000"/>
                <w:kern w:val="0"/>
                <w:sz w:val="24"/>
              </w:rPr>
            </w:pPr>
            <w:r>
              <w:rPr>
                <w:rFonts w:hint="eastAsia" w:cs="宋体"/>
                <w:kern w:val="0"/>
                <w:sz w:val="24"/>
              </w:rPr>
              <w:t>2024年，宿州市环境空气中细颗粒物（PM</w:t>
            </w:r>
            <w:r>
              <w:rPr>
                <w:rFonts w:hint="eastAsia" w:cs="宋体"/>
                <w:kern w:val="0"/>
                <w:sz w:val="24"/>
                <w:vertAlign w:val="subscript"/>
              </w:rPr>
              <w:t>2.5</w:t>
            </w:r>
            <w:r>
              <w:rPr>
                <w:rFonts w:hint="eastAsia" w:cs="宋体"/>
                <w:kern w:val="0"/>
                <w:sz w:val="24"/>
              </w:rPr>
              <w:t>）年平均浓度为42.9微克/立方米；全市空气质量优良天数比率为74.9%，好于省年度考核目标1.6个百分点，优良天数改善幅度全省第一。</w:t>
            </w:r>
          </w:p>
          <w:p w14:paraId="0A7073EA">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Times New Roman"/>
                <w:color w:val="auto"/>
                <w:sz w:val="24"/>
                <w:szCs w:val="24"/>
                <w:vertAlign w:val="baseline"/>
                <w:lang w:eastAsia="zh-CN"/>
              </w:rPr>
            </w:pPr>
            <w:r>
              <w:rPr>
                <w:rFonts w:hint="default" w:ascii="Times New Roman" w:hAnsi="Times New Roman" w:eastAsia="宋体" w:cs="Times New Roman"/>
                <w:color w:val="auto"/>
                <w:sz w:val="24"/>
                <w:szCs w:val="24"/>
              </w:rPr>
              <w:t>根据《环境空气质量模型技术支持服务系统》对区域达标情况进行判定，宿州市202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年均浓度分别为6</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71</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；CO24小时平均第95百分位数为</w:t>
            </w:r>
            <w:r>
              <w:rPr>
                <w:rFonts w:hint="eastAsia" w:ascii="Times New Roman" w:hAnsi="Times New Roman" w:eastAsia="宋体" w:cs="Times New Roman"/>
                <w:color w:val="auto"/>
                <w:sz w:val="24"/>
                <w:szCs w:val="24"/>
                <w:lang w:val="en-US" w:eastAsia="zh-CN"/>
              </w:rPr>
              <w:t>0.9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日最大8小时平均第90百分位数为1</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eastAsia" w:cs="Times New Roman"/>
                <w:color w:val="auto"/>
                <w:sz w:val="24"/>
                <w:szCs w:val="24"/>
                <w:lang w:eastAsia="zh-CN"/>
              </w:rPr>
              <w:t>，</w:t>
            </w:r>
            <w:r>
              <w:rPr>
                <w:rFonts w:hint="eastAsia" w:cs="Times New Roman"/>
                <w:color w:val="auto"/>
                <w:sz w:val="24"/>
                <w:szCs w:val="24"/>
                <w:lang w:val="en-US" w:eastAsia="zh-CN"/>
              </w:rPr>
              <w:t>TSP现状3日监测结果平均浓度为172.7</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eastAsia"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超过《环境空气质量标准》（GB3095-2026）中过渡阶段二级标准限值的污染物为PM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eastAsia" w:ascii="Times New Roman" w:hAnsi="Times New Roman" w:eastAsia="宋体" w:cs="Times New Roman"/>
                <w:color w:val="auto"/>
                <w:sz w:val="24"/>
                <w:szCs w:val="24"/>
                <w:vertAlign w:val="baseline"/>
                <w:lang w:eastAsia="zh-CN"/>
              </w:rPr>
              <w:t>。</w:t>
            </w:r>
          </w:p>
          <w:p w14:paraId="5754BA0E">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lang w:eastAsia="zh-CN"/>
              </w:rPr>
            </w:pPr>
            <w:r>
              <w:rPr>
                <w:rFonts w:hint="eastAsia" w:ascii="Times New Roman" w:hAnsi="Times New Roman" w:eastAsia="宋体" w:cs="宋体"/>
                <w:snapToGrid w:val="0"/>
                <w:color w:val="auto"/>
                <w:kern w:val="0"/>
                <w:sz w:val="24"/>
                <w:highlight w:val="none"/>
                <w:lang w:val="en-US" w:eastAsia="zh-CN"/>
              </w:rPr>
              <w:t>②</w:t>
            </w:r>
            <w:r>
              <w:rPr>
                <w:rFonts w:hint="eastAsia" w:ascii="Times New Roman" w:hAnsi="Times New Roman" w:eastAsia="宋体" w:cs="宋体"/>
                <w:snapToGrid w:val="0"/>
                <w:color w:val="auto"/>
                <w:kern w:val="0"/>
                <w:sz w:val="24"/>
                <w:highlight w:val="none"/>
                <w:lang w:eastAsia="zh-CN"/>
              </w:rPr>
              <w:t>大气环境分区管控</w:t>
            </w:r>
          </w:p>
          <w:p w14:paraId="0C3E1717">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rPr>
            </w:pPr>
            <w:r>
              <w:rPr>
                <w:rFonts w:hint="eastAsia" w:ascii="Times New Roman" w:hAnsi="Times New Roman" w:eastAsia="宋体" w:cs="宋体"/>
                <w:snapToGrid w:val="0"/>
                <w:color w:val="auto"/>
                <w:kern w:val="0"/>
                <w:sz w:val="24"/>
                <w:highlight w:val="none"/>
              </w:rPr>
              <w:t>对照</w:t>
            </w:r>
            <w:r>
              <w:rPr>
                <w:rFonts w:hint="eastAsia" w:ascii="Times New Roman" w:hAnsi="Times New Roman" w:eastAsia="宋体" w:cs="宋体"/>
                <w:snapToGrid w:val="0"/>
                <w:color w:val="auto"/>
                <w:kern w:val="0"/>
                <w:sz w:val="24"/>
                <w:highlight w:val="none"/>
                <w:lang w:val="en-US" w:eastAsia="zh-CN"/>
              </w:rPr>
              <w:t>宿州</w:t>
            </w:r>
            <w:r>
              <w:rPr>
                <w:rFonts w:hint="eastAsia" w:ascii="Times New Roman" w:hAnsi="Times New Roman" w:eastAsia="宋体" w:cs="宋体"/>
                <w:snapToGrid w:val="0"/>
                <w:color w:val="auto"/>
                <w:kern w:val="0"/>
                <w:sz w:val="24"/>
                <w:highlight w:val="none"/>
              </w:rPr>
              <w:t>市大气环境分区管控图，项目位于</w:t>
            </w:r>
            <w:r>
              <w:rPr>
                <w:rFonts w:hint="eastAsia" w:ascii="Times New Roman" w:hAnsi="Times New Roman" w:eastAsia="宋体" w:cs="宋体"/>
                <w:snapToGrid w:val="0"/>
                <w:color w:val="auto"/>
                <w:kern w:val="0"/>
                <w:sz w:val="24"/>
                <w:highlight w:val="none"/>
                <w:lang w:val="en-US" w:eastAsia="zh-CN"/>
              </w:rPr>
              <w:t>受体敏感重点</w:t>
            </w:r>
            <w:r>
              <w:rPr>
                <w:rFonts w:hint="eastAsia" w:ascii="Times New Roman" w:hAnsi="Times New Roman" w:eastAsia="宋体" w:cs="宋体"/>
                <w:snapToGrid w:val="0"/>
                <w:color w:val="auto"/>
                <w:kern w:val="0"/>
                <w:sz w:val="24"/>
                <w:highlight w:val="none"/>
              </w:rPr>
              <w:t>管控区，管控要求如下：落实《安徽省大气污染防治条例》《安徽省碳达峰实施方案的通知》《安徽省工业领域碳达峰实施方案》《安徽省城乡建设领域碳达峰实施方案》《关于进一步加强新上“两高”项目管理的通知》《安徽省挥发性有机物污染整治工作方案》《关于进一步加强建设项目新增大气污染物总量控制指标管理工作的通知》《安徽省“十四五”节能减排实施方案》《宿州市“十四五”节能减排实施方案》严格目标实施计划，加强环境监管，促进生态环境质量好转；新建、改建和扩建项目大气污染物实施“倍量替代”，执行特别排放标准的行业实施提标升级改造。</w:t>
            </w:r>
          </w:p>
          <w:p w14:paraId="36C1FBE9">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cs="宋体"/>
                <w:snapToGrid w:val="0"/>
                <w:color w:val="auto"/>
                <w:kern w:val="0"/>
                <w:sz w:val="24"/>
                <w:highlight w:val="none"/>
                <w:lang w:val="en-US" w:eastAsia="zh-CN"/>
              </w:rPr>
              <w:t>项目的建设符合以上文件相关要求</w:t>
            </w:r>
            <w:r>
              <w:rPr>
                <w:rFonts w:hint="eastAsia" w:ascii="Times New Roman" w:hAnsi="Times New Roman" w:eastAsia="宋体" w:cs="宋体"/>
                <w:snapToGrid w:val="0"/>
                <w:color w:val="auto"/>
                <w:kern w:val="0"/>
                <w:sz w:val="24"/>
                <w:highlight w:val="none"/>
                <w:lang w:val="en-US" w:eastAsia="zh-CN"/>
              </w:rPr>
              <w:t>，本项目建设能够满足大气环境重点管控区要求。</w:t>
            </w:r>
          </w:p>
          <w:p w14:paraId="4AAA30A9">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eastAsia" w:ascii="Times New Roman" w:hAnsi="Times New Roman" w:eastAsia="宋体" w:cs="宋体"/>
                <w:b/>
                <w:bCs/>
                <w:snapToGrid w:val="0"/>
                <w:color w:val="auto"/>
                <w:kern w:val="0"/>
                <w:sz w:val="24"/>
                <w:highlight w:val="none"/>
                <w:lang w:val="en-US" w:eastAsia="zh-CN"/>
              </w:rPr>
            </w:pPr>
            <w:r>
              <w:rPr>
                <w:rFonts w:hint="eastAsia" w:ascii="Times New Roman" w:hAnsi="Times New Roman" w:eastAsia="宋体" w:cs="宋体"/>
                <w:b/>
                <w:bCs/>
                <w:snapToGrid w:val="0"/>
                <w:color w:val="auto"/>
                <w:kern w:val="0"/>
                <w:sz w:val="24"/>
                <w:highlight w:val="none"/>
                <w:lang w:val="en-US" w:eastAsia="zh-CN"/>
              </w:rPr>
              <w:t>（2）水环境质量底线及分区管控</w:t>
            </w:r>
          </w:p>
          <w:p w14:paraId="1820FE39">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①水环境质量底线</w:t>
            </w:r>
          </w:p>
          <w:p w14:paraId="4A8E712C">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运粮河</w:t>
            </w:r>
            <w:r>
              <w:rPr>
                <w:rFonts w:hint="eastAsia" w:ascii="Times New Roman" w:hAnsi="Times New Roman" w:eastAsia="宋体" w:cs="宋体"/>
                <w:snapToGrid w:val="0"/>
                <w:color w:val="auto"/>
                <w:kern w:val="0"/>
                <w:sz w:val="24"/>
                <w:highlight w:val="none"/>
              </w:rPr>
              <w:t>水质满足《地表水环境质量标准》（GB3838-2002）</w:t>
            </w:r>
            <w:r>
              <w:rPr>
                <w:rFonts w:hint="eastAsia" w:ascii="宋体" w:hAnsi="宋体" w:eastAsia="宋体" w:cs="宋体"/>
                <w:snapToGrid w:val="0"/>
                <w:color w:val="auto"/>
                <w:kern w:val="0"/>
                <w:sz w:val="24"/>
                <w:highlight w:val="none"/>
              </w:rPr>
              <w:t>Ⅳ</w:t>
            </w:r>
            <w:r>
              <w:rPr>
                <w:rFonts w:hint="eastAsia" w:ascii="Times New Roman" w:hAnsi="Times New Roman" w:eastAsia="宋体" w:cs="宋体"/>
                <w:snapToGrid w:val="0"/>
                <w:color w:val="auto"/>
                <w:kern w:val="0"/>
                <w:sz w:val="24"/>
                <w:highlight w:val="none"/>
              </w:rPr>
              <w:t>类标准要求；</w:t>
            </w:r>
            <w:r>
              <w:rPr>
                <w:rFonts w:hint="eastAsia" w:ascii="Times New Roman" w:hAnsi="Times New Roman" w:eastAsia="宋体" w:cs="宋体"/>
                <w:snapToGrid w:val="0"/>
                <w:color w:val="auto"/>
                <w:kern w:val="0"/>
                <w:sz w:val="24"/>
                <w:highlight w:val="none"/>
                <w:lang w:val="en-US" w:eastAsia="zh-CN"/>
              </w:rPr>
              <w:t>项目废水经管网进入</w:t>
            </w:r>
            <w:r>
              <w:rPr>
                <w:rFonts w:hint="eastAsia"/>
                <w:color w:val="auto"/>
                <w:sz w:val="24"/>
                <w:lang w:val="en-US" w:eastAsia="zh-CN"/>
              </w:rPr>
              <w:t>汴北污水处理厂</w:t>
            </w:r>
            <w:r>
              <w:rPr>
                <w:rFonts w:hint="eastAsia" w:ascii="Times New Roman" w:hAnsi="Times New Roman" w:eastAsia="宋体" w:cs="宋体"/>
                <w:snapToGrid w:val="0"/>
                <w:color w:val="auto"/>
                <w:kern w:val="0"/>
                <w:sz w:val="24"/>
                <w:highlight w:val="none"/>
                <w:lang w:val="en-US" w:eastAsia="zh-CN"/>
              </w:rPr>
              <w:t>，根据出水水质要求，满足</w:t>
            </w:r>
            <w:r>
              <w:rPr>
                <w:rFonts w:hint="eastAsia" w:ascii="Times New Roman" w:hAnsi="Times New Roman" w:eastAsia="宋体" w:cs="宋体"/>
                <w:snapToGrid w:val="0"/>
                <w:color w:val="auto"/>
                <w:kern w:val="0"/>
                <w:sz w:val="24"/>
                <w:highlight w:val="none"/>
                <w:lang w:val="en-US"/>
              </w:rPr>
              <w:t>《城镇污水处理厂污染物排放标准》（GB18918-2002）一级A标准后由泵站统一送至运粮河。</w:t>
            </w:r>
          </w:p>
          <w:p w14:paraId="5F51FFB4">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lang w:eastAsia="zh-CN"/>
              </w:rPr>
            </w:pPr>
            <w:r>
              <w:rPr>
                <w:rFonts w:hint="eastAsia" w:ascii="Times New Roman" w:hAnsi="Times New Roman" w:eastAsia="宋体" w:cs="宋体"/>
                <w:snapToGrid w:val="0"/>
                <w:color w:val="auto"/>
                <w:kern w:val="0"/>
                <w:sz w:val="24"/>
                <w:highlight w:val="none"/>
                <w:lang w:val="en-US" w:eastAsia="zh-CN"/>
              </w:rPr>
              <w:t>②水</w:t>
            </w:r>
            <w:r>
              <w:rPr>
                <w:rFonts w:hint="eastAsia" w:ascii="Times New Roman" w:hAnsi="Times New Roman" w:eastAsia="宋体" w:cs="宋体"/>
                <w:snapToGrid w:val="0"/>
                <w:color w:val="auto"/>
                <w:kern w:val="0"/>
                <w:sz w:val="24"/>
                <w:highlight w:val="none"/>
                <w:lang w:eastAsia="zh-CN"/>
              </w:rPr>
              <w:t>环境分区管控</w:t>
            </w:r>
          </w:p>
          <w:p w14:paraId="547DF891">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rPr>
              <w:t>对照</w:t>
            </w:r>
            <w:r>
              <w:rPr>
                <w:rFonts w:hint="eastAsia" w:ascii="Times New Roman" w:hAnsi="Times New Roman" w:eastAsia="宋体" w:cs="宋体"/>
                <w:snapToGrid w:val="0"/>
                <w:color w:val="auto"/>
                <w:kern w:val="0"/>
                <w:sz w:val="24"/>
                <w:highlight w:val="none"/>
                <w:lang w:val="en-US" w:eastAsia="zh-CN"/>
              </w:rPr>
              <w:t>宿州</w:t>
            </w:r>
            <w:r>
              <w:rPr>
                <w:rFonts w:hint="eastAsia" w:ascii="Times New Roman" w:hAnsi="Times New Roman" w:eastAsia="宋体" w:cs="宋体"/>
                <w:snapToGrid w:val="0"/>
                <w:color w:val="auto"/>
                <w:kern w:val="0"/>
                <w:sz w:val="24"/>
                <w:highlight w:val="none"/>
              </w:rPr>
              <w:t>市</w:t>
            </w:r>
            <w:r>
              <w:rPr>
                <w:rFonts w:hint="eastAsia" w:ascii="Times New Roman" w:hAnsi="Times New Roman" w:eastAsia="宋体" w:cs="宋体"/>
                <w:snapToGrid w:val="0"/>
                <w:color w:val="auto"/>
                <w:kern w:val="0"/>
                <w:sz w:val="24"/>
                <w:highlight w:val="none"/>
                <w:lang w:val="en-US" w:eastAsia="zh-CN"/>
              </w:rPr>
              <w:t>水</w:t>
            </w:r>
            <w:r>
              <w:rPr>
                <w:rFonts w:hint="eastAsia" w:ascii="Times New Roman" w:hAnsi="Times New Roman" w:eastAsia="宋体" w:cs="宋体"/>
                <w:snapToGrid w:val="0"/>
                <w:color w:val="auto"/>
                <w:kern w:val="0"/>
                <w:sz w:val="24"/>
                <w:highlight w:val="none"/>
              </w:rPr>
              <w:t>环境分区管控图，项目位于</w:t>
            </w:r>
            <w:r>
              <w:rPr>
                <w:rFonts w:hint="eastAsia" w:ascii="Times New Roman" w:hAnsi="Times New Roman" w:eastAsia="宋体" w:cs="宋体"/>
                <w:snapToGrid w:val="0"/>
                <w:color w:val="auto"/>
                <w:kern w:val="0"/>
                <w:sz w:val="24"/>
                <w:highlight w:val="none"/>
                <w:lang w:val="en-US" w:eastAsia="zh-CN"/>
              </w:rPr>
              <w:t>水环境工业污染重点</w:t>
            </w:r>
            <w:r>
              <w:rPr>
                <w:rFonts w:hint="eastAsia" w:ascii="Times New Roman" w:hAnsi="Times New Roman" w:eastAsia="宋体" w:cs="宋体"/>
                <w:snapToGrid w:val="0"/>
                <w:color w:val="auto"/>
                <w:kern w:val="0"/>
                <w:sz w:val="24"/>
                <w:highlight w:val="none"/>
              </w:rPr>
              <w:t>管控区，</w:t>
            </w:r>
            <w:r>
              <w:rPr>
                <w:rFonts w:hint="eastAsia" w:ascii="Times New Roman" w:hAnsi="Times New Roman" w:eastAsia="宋体" w:cs="宋体"/>
                <w:snapToGrid w:val="0"/>
                <w:color w:val="auto"/>
                <w:kern w:val="0"/>
                <w:sz w:val="24"/>
                <w:highlight w:val="none"/>
                <w:lang w:val="en-US" w:eastAsia="zh-CN"/>
              </w:rPr>
              <w:t>具体要求落实《中华人民共和国水污染防治法》《水污染防治行动计划》《安徽省水污染防治工作方案》及各市水污染防治工作方案对重点管控区实施管控；依据开发区规划、规划环评及审查意见相关要求对开发区实施管控；依据《长江经济带工业园区水污染整治专项行动工作方案》、开发区规划、规划环评及审查意见相关要求对开发区实施管控；落实《安徽省“十四五”生态环境保护规划》《安徽省“十四五”节能减排实施方案》；宿州市生态环境保护委员会，关于印发《“十四五”生态环境保护规划》的通知，宿环委会〔2022〕2号；《宿州市水生态环境保护“十四五”规划要点》，宿州市人民政府，2020年11月。</w:t>
            </w:r>
          </w:p>
          <w:p w14:paraId="017572CA">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项目产生的生活污水经厂区化粪池处理</w:t>
            </w:r>
            <w:r>
              <w:rPr>
                <w:rFonts w:hint="eastAsia" w:cs="宋体"/>
                <w:snapToGrid w:val="0"/>
                <w:color w:val="auto"/>
                <w:kern w:val="0"/>
                <w:sz w:val="24"/>
                <w:highlight w:val="none"/>
                <w:lang w:val="en-US" w:eastAsia="zh-CN"/>
              </w:rPr>
              <w:t>后</w:t>
            </w:r>
            <w:r>
              <w:rPr>
                <w:rFonts w:hint="eastAsia" w:ascii="Times New Roman" w:hAnsi="Times New Roman" w:eastAsia="宋体" w:cs="宋体"/>
                <w:snapToGrid w:val="0"/>
                <w:color w:val="auto"/>
                <w:kern w:val="0"/>
                <w:sz w:val="24"/>
                <w:highlight w:val="none"/>
                <w:lang w:val="en-US" w:eastAsia="zh-CN"/>
              </w:rPr>
              <w:t>经管网进入</w:t>
            </w:r>
            <w:r>
              <w:rPr>
                <w:rFonts w:hint="eastAsia"/>
                <w:color w:val="auto"/>
                <w:sz w:val="24"/>
                <w:lang w:val="en-US" w:eastAsia="zh-CN"/>
              </w:rPr>
              <w:t>汴北污水处理厂</w:t>
            </w:r>
            <w:r>
              <w:rPr>
                <w:rFonts w:hint="eastAsia" w:ascii="Times New Roman" w:hAnsi="Times New Roman" w:eastAsia="宋体" w:cs="宋体"/>
                <w:snapToGrid w:val="0"/>
                <w:color w:val="auto"/>
                <w:kern w:val="0"/>
                <w:sz w:val="24"/>
                <w:highlight w:val="none"/>
                <w:lang w:val="en-US" w:eastAsia="zh-CN"/>
              </w:rPr>
              <w:t>，达标后排入</w:t>
            </w:r>
            <w:r>
              <w:rPr>
                <w:rFonts w:hint="eastAsia" w:cs="宋体"/>
                <w:snapToGrid w:val="0"/>
                <w:color w:val="auto"/>
                <w:kern w:val="0"/>
                <w:sz w:val="24"/>
                <w:highlight w:val="none"/>
                <w:lang w:val="en-US" w:eastAsia="zh-CN"/>
              </w:rPr>
              <w:t>运粮河</w:t>
            </w:r>
            <w:r>
              <w:rPr>
                <w:rFonts w:hint="eastAsia" w:ascii="Times New Roman" w:hAnsi="Times New Roman" w:eastAsia="宋体" w:cs="宋体"/>
                <w:snapToGrid w:val="0"/>
                <w:color w:val="auto"/>
                <w:kern w:val="0"/>
                <w:sz w:val="24"/>
                <w:highlight w:val="none"/>
                <w:lang w:val="en-US" w:eastAsia="zh-CN"/>
              </w:rPr>
              <w:t>。项目的建设</w:t>
            </w:r>
            <w:r>
              <w:rPr>
                <w:rFonts w:hint="eastAsia" w:cs="宋体"/>
                <w:snapToGrid w:val="0"/>
                <w:color w:val="auto"/>
                <w:kern w:val="0"/>
                <w:sz w:val="24"/>
                <w:highlight w:val="none"/>
                <w:lang w:val="en-US" w:eastAsia="zh-CN"/>
              </w:rPr>
              <w:t>符合以上相关文件的要求</w:t>
            </w:r>
            <w:r>
              <w:rPr>
                <w:rFonts w:hint="eastAsia" w:ascii="Times New Roman" w:hAnsi="Times New Roman" w:eastAsia="宋体" w:cs="宋体"/>
                <w:snapToGrid w:val="0"/>
                <w:color w:val="auto"/>
                <w:kern w:val="0"/>
                <w:sz w:val="24"/>
                <w:highlight w:val="none"/>
                <w:lang w:val="en-US" w:eastAsia="zh-CN"/>
              </w:rPr>
              <w:t>。综上，本项目满足水环境工业污染重点管控区要求。</w:t>
            </w:r>
          </w:p>
          <w:p w14:paraId="42189BEE">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eastAsia" w:ascii="Times New Roman" w:hAnsi="Times New Roman" w:eastAsia="宋体" w:cs="宋体"/>
                <w:b/>
                <w:bCs/>
                <w:snapToGrid w:val="0"/>
                <w:color w:val="auto"/>
                <w:kern w:val="0"/>
                <w:sz w:val="24"/>
                <w:highlight w:val="none"/>
                <w:lang w:eastAsia="zh-CN"/>
              </w:rPr>
            </w:pPr>
            <w:r>
              <w:rPr>
                <w:rFonts w:hint="eastAsia" w:ascii="Times New Roman" w:hAnsi="Times New Roman" w:eastAsia="宋体" w:cs="宋体"/>
                <w:b/>
                <w:bCs/>
                <w:snapToGrid w:val="0"/>
                <w:color w:val="auto"/>
                <w:kern w:val="0"/>
                <w:sz w:val="24"/>
                <w:highlight w:val="none"/>
                <w:lang w:val="en-US" w:eastAsia="zh-CN"/>
              </w:rPr>
              <w:t>（3）土壤环境质量底线及分区管控</w:t>
            </w:r>
          </w:p>
          <w:p w14:paraId="01B49988">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①土壤环境质量底线</w:t>
            </w:r>
          </w:p>
          <w:p w14:paraId="203395FF">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eastAsia"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根据《宿州经济开发区总体发展规划环境影响跟踪评价报告书》，</w:t>
            </w:r>
            <w:r>
              <w:rPr>
                <w:rFonts w:hint="eastAsia"/>
                <w:snapToGrid w:val="0"/>
                <w:color w:val="auto"/>
                <w:kern w:val="0"/>
                <w:szCs w:val="24"/>
                <w:highlight w:val="none"/>
              </w:rPr>
              <w:t>经开区</w:t>
            </w:r>
            <w:r>
              <w:rPr>
                <w:snapToGrid w:val="0"/>
                <w:color w:val="auto"/>
                <w:kern w:val="0"/>
                <w:szCs w:val="24"/>
                <w:highlight w:val="none"/>
                <w:lang w:val="zh-CN"/>
              </w:rPr>
              <w:t>土壤监测点位土壤环境全部满足《土壤环境质量建设用地土壤污染风险管控标准（试行）》（GB36600-2018）表1中第一类用地及第二类用地标准的风险筛选值的相关要求，底泥土壤环境满足《土壤环境质量农用地土壤污染风险管控标准（试行）》（GB15618-2018）农用地土壤污染风险筛选值（基本项目）要求。总体来说，开发区土壤环境质量良好</w:t>
            </w:r>
            <w:r>
              <w:rPr>
                <w:rFonts w:hint="eastAsia" w:ascii="Times New Roman" w:hAnsi="Times New Roman" w:eastAsia="宋体" w:cs="宋体"/>
                <w:snapToGrid w:val="0"/>
                <w:color w:val="auto"/>
                <w:kern w:val="0"/>
                <w:sz w:val="24"/>
                <w:highlight w:val="none"/>
                <w:lang w:eastAsia="zh-CN"/>
              </w:rPr>
              <w:t>。</w:t>
            </w:r>
          </w:p>
          <w:p w14:paraId="1645F27F">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②土壤环境分区管控</w:t>
            </w:r>
          </w:p>
          <w:p w14:paraId="1775CD88">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参照宿州市土壤环境分区管控图，项目位于土壤环境风险一般管控区，落实要求：依据《中华人民共和国土壤污染防治法》《土壤污染防治行动计划》《安徽省土壤污染防治工作方案》《安徽省“十四五”环境保护规划》《安徽省“十四五”土壤、地下水和农村生态环境保护规划》《安徽省重金属污染防控工作方案》《安徽省“十四五”危险废物工业固体废物污染环境防治规划》《安徽省土壤污染防治工作方案》《宿州市“十四五”生态环境保护规划》对一般管控区实施管控。</w:t>
            </w:r>
          </w:p>
          <w:p w14:paraId="50783AD8">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lang w:val="en-US" w:eastAsia="zh-CN"/>
              </w:rPr>
            </w:pPr>
            <w:r>
              <w:rPr>
                <w:rFonts w:hint="eastAsia" w:ascii="Times New Roman" w:hAnsi="Times New Roman" w:eastAsia="宋体" w:cs="宋体"/>
                <w:snapToGrid w:val="0"/>
                <w:color w:val="auto"/>
                <w:kern w:val="0"/>
                <w:sz w:val="24"/>
                <w:highlight w:val="none"/>
                <w:lang w:val="en-US" w:eastAsia="zh-CN"/>
              </w:rPr>
              <w:t>本项目采取分区防渗，容易造成污染的区域采取重点防渗，正常工况下不会对周围土壤环境造成污染。</w:t>
            </w:r>
          </w:p>
          <w:p w14:paraId="454D0B94">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2" w:firstLineChars="200"/>
              <w:jc w:val="left"/>
              <w:textAlignment w:val="auto"/>
              <w:rPr>
                <w:rFonts w:hint="default" w:ascii="Times New Roman" w:hAnsi="Times New Roman" w:eastAsia="宋体" w:cs="宋体"/>
                <w:b/>
                <w:bCs/>
                <w:snapToGrid w:val="0"/>
                <w:color w:val="auto"/>
                <w:kern w:val="0"/>
                <w:sz w:val="24"/>
                <w:highlight w:val="none"/>
                <w:lang w:val="en-US" w:eastAsia="zh-CN"/>
              </w:rPr>
            </w:pPr>
            <w:r>
              <w:rPr>
                <w:rFonts w:hint="eastAsia" w:ascii="Times New Roman" w:hAnsi="Times New Roman" w:eastAsia="宋体" w:cs="宋体"/>
                <w:b/>
                <w:bCs/>
                <w:snapToGrid w:val="0"/>
                <w:color w:val="auto"/>
                <w:kern w:val="0"/>
                <w:sz w:val="24"/>
                <w:highlight w:val="none"/>
                <w:lang w:val="en-US" w:eastAsia="zh-CN"/>
              </w:rPr>
              <w:t>（4）声环境质量底线</w:t>
            </w:r>
          </w:p>
          <w:p w14:paraId="604857DF">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480" w:leftChars="200" w:right="0" w:firstLine="0" w:firstLineChars="0"/>
              <w:jc w:val="left"/>
              <w:textAlignment w:val="auto"/>
              <w:rPr>
                <w:rFonts w:hint="default" w:ascii="Times New Roman" w:hAnsi="Times New Roman" w:eastAsia="宋体" w:cs="宋体"/>
                <w:b/>
                <w:bCs/>
                <w:snapToGrid w:val="0"/>
                <w:color w:val="auto"/>
                <w:kern w:val="0"/>
                <w:sz w:val="24"/>
                <w:highlight w:val="none"/>
              </w:rPr>
            </w:pPr>
            <w:r>
              <w:rPr>
                <w:rFonts w:hint="eastAsia" w:cs="宋体"/>
                <w:snapToGrid w:val="0"/>
                <w:color w:val="auto"/>
                <w:kern w:val="0"/>
                <w:sz w:val="24"/>
                <w:highlight w:val="none"/>
                <w:lang w:val="en-US" w:eastAsia="zh-CN"/>
              </w:rPr>
              <w:t>本项目位于宿州市经济开发区</w:t>
            </w:r>
            <w:r>
              <w:rPr>
                <w:rFonts w:hint="eastAsia" w:ascii="Times New Roman" w:hAnsi="Times New Roman" w:eastAsia="宋体" w:cs="宋体"/>
                <w:snapToGrid w:val="0"/>
                <w:color w:val="auto"/>
                <w:kern w:val="0"/>
                <w:sz w:val="24"/>
                <w:highlight w:val="none"/>
                <w:lang w:eastAsia="zh-CN"/>
              </w:rPr>
              <w:t>，属于</w:t>
            </w:r>
            <w:r>
              <w:rPr>
                <w:rFonts w:hint="eastAsia" w:cs="宋体"/>
                <w:snapToGrid w:val="0"/>
                <w:color w:val="auto"/>
                <w:kern w:val="0"/>
                <w:sz w:val="24"/>
                <w:highlight w:val="none"/>
                <w:lang w:val="en-US" w:eastAsia="zh-CN"/>
              </w:rPr>
              <w:t>3</w:t>
            </w:r>
            <w:r>
              <w:rPr>
                <w:rFonts w:hint="eastAsia" w:ascii="Times New Roman" w:hAnsi="Times New Roman" w:eastAsia="宋体" w:cs="宋体"/>
                <w:snapToGrid w:val="0"/>
                <w:color w:val="auto"/>
                <w:kern w:val="0"/>
                <w:sz w:val="24"/>
                <w:highlight w:val="none"/>
                <w:lang w:eastAsia="zh-CN"/>
              </w:rPr>
              <w:t>类声环境功能区。</w:t>
            </w:r>
            <w:r>
              <w:rPr>
                <w:rFonts w:hint="eastAsia" w:ascii="Times New Roman" w:hAnsi="Times New Roman" w:eastAsia="宋体" w:cs="宋体"/>
                <w:b w:val="0"/>
                <w:bCs w:val="0"/>
                <w:snapToGrid w:val="0"/>
                <w:color w:val="auto"/>
                <w:kern w:val="0"/>
                <w:sz w:val="24"/>
                <w:highlight w:val="none"/>
                <w:lang w:val="en-US" w:eastAsia="zh-CN"/>
              </w:rPr>
              <w:t>3.3</w:t>
            </w:r>
            <w:r>
              <w:rPr>
                <w:rFonts w:hint="default" w:ascii="Times New Roman" w:hAnsi="Times New Roman" w:eastAsia="宋体" w:cs="宋体"/>
                <w:b w:val="0"/>
                <w:bCs w:val="0"/>
                <w:snapToGrid w:val="0"/>
                <w:color w:val="auto"/>
                <w:kern w:val="0"/>
                <w:sz w:val="24"/>
                <w:highlight w:val="none"/>
              </w:rPr>
              <w:t>资源利用上线及分区管控要求</w:t>
            </w:r>
          </w:p>
          <w:p w14:paraId="28D40AAB">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rPr>
            </w:pPr>
            <w:r>
              <w:rPr>
                <w:rFonts w:hint="eastAsia" w:ascii="Times New Roman" w:hAnsi="Times New Roman" w:eastAsia="宋体" w:cs="宋体"/>
                <w:snapToGrid w:val="0"/>
                <w:color w:val="auto"/>
                <w:kern w:val="0"/>
                <w:sz w:val="24"/>
                <w:highlight w:val="none"/>
                <w:lang w:eastAsia="zh-CN"/>
              </w:rPr>
              <w:t>项目</w:t>
            </w:r>
            <w:r>
              <w:rPr>
                <w:rFonts w:hint="default" w:ascii="Times New Roman" w:hAnsi="Times New Roman" w:eastAsia="宋体" w:cs="宋体"/>
                <w:snapToGrid w:val="0"/>
                <w:color w:val="auto"/>
                <w:kern w:val="0"/>
                <w:sz w:val="24"/>
                <w:highlight w:val="none"/>
              </w:rPr>
              <w:t>生产过程中所需资源主要为水、电等，在同类型企业中水、电等消耗均处于较低水平；项目不涉及煤炭资源的使用；项目所在地不属于资源、能源紧缺区域，项目运营期间水、电等用量，不会超过划定的资源利用上线。</w:t>
            </w:r>
          </w:p>
          <w:p w14:paraId="7989D70C">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rPr>
            </w:pPr>
            <w:r>
              <w:rPr>
                <w:rFonts w:hint="default" w:ascii="Times New Roman" w:hAnsi="Times New Roman" w:eastAsia="宋体" w:cs="宋体"/>
                <w:snapToGrid w:val="0"/>
                <w:color w:val="auto"/>
                <w:kern w:val="0"/>
                <w:sz w:val="24"/>
                <w:highlight w:val="none"/>
                <w:lang w:eastAsia="zh-CN"/>
              </w:rPr>
              <w:t>（</w:t>
            </w:r>
            <w:r>
              <w:rPr>
                <w:rFonts w:hint="default" w:ascii="Times New Roman" w:hAnsi="Times New Roman" w:eastAsia="宋体" w:cs="宋体"/>
                <w:snapToGrid w:val="0"/>
                <w:color w:val="auto"/>
                <w:kern w:val="0"/>
                <w:sz w:val="24"/>
                <w:highlight w:val="none"/>
                <w:lang w:val="en-US" w:eastAsia="zh-CN"/>
              </w:rPr>
              <w:t>1</w:t>
            </w:r>
            <w:r>
              <w:rPr>
                <w:rFonts w:hint="default" w:ascii="Times New Roman" w:hAnsi="Times New Roman" w:eastAsia="宋体" w:cs="宋体"/>
                <w:snapToGrid w:val="0"/>
                <w:color w:val="auto"/>
                <w:kern w:val="0"/>
                <w:sz w:val="24"/>
                <w:highlight w:val="none"/>
                <w:lang w:eastAsia="zh-CN"/>
              </w:rPr>
              <w:t>）</w:t>
            </w:r>
            <w:r>
              <w:rPr>
                <w:rFonts w:hint="default" w:ascii="Times New Roman" w:hAnsi="Times New Roman" w:eastAsia="宋体" w:cs="宋体"/>
                <w:snapToGrid w:val="0"/>
                <w:color w:val="auto"/>
                <w:kern w:val="0"/>
                <w:sz w:val="24"/>
                <w:highlight w:val="none"/>
              </w:rPr>
              <w:t>水资源分区管控要求</w:t>
            </w:r>
          </w:p>
          <w:p w14:paraId="157545BE">
            <w:pPr>
              <w:keepNext/>
              <w:keepLines/>
              <w:pageBreakBefore w:val="0"/>
              <w:widowControl/>
              <w:suppressLineNumbers w:val="0"/>
              <w:kinsoku/>
              <w:wordWrap/>
              <w:overflowPunct/>
              <w:topLinePunct w:val="0"/>
              <w:autoSpaceDE/>
              <w:autoSpaceDN/>
              <w:bidi w:val="0"/>
              <w:adjustRightInd w:val="0"/>
              <w:snapToGrid w:val="0"/>
              <w:spacing w:beforeAutospacing="0" w:after="0" w:afterAutospacing="0" w:line="360" w:lineRule="auto"/>
              <w:ind w:left="0" w:right="0" w:firstLine="480" w:firstLineChars="200"/>
              <w:jc w:val="left"/>
              <w:textAlignment w:val="auto"/>
              <w:rPr>
                <w:rFonts w:hint="default" w:ascii="Times New Roman" w:hAnsi="Times New Roman" w:eastAsia="宋体" w:cs="宋体"/>
                <w:snapToGrid w:val="0"/>
                <w:color w:val="auto"/>
                <w:kern w:val="0"/>
                <w:sz w:val="24"/>
                <w:highlight w:val="none"/>
              </w:rPr>
            </w:pPr>
            <w:r>
              <w:rPr>
                <w:rFonts w:hint="default" w:ascii="Times New Roman" w:hAnsi="Times New Roman" w:eastAsia="宋体" w:cs="宋体"/>
                <w:snapToGrid w:val="0"/>
                <w:color w:val="auto"/>
                <w:kern w:val="0"/>
                <w:sz w:val="24"/>
                <w:highlight w:val="none"/>
              </w:rPr>
              <w:t>根据《宿州市生态环境分区管控编制文本》，</w:t>
            </w:r>
            <w:r>
              <w:rPr>
                <w:rFonts w:hint="eastAsia" w:ascii="Times New Roman" w:hAnsi="Times New Roman" w:eastAsia="宋体" w:cs="宋体"/>
                <w:snapToGrid w:val="0"/>
                <w:color w:val="auto"/>
                <w:kern w:val="0"/>
                <w:sz w:val="24"/>
                <w:highlight w:val="none"/>
                <w:lang w:eastAsia="zh-CN"/>
              </w:rPr>
              <w:t>项目</w:t>
            </w:r>
            <w:r>
              <w:rPr>
                <w:rFonts w:hint="default" w:ascii="Times New Roman" w:hAnsi="Times New Roman" w:eastAsia="宋体" w:cs="宋体"/>
                <w:snapToGrid w:val="0"/>
                <w:color w:val="auto"/>
                <w:kern w:val="0"/>
                <w:sz w:val="24"/>
                <w:highlight w:val="none"/>
              </w:rPr>
              <w:t>位于地下水开采重点管控区，与水资源分区管控要求协调性见表</w:t>
            </w:r>
            <w:r>
              <w:rPr>
                <w:rFonts w:hint="eastAsia" w:ascii="Times New Roman" w:hAnsi="Times New Roman" w:eastAsia="宋体" w:cs="宋体"/>
                <w:snapToGrid w:val="0"/>
                <w:color w:val="auto"/>
                <w:kern w:val="0"/>
                <w:sz w:val="24"/>
                <w:highlight w:val="none"/>
                <w:lang w:val="en-US" w:eastAsia="zh-CN"/>
              </w:rPr>
              <w:t>1</w:t>
            </w:r>
            <w:r>
              <w:rPr>
                <w:rFonts w:hint="eastAsia" w:cs="宋体"/>
                <w:snapToGrid w:val="0"/>
                <w:color w:val="auto"/>
                <w:kern w:val="0"/>
                <w:sz w:val="24"/>
                <w:highlight w:val="none"/>
                <w:lang w:val="en-US" w:eastAsia="zh-CN"/>
              </w:rPr>
              <w:t>-5</w:t>
            </w:r>
            <w:r>
              <w:rPr>
                <w:rFonts w:hint="default" w:ascii="Times New Roman" w:hAnsi="Times New Roman" w:eastAsia="宋体" w:cs="宋体"/>
                <w:snapToGrid w:val="0"/>
                <w:color w:val="auto"/>
                <w:kern w:val="0"/>
                <w:sz w:val="24"/>
                <w:highlight w:val="none"/>
              </w:rPr>
              <w:t>。</w:t>
            </w:r>
          </w:p>
          <w:p w14:paraId="07800429">
            <w:pPr>
              <w:keepNext/>
              <w:keepLines/>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snapToGrid w:val="0"/>
                <w:color w:val="auto"/>
                <w:kern w:val="0"/>
                <w:sz w:val="24"/>
                <w:highlight w:val="none"/>
              </w:rPr>
            </w:pPr>
            <w:bookmarkStart w:id="1" w:name="_Ref128316186"/>
            <w:r>
              <w:rPr>
                <w:rFonts w:hint="default" w:ascii="Times New Roman" w:hAnsi="Times New Roman" w:cs="Times New Roman"/>
                <w:b/>
                <w:snapToGrid w:val="0"/>
                <w:color w:val="auto"/>
                <w:kern w:val="0"/>
                <w:sz w:val="24"/>
                <w:highlight w:val="none"/>
              </w:rPr>
              <w:t>表</w:t>
            </w:r>
            <w:bookmarkEnd w:id="1"/>
            <w:r>
              <w:rPr>
                <w:rFonts w:hint="eastAsia" w:ascii="Times New Roman" w:hAnsi="Times New Roman" w:cs="Times New Roman"/>
                <w:b/>
                <w:snapToGrid w:val="0"/>
                <w:color w:val="auto"/>
                <w:kern w:val="0"/>
                <w:sz w:val="24"/>
                <w:highlight w:val="none"/>
                <w:lang w:val="en-US" w:eastAsia="zh-CN"/>
              </w:rPr>
              <w:t>1.3</w:t>
            </w:r>
            <w:r>
              <w:rPr>
                <w:rFonts w:hint="default" w:ascii="Times New Roman" w:hAnsi="Times New Roman" w:cs="Times New Roman"/>
                <w:b/>
                <w:snapToGrid w:val="0"/>
                <w:color w:val="auto"/>
                <w:kern w:val="0"/>
                <w:sz w:val="24"/>
                <w:highlight w:val="none"/>
              </w:rPr>
              <w:t xml:space="preserve">  项目与水资源管控要求的协调性分析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355"/>
              <w:gridCol w:w="965"/>
            </w:tblGrid>
            <w:tr w14:paraId="0555C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4" w:type="dxa"/>
                  <w:noWrap w:val="0"/>
                  <w:vAlign w:val="center"/>
                </w:tcPr>
                <w:p w14:paraId="56303334">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管控单元分类</w:t>
                  </w:r>
                </w:p>
              </w:tc>
              <w:tc>
                <w:tcPr>
                  <w:tcW w:w="4500" w:type="dxa"/>
                  <w:noWrap w:val="0"/>
                  <w:vAlign w:val="center"/>
                </w:tcPr>
                <w:p w14:paraId="7F2FF498">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环境管控要求</w:t>
                  </w:r>
                </w:p>
              </w:tc>
              <w:tc>
                <w:tcPr>
                  <w:tcW w:w="997" w:type="dxa"/>
                  <w:noWrap w:val="0"/>
                  <w:vAlign w:val="center"/>
                </w:tcPr>
                <w:p w14:paraId="78B6E92D">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协调性分析</w:t>
                  </w:r>
                </w:p>
              </w:tc>
            </w:tr>
            <w:tr w14:paraId="4D20C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4" w:type="dxa"/>
                  <w:noWrap w:val="0"/>
                  <w:vAlign w:val="center"/>
                </w:tcPr>
                <w:p w14:paraId="4631D4E8">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snapToGrid w:val="0"/>
                      <w:color w:val="auto"/>
                      <w:kern w:val="0"/>
                      <w:sz w:val="21"/>
                      <w:szCs w:val="21"/>
                      <w:highlight w:val="none"/>
                    </w:rPr>
                    <w:t>地下水开采重点管控区</w:t>
                  </w:r>
                </w:p>
              </w:tc>
              <w:tc>
                <w:tcPr>
                  <w:tcW w:w="4500" w:type="dxa"/>
                  <w:noWrap w:val="0"/>
                  <w:vAlign w:val="center"/>
                </w:tcPr>
                <w:p w14:paraId="375170BC">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rPr>
                    <w:t>落实《国务院办公厅关于印发实行最严格水资源管理制度考核办法的通知》、《水利部国家发展改革委关于印发“十四五”用水总量和强度双控目标的通知》（水节约〔2022〕113号）、《关于落实“十四五”用水总量和强度双控目标的通知》（安徽省水利厅2022年8月）、《宿州市水利发展“十四五”规划》（宿州市水利局2021年12月）等要求。</w:t>
                  </w:r>
                </w:p>
              </w:tc>
              <w:tc>
                <w:tcPr>
                  <w:tcW w:w="997" w:type="dxa"/>
                  <w:noWrap w:val="0"/>
                  <w:vAlign w:val="center"/>
                </w:tcPr>
                <w:p w14:paraId="0400D09C">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eastAsia="zh-CN"/>
                    </w:rPr>
                    <w:t>项目</w:t>
                  </w:r>
                  <w:r>
                    <w:rPr>
                      <w:rFonts w:hint="default" w:ascii="Times New Roman" w:hAnsi="Times New Roman" w:eastAsia="宋体" w:cs="Times New Roman"/>
                      <w:snapToGrid w:val="0"/>
                      <w:color w:val="auto"/>
                      <w:kern w:val="0"/>
                      <w:sz w:val="21"/>
                      <w:szCs w:val="21"/>
                      <w:highlight w:val="none"/>
                    </w:rPr>
                    <w:t>用水为园区集中供水，不开采地下水。</w:t>
                  </w:r>
                </w:p>
              </w:tc>
            </w:tr>
          </w:tbl>
          <w:p w14:paraId="0C2F5EF1">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lang w:val="en-US" w:eastAsia="zh-CN"/>
              </w:rPr>
              <w:t>2</w:t>
            </w:r>
            <w:r>
              <w:rPr>
                <w:rFonts w:hint="default" w:ascii="Times New Roman" w:hAnsi="Times New Roman" w:cs="Times New Roman"/>
                <w:snapToGrid w:val="0"/>
                <w:color w:val="auto"/>
                <w:kern w:val="0"/>
                <w:sz w:val="24"/>
                <w:highlight w:val="none"/>
                <w:lang w:eastAsia="zh-CN"/>
              </w:rPr>
              <w:t>）</w:t>
            </w:r>
            <w:r>
              <w:rPr>
                <w:rFonts w:hint="default" w:ascii="Times New Roman" w:hAnsi="Times New Roman" w:cs="Times New Roman"/>
                <w:snapToGrid w:val="0"/>
                <w:color w:val="auto"/>
                <w:kern w:val="0"/>
                <w:sz w:val="24"/>
                <w:highlight w:val="none"/>
              </w:rPr>
              <w:t>土地资源管控分区</w:t>
            </w:r>
          </w:p>
          <w:p w14:paraId="39088F58">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土地资源管控区划分为重点管控区和一般管控区，重点管控区一般是指具有一定经济基础、资源环境承载力较强、发展潜力较大、集聚人口和经济条件较好，可重点进行大规模工业化城镇化开发的区域，与《安徽省主体功能区规划》中的国家重点开发区域相符；除重点管控区以外的其他区域为一般管控区。根据《宿州市生态环境分区管控编制文本》，</w:t>
            </w:r>
            <w:r>
              <w:rPr>
                <w:rFonts w:hint="eastAsia" w:ascii="Times New Roman" w:hAnsi="Times New Roman" w:cs="Times New Roman"/>
                <w:snapToGrid w:val="0"/>
                <w:color w:val="auto"/>
                <w:kern w:val="0"/>
                <w:sz w:val="24"/>
                <w:highlight w:val="none"/>
                <w:lang w:eastAsia="zh-CN"/>
              </w:rPr>
              <w:t>项目</w:t>
            </w:r>
            <w:r>
              <w:rPr>
                <w:rFonts w:hint="default" w:ascii="Times New Roman" w:hAnsi="Times New Roman" w:cs="Times New Roman"/>
                <w:snapToGrid w:val="0"/>
                <w:color w:val="auto"/>
                <w:kern w:val="0"/>
                <w:sz w:val="24"/>
                <w:highlight w:val="none"/>
              </w:rPr>
              <w:t>位于土地资源一般管控区，与土地资源一般分区管控要求协调性见</w:t>
            </w:r>
            <w:r>
              <w:rPr>
                <w:rFonts w:hint="eastAsia" w:ascii="Times New Roman" w:hAnsi="Times New Roman" w:cs="Times New Roman"/>
                <w:snapToGrid w:val="0"/>
                <w:color w:val="auto"/>
                <w:kern w:val="0"/>
                <w:sz w:val="24"/>
                <w:highlight w:val="none"/>
                <w:lang w:val="en-US" w:eastAsia="zh-CN"/>
              </w:rPr>
              <w:t>下表</w:t>
            </w:r>
            <w:r>
              <w:rPr>
                <w:rFonts w:hint="default" w:ascii="Times New Roman" w:hAnsi="Times New Roman" w:cs="Times New Roman"/>
                <w:snapToGrid w:val="0"/>
                <w:color w:val="auto"/>
                <w:kern w:val="0"/>
                <w:sz w:val="24"/>
                <w:highlight w:val="none"/>
              </w:rPr>
              <w:t>。</w:t>
            </w:r>
          </w:p>
          <w:p w14:paraId="78F2EAE2">
            <w:pPr>
              <w:keepNext/>
              <w:keepLines/>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表</w:t>
            </w:r>
            <w:r>
              <w:rPr>
                <w:rFonts w:hint="eastAsia" w:ascii="Times New Roman" w:hAnsi="Times New Roman" w:eastAsia="宋体" w:cs="Times New Roman"/>
                <w:b/>
                <w:snapToGrid w:val="0"/>
                <w:color w:val="auto"/>
                <w:kern w:val="0"/>
                <w:sz w:val="24"/>
                <w:highlight w:val="none"/>
                <w:lang w:val="en-US" w:eastAsia="zh-CN"/>
              </w:rPr>
              <w:t>1.4</w:t>
            </w:r>
            <w:r>
              <w:rPr>
                <w:rFonts w:hint="default" w:ascii="Times New Roman" w:hAnsi="Times New Roman" w:eastAsia="宋体" w:cs="Times New Roman"/>
                <w:b/>
                <w:snapToGrid w:val="0"/>
                <w:color w:val="auto"/>
                <w:kern w:val="0"/>
                <w:sz w:val="24"/>
                <w:highlight w:val="none"/>
              </w:rPr>
              <w:t xml:space="preserve">  与土地资源分区管控协调性分析</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2816"/>
              <w:gridCol w:w="2489"/>
            </w:tblGrid>
            <w:tr w14:paraId="1345D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9" w:type="dxa"/>
                  <w:noWrap w:val="0"/>
                  <w:vAlign w:val="center"/>
                </w:tcPr>
                <w:p w14:paraId="6EA63376">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管控单元分类</w:t>
                  </w:r>
                </w:p>
              </w:tc>
              <w:tc>
                <w:tcPr>
                  <w:tcW w:w="2910" w:type="dxa"/>
                  <w:noWrap w:val="0"/>
                  <w:vAlign w:val="center"/>
                </w:tcPr>
                <w:p w14:paraId="41C743B4">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环境管控要求</w:t>
                  </w:r>
                </w:p>
              </w:tc>
              <w:tc>
                <w:tcPr>
                  <w:tcW w:w="2572" w:type="dxa"/>
                  <w:noWrap w:val="0"/>
                  <w:vAlign w:val="center"/>
                </w:tcPr>
                <w:p w14:paraId="07439061">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b/>
                      <w:bCs/>
                      <w:snapToGrid w:val="0"/>
                      <w:color w:val="auto"/>
                      <w:kern w:val="0"/>
                      <w:sz w:val="21"/>
                      <w:szCs w:val="21"/>
                      <w:highlight w:val="none"/>
                    </w:rPr>
                  </w:pPr>
                  <w:r>
                    <w:rPr>
                      <w:rFonts w:hint="default" w:ascii="Times New Roman" w:hAnsi="Times New Roman" w:cs="Times New Roman"/>
                      <w:b/>
                      <w:bCs/>
                      <w:snapToGrid w:val="0"/>
                      <w:color w:val="auto"/>
                      <w:kern w:val="0"/>
                      <w:sz w:val="21"/>
                      <w:szCs w:val="21"/>
                      <w:highlight w:val="none"/>
                    </w:rPr>
                    <w:t>协调性分析</w:t>
                  </w:r>
                </w:p>
              </w:tc>
            </w:tr>
            <w:tr w14:paraId="33F1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89" w:type="dxa"/>
                  <w:noWrap w:val="0"/>
                  <w:vAlign w:val="center"/>
                </w:tcPr>
                <w:p w14:paraId="49066F56">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一般管控区</w:t>
                  </w:r>
                </w:p>
              </w:tc>
              <w:tc>
                <w:tcPr>
                  <w:tcW w:w="2910" w:type="dxa"/>
                  <w:noWrap w:val="0"/>
                  <w:vAlign w:val="center"/>
                </w:tcPr>
                <w:p w14:paraId="645AAE8F">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落实《宿州市国土空间总体规划》(2021-2035年)等要求。</w:t>
                  </w:r>
                </w:p>
              </w:tc>
              <w:tc>
                <w:tcPr>
                  <w:tcW w:w="2572" w:type="dxa"/>
                  <w:noWrap w:val="0"/>
                  <w:vAlign w:val="center"/>
                </w:tcPr>
                <w:p w14:paraId="1094514E">
                  <w:pPr>
                    <w:pStyle w:val="56"/>
                    <w:keepNext/>
                    <w:keepLines/>
                    <w:pageBreakBefore w:val="0"/>
                    <w:widowControl/>
                    <w:wordWrap/>
                    <w:topLinePunct w:val="0"/>
                    <w:bidi w:val="0"/>
                    <w:spacing w:before="24" w:after="24" w:line="240" w:lineRule="auto"/>
                    <w:ind w:left="0" w:leftChars="0" w:firstLine="0" w:firstLineChars="0"/>
                    <w:rPr>
                      <w:rFonts w:hint="default" w:ascii="Times New Roman" w:hAnsi="Times New Roman" w:cs="Times New Roman"/>
                      <w:snapToGrid w:val="0"/>
                      <w:color w:val="auto"/>
                      <w:kern w:val="0"/>
                      <w:sz w:val="21"/>
                      <w:szCs w:val="21"/>
                      <w:highlight w:val="none"/>
                    </w:rPr>
                  </w:pPr>
                  <w:r>
                    <w:rPr>
                      <w:rFonts w:hint="default" w:ascii="Times New Roman" w:hAnsi="Times New Roman" w:cs="Times New Roman"/>
                      <w:snapToGrid w:val="0"/>
                      <w:color w:val="auto"/>
                      <w:kern w:val="0"/>
                      <w:sz w:val="21"/>
                      <w:szCs w:val="21"/>
                      <w:highlight w:val="none"/>
                    </w:rPr>
                    <w:t>项目位于宿州市高新</w:t>
                  </w:r>
                  <w:r>
                    <w:rPr>
                      <w:rFonts w:hint="default" w:ascii="Times New Roman" w:hAnsi="Times New Roman" w:cs="Times New Roman"/>
                      <w:snapToGrid w:val="0"/>
                      <w:color w:val="auto"/>
                      <w:kern w:val="0"/>
                      <w:sz w:val="21"/>
                      <w:szCs w:val="21"/>
                      <w:highlight w:val="none"/>
                      <w:lang w:val="en-US" w:eastAsia="zh-CN"/>
                    </w:rPr>
                    <w:t>技术产业开发区</w:t>
                  </w:r>
                  <w:r>
                    <w:rPr>
                      <w:rFonts w:hint="default" w:ascii="Times New Roman" w:hAnsi="Times New Roman" w:cs="Times New Roman"/>
                      <w:snapToGrid w:val="0"/>
                      <w:color w:val="auto"/>
                      <w:kern w:val="0"/>
                      <w:sz w:val="21"/>
                      <w:szCs w:val="21"/>
                      <w:highlight w:val="none"/>
                    </w:rPr>
                    <w:t>双创产业园，项目用地符合园区用地布局规划，相应土地利用等在规划制定阶段已充分考虑。</w:t>
                  </w:r>
                </w:p>
              </w:tc>
            </w:tr>
          </w:tbl>
          <w:p w14:paraId="59EF4291">
            <w:pPr>
              <w:keepNext/>
              <w:keepLines/>
              <w:pageBreakBefore w:val="0"/>
              <w:widowControl/>
              <w:wordWrap/>
              <w:topLinePunct w:val="0"/>
              <w:bidi w:val="0"/>
              <w:spacing w:line="360" w:lineRule="auto"/>
              <w:ind w:firstLine="480"/>
            </w:pPr>
            <w:r>
              <w:rPr>
                <w:rFonts w:hint="default" w:ascii="Times New Roman" w:hAnsi="Times New Roman" w:cs="Times New Roman"/>
                <w:snapToGrid w:val="0"/>
                <w:color w:val="auto"/>
                <w:kern w:val="0"/>
                <w:sz w:val="24"/>
                <w:highlight w:val="none"/>
              </w:rPr>
              <w:t>综上所述，项目的建设符合资源利用上线的要求。</w:t>
            </w:r>
          </w:p>
          <w:p w14:paraId="6846003B">
            <w:pPr>
              <w:spacing w:line="360" w:lineRule="auto"/>
              <w:ind w:left="480" w:leftChars="200"/>
              <w:rPr>
                <w:bCs/>
              </w:rPr>
            </w:pPr>
            <w:r>
              <w:rPr>
                <w:rFonts w:hint="eastAsia"/>
                <w:bCs/>
                <w:lang w:val="en-US" w:eastAsia="zh-CN"/>
              </w:rPr>
              <w:t>3.4</w:t>
            </w:r>
            <w:r>
              <w:rPr>
                <w:rFonts w:hint="eastAsia"/>
                <w:bCs/>
              </w:rPr>
              <w:t>环境准入负面清单</w:t>
            </w:r>
          </w:p>
          <w:p w14:paraId="6481BDF8">
            <w:pPr>
              <w:autoSpaceDE w:val="0"/>
              <w:autoSpaceDN w:val="0"/>
              <w:adjustRightInd w:val="0"/>
              <w:snapToGrid w:val="0"/>
              <w:spacing w:line="360" w:lineRule="auto"/>
              <w:ind w:firstLine="480" w:firstLineChars="200"/>
              <w:rPr>
                <w:rFonts w:hint="eastAsia" w:eastAsia="宋体"/>
                <w:color w:val="auto"/>
                <w:lang w:eastAsia="zh-CN" w:bidi="ar"/>
              </w:rPr>
            </w:pPr>
            <w:r>
              <w:rPr>
                <w:rFonts w:hint="eastAsia"/>
                <w:color w:val="auto"/>
                <w:kern w:val="0"/>
                <w:lang w:val="en-US" w:eastAsia="zh-CN"/>
              </w:rPr>
              <w:t>根据《</w:t>
            </w:r>
            <w:r>
              <w:rPr>
                <w:color w:val="auto"/>
                <w:kern w:val="0"/>
              </w:rPr>
              <w:t>宿州高新技术产业开发区总体规划环境影响报告书</w:t>
            </w:r>
            <w:r>
              <w:rPr>
                <w:rFonts w:hint="eastAsia"/>
                <w:color w:val="auto"/>
                <w:kern w:val="0"/>
                <w:lang w:eastAsia="zh-CN"/>
              </w:rPr>
              <w:t>》（</w:t>
            </w:r>
            <w:r>
              <w:rPr>
                <w:rFonts w:hint="eastAsia"/>
                <w:color w:val="auto"/>
                <w:kern w:val="0"/>
                <w:lang w:val="en-US" w:eastAsia="zh-CN"/>
              </w:rPr>
              <w:t>2012年</w:t>
            </w:r>
            <w:r>
              <w:rPr>
                <w:rFonts w:hint="eastAsia"/>
                <w:color w:val="auto"/>
                <w:kern w:val="0"/>
                <w:lang w:eastAsia="zh-CN"/>
              </w:rPr>
              <w:t>）</w:t>
            </w:r>
            <w:r>
              <w:rPr>
                <w:rFonts w:ascii="宋体" w:hAnsi="宋体" w:eastAsia="宋体" w:cs="宋体"/>
                <w:color w:val="auto"/>
                <w:spacing w:val="-2"/>
                <w:sz w:val="24"/>
                <w:szCs w:val="24"/>
              </w:rPr>
              <w:t>及《宿州市高新技术产业开发区环境影响区域评估报告》(</w:t>
            </w:r>
            <w:r>
              <w:rPr>
                <w:rFonts w:hint="default" w:ascii="Times New Roman" w:hAnsi="Times New Roman" w:eastAsia="Calibri" w:cs="Times New Roman"/>
                <w:color w:val="auto"/>
                <w:spacing w:val="-2"/>
                <w:sz w:val="24"/>
                <w:szCs w:val="24"/>
              </w:rPr>
              <w:t>20</w:t>
            </w:r>
            <w:r>
              <w:rPr>
                <w:rFonts w:hint="default" w:ascii="Times New Roman" w:hAnsi="Times New Roman" w:eastAsia="Calibri" w:cs="Times New Roman"/>
                <w:color w:val="auto"/>
                <w:spacing w:val="-1"/>
                <w:sz w:val="24"/>
                <w:szCs w:val="24"/>
              </w:rPr>
              <w:t>2</w:t>
            </w:r>
            <w:r>
              <w:rPr>
                <w:rFonts w:hint="eastAsia" w:eastAsia="宋体" w:cs="Times New Roman"/>
                <w:color w:val="auto"/>
                <w:spacing w:val="-1"/>
                <w:sz w:val="24"/>
                <w:szCs w:val="24"/>
                <w:lang w:val="en-US" w:eastAsia="zh-CN"/>
              </w:rPr>
              <w:t>2</w:t>
            </w:r>
            <w:r>
              <w:rPr>
                <w:rFonts w:ascii="宋体" w:hAnsi="宋体" w:eastAsia="宋体" w:cs="宋体"/>
                <w:color w:val="auto"/>
                <w:spacing w:val="-1"/>
                <w:sz w:val="24"/>
                <w:szCs w:val="24"/>
              </w:rPr>
              <w:t>年)</w:t>
            </w:r>
            <w:r>
              <w:rPr>
                <w:rFonts w:hint="eastAsia" w:ascii="宋体" w:hAnsi="宋体" w:cs="宋体"/>
                <w:color w:val="auto"/>
                <w:spacing w:val="-1"/>
                <w:sz w:val="24"/>
                <w:szCs w:val="24"/>
                <w:lang w:eastAsia="zh-CN"/>
              </w:rPr>
              <w:t>，</w:t>
            </w:r>
            <w:r>
              <w:rPr>
                <w:color w:val="auto"/>
                <w:kern w:val="0"/>
              </w:rPr>
              <w:t>宿州高新技术产业开发区</w:t>
            </w:r>
            <w:r>
              <w:rPr>
                <w:rFonts w:ascii="Times New Roman" w:hAnsi="Times New Roman"/>
                <w:color w:val="auto"/>
                <w:kern w:val="2"/>
                <w:lang w:eastAsia="zh-CN" w:bidi="ar-SA"/>
              </w:rPr>
              <w:t>环境准入负面清单如下所示：</w:t>
            </w:r>
          </w:p>
          <w:p w14:paraId="6C61FA71">
            <w:pPr>
              <w:jc w:val="center"/>
              <w:rPr>
                <w:b/>
                <w:bCs/>
              </w:rPr>
            </w:pPr>
            <w:r>
              <w:rPr>
                <w:b/>
                <w:bCs/>
              </w:rPr>
              <w:t>表</w:t>
            </w:r>
            <w:r>
              <w:rPr>
                <w:rFonts w:hint="eastAsia"/>
                <w:b/>
                <w:bCs/>
                <w:lang w:val="en-US" w:eastAsia="zh-CN"/>
              </w:rPr>
              <w:t>1.5</w:t>
            </w:r>
            <w:r>
              <w:rPr>
                <w:b/>
                <w:bCs/>
              </w:rPr>
              <w:t xml:space="preserve"> </w:t>
            </w:r>
            <w:r>
              <w:rPr>
                <w:rFonts w:hint="eastAsia"/>
                <w:b/>
                <w:bCs/>
              </w:rPr>
              <w:t xml:space="preserve"> </w:t>
            </w:r>
            <w:r>
              <w:rPr>
                <w:rFonts w:hint="eastAsia"/>
                <w:b/>
                <w:bCs/>
                <w:lang w:val="en-US" w:eastAsia="zh-CN"/>
              </w:rPr>
              <w:t>高新</w:t>
            </w:r>
            <w:r>
              <w:rPr>
                <w:b/>
                <w:bCs/>
              </w:rPr>
              <w:t>区环境准入负面清单表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2"/>
              <w:gridCol w:w="1320"/>
              <w:gridCol w:w="1350"/>
              <w:gridCol w:w="2730"/>
            </w:tblGrid>
            <w:tr w14:paraId="52002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Align w:val="center"/>
                </w:tcPr>
                <w:p w14:paraId="2C30C256">
                  <w:pPr>
                    <w:spacing w:before="68" w:line="221" w:lineRule="auto"/>
                    <w:jc w:val="center"/>
                    <w:rPr>
                      <w:rFonts w:hint="default" w:ascii="Times New Roman" w:hAnsi="Times New Roman" w:eastAsia="宋体" w:cs="Times New Roman"/>
                      <w:b/>
                      <w:bCs/>
                      <w:spacing w:val="-2"/>
                      <w:sz w:val="21"/>
                      <w:szCs w:val="21"/>
                      <w:lang w:val="en-US" w:eastAsia="zh-CN"/>
                    </w:rPr>
                  </w:pPr>
                  <w:r>
                    <w:rPr>
                      <w:rFonts w:hint="eastAsia" w:ascii="Times New Roman" w:hAnsi="Times New Roman" w:eastAsia="宋体" w:cs="Times New Roman"/>
                      <w:b/>
                      <w:bCs/>
                      <w:spacing w:val="-2"/>
                      <w:sz w:val="21"/>
                      <w:szCs w:val="21"/>
                      <w:lang w:val="en-US" w:eastAsia="zh-CN"/>
                    </w:rPr>
                    <w:t>管控类别</w:t>
                  </w:r>
                </w:p>
              </w:tc>
              <w:tc>
                <w:tcPr>
                  <w:tcW w:w="1320" w:type="dxa"/>
                  <w:vAlign w:val="center"/>
                </w:tcPr>
                <w:p w14:paraId="70BED23E">
                  <w:pPr>
                    <w:spacing w:before="68" w:line="221" w:lineRule="auto"/>
                    <w:jc w:val="center"/>
                    <w:rPr>
                      <w:rFonts w:hint="default" w:ascii="Times New Roman" w:hAnsi="Times New Roman" w:eastAsia="宋体" w:cs="Times New Roman"/>
                      <w:b/>
                      <w:bCs/>
                      <w:spacing w:val="-2"/>
                      <w:sz w:val="21"/>
                      <w:szCs w:val="21"/>
                      <w:lang w:val="en-US" w:eastAsia="zh-CN"/>
                    </w:rPr>
                  </w:pPr>
                  <w:r>
                    <w:rPr>
                      <w:rFonts w:hint="eastAsia" w:ascii="Times New Roman" w:hAnsi="Times New Roman" w:eastAsia="宋体" w:cs="Times New Roman"/>
                      <w:b/>
                      <w:bCs/>
                      <w:spacing w:val="-2"/>
                      <w:sz w:val="21"/>
                      <w:szCs w:val="21"/>
                      <w:lang w:val="en-US" w:eastAsia="zh-CN"/>
                    </w:rPr>
                    <w:t>产业类别/工艺</w:t>
                  </w:r>
                </w:p>
              </w:tc>
              <w:tc>
                <w:tcPr>
                  <w:tcW w:w="4080" w:type="dxa"/>
                  <w:gridSpan w:val="2"/>
                  <w:vAlign w:val="center"/>
                </w:tcPr>
                <w:p w14:paraId="68602175">
                  <w:pPr>
                    <w:spacing w:before="68" w:line="221" w:lineRule="auto"/>
                    <w:jc w:val="center"/>
                    <w:rPr>
                      <w:rFonts w:hint="default" w:ascii="Times New Roman" w:hAnsi="Times New Roman" w:eastAsia="宋体" w:cs="Times New Roman"/>
                      <w:b/>
                      <w:bCs/>
                      <w:spacing w:val="-2"/>
                      <w:sz w:val="21"/>
                      <w:szCs w:val="21"/>
                      <w:lang w:val="en-US" w:eastAsia="zh-CN"/>
                    </w:rPr>
                  </w:pPr>
                  <w:r>
                    <w:rPr>
                      <w:rFonts w:hint="eastAsia" w:ascii="Times New Roman" w:hAnsi="Times New Roman" w:eastAsia="宋体" w:cs="Times New Roman"/>
                      <w:b/>
                      <w:bCs/>
                      <w:spacing w:val="-2"/>
                      <w:sz w:val="21"/>
                      <w:szCs w:val="21"/>
                      <w:lang w:val="en-US" w:eastAsia="zh-CN"/>
                    </w:rPr>
                    <w:t>准入要求</w:t>
                  </w:r>
                </w:p>
              </w:tc>
            </w:tr>
            <w:tr w14:paraId="2224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restart"/>
                  <w:vAlign w:val="center"/>
                </w:tcPr>
                <w:p w14:paraId="4A0C6E67">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鼓励类</w:t>
                  </w:r>
                </w:p>
              </w:tc>
              <w:tc>
                <w:tcPr>
                  <w:tcW w:w="1320" w:type="dxa"/>
                  <w:vMerge w:val="restart"/>
                  <w:vAlign w:val="center"/>
                </w:tcPr>
                <w:p w14:paraId="4A8DC7B0">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电子信息</w:t>
                  </w:r>
                </w:p>
              </w:tc>
              <w:tc>
                <w:tcPr>
                  <w:tcW w:w="1350" w:type="dxa"/>
                  <w:vMerge w:val="restart"/>
                  <w:vAlign w:val="center"/>
                </w:tcPr>
                <w:p w14:paraId="0392B0C2">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 计算机、通信和 其他电子设备制造</w:t>
                  </w:r>
                </w:p>
              </w:tc>
              <w:tc>
                <w:tcPr>
                  <w:tcW w:w="2730" w:type="dxa"/>
                  <w:vAlign w:val="center"/>
                </w:tcPr>
                <w:p w14:paraId="32842D4A">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391 计算机制造</w:t>
                  </w:r>
                </w:p>
              </w:tc>
            </w:tr>
            <w:tr w14:paraId="6E37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05B34283">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3F44BBBE">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25AE818E">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2C8C1F56">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392 通信设备制造</w:t>
                  </w:r>
                </w:p>
              </w:tc>
            </w:tr>
            <w:tr w14:paraId="3470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1329803C">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0458890C">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2D6D8F36">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2E787D39">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393 广播电视设备制造</w:t>
                  </w:r>
                </w:p>
              </w:tc>
            </w:tr>
            <w:tr w14:paraId="3A7F4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7F4178E0">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34A486F6">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10A40C02">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4A5158BF">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394 雷达及配套设备制造</w:t>
                  </w:r>
                </w:p>
              </w:tc>
            </w:tr>
            <w:tr w14:paraId="7E64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204D35DD">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493F20E6">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4CF9EA95">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3FC11AF">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395 非专业视听设备制造</w:t>
                  </w:r>
                </w:p>
              </w:tc>
            </w:tr>
            <w:tr w14:paraId="63AC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07F6C4FA">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000AC0C7">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0807B2F6">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174FE7B">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396 智能消费设备制造</w:t>
                  </w:r>
                </w:p>
              </w:tc>
            </w:tr>
            <w:tr w14:paraId="3C95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77879409">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56F22857">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6E2F3596">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6ACD7268">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397 电子器件制造</w:t>
                  </w:r>
                </w:p>
              </w:tc>
            </w:tr>
            <w:tr w14:paraId="34F6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9090441">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4E795D39">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4BA9A294">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10AEB67">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398 电子元件及电子专用材料制造</w:t>
                  </w:r>
                </w:p>
              </w:tc>
            </w:tr>
            <w:tr w14:paraId="74D1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1AA7F1F3">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1189F4D5">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718FFFE1">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6C568A3C">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399 其他电子设备制造</w:t>
                  </w:r>
                </w:p>
              </w:tc>
            </w:tr>
            <w:tr w14:paraId="0DF0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201FD96B">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641FAE47">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restart"/>
                  <w:vAlign w:val="center"/>
                </w:tcPr>
                <w:p w14:paraId="220B6F89">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 电器机械和器材 制造业</w:t>
                  </w:r>
                </w:p>
              </w:tc>
              <w:tc>
                <w:tcPr>
                  <w:tcW w:w="2730" w:type="dxa"/>
                  <w:vAlign w:val="center"/>
                </w:tcPr>
                <w:p w14:paraId="2B1E174E">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381 电机制造</w:t>
                  </w:r>
                </w:p>
              </w:tc>
            </w:tr>
            <w:tr w14:paraId="71CC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795424E2">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08235B08">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44D47E3D">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80ECC2A">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382 输配电及控制设备制造</w:t>
                  </w:r>
                </w:p>
              </w:tc>
            </w:tr>
            <w:tr w14:paraId="349D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8F20D6D">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52036532">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2576D4A0">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506FA30">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383 电线、电缆、光缆及电工器材制造</w:t>
                  </w:r>
                </w:p>
              </w:tc>
            </w:tr>
            <w:tr w14:paraId="7B0E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245BE0C">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1FA451AC">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5435A380">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8DBD70A">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385 家用电力器具制造</w:t>
                  </w:r>
                </w:p>
              </w:tc>
            </w:tr>
            <w:tr w14:paraId="4E48B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740AF92A">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47B6B6F8">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75E2D011">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60DDB9F8">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386 非电力家用器具制造</w:t>
                  </w:r>
                </w:p>
              </w:tc>
            </w:tr>
            <w:tr w14:paraId="6665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F1AE6CA">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009852BF">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3ECE6701">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9431623">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387 照明器具制造</w:t>
                  </w:r>
                </w:p>
              </w:tc>
            </w:tr>
            <w:tr w14:paraId="5687A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E1955E0">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1D5EDFAC">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78DF8166">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63B52F8C">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389 其他电气机械及器材制造</w:t>
                  </w:r>
                </w:p>
              </w:tc>
            </w:tr>
            <w:tr w14:paraId="3D513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273C2725">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restart"/>
                  <w:vAlign w:val="center"/>
                </w:tcPr>
                <w:p w14:paraId="1D950958">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新材料、新能源</w:t>
                  </w:r>
                </w:p>
              </w:tc>
              <w:tc>
                <w:tcPr>
                  <w:tcW w:w="1350" w:type="dxa"/>
                  <w:vMerge w:val="restart"/>
                  <w:vAlign w:val="center"/>
                </w:tcPr>
                <w:p w14:paraId="47D4DD84">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30 非金属矿制业</w:t>
                  </w:r>
                </w:p>
              </w:tc>
              <w:tc>
                <w:tcPr>
                  <w:tcW w:w="2730" w:type="dxa"/>
                  <w:vAlign w:val="center"/>
                </w:tcPr>
                <w:p w14:paraId="30A50830">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309 石墨及其他非金属矿物制品制造</w:t>
                  </w:r>
                </w:p>
              </w:tc>
            </w:tr>
            <w:tr w14:paraId="6EBD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3B22A90">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Merge w:val="continue"/>
                  <w:vAlign w:val="center"/>
                </w:tcPr>
                <w:p w14:paraId="38647DDF">
                  <w:pPr>
                    <w:spacing w:before="68" w:line="221" w:lineRule="auto"/>
                    <w:jc w:val="center"/>
                    <w:rPr>
                      <w:rFonts w:hint="default" w:ascii="Times New Roman" w:hAnsi="Times New Roman" w:eastAsia="宋体" w:cs="Times New Roman"/>
                      <w:spacing w:val="-2"/>
                      <w:sz w:val="21"/>
                      <w:szCs w:val="21"/>
                      <w:lang w:val="en-US" w:eastAsia="zh-CN"/>
                    </w:rPr>
                  </w:pPr>
                </w:p>
              </w:tc>
              <w:tc>
                <w:tcPr>
                  <w:tcW w:w="1350" w:type="dxa"/>
                  <w:vMerge w:val="continue"/>
                  <w:vAlign w:val="center"/>
                </w:tcPr>
                <w:p w14:paraId="7BE607C8">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6977B71B">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305 玻璃制品制造</w:t>
                  </w:r>
                </w:p>
              </w:tc>
            </w:tr>
            <w:tr w14:paraId="63916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2" w:type="dxa"/>
                  <w:vMerge w:val="continue"/>
                  <w:vAlign w:val="center"/>
                </w:tcPr>
                <w:p w14:paraId="68EDDB2C">
                  <w:pPr>
                    <w:spacing w:before="68" w:line="221" w:lineRule="auto"/>
                    <w:jc w:val="center"/>
                    <w:rPr>
                      <w:rFonts w:hint="default" w:ascii="Times New Roman" w:hAnsi="Times New Roman" w:eastAsia="宋体" w:cs="Times New Roman"/>
                      <w:spacing w:val="-2"/>
                      <w:sz w:val="21"/>
                      <w:szCs w:val="21"/>
                      <w:lang w:val="en-US" w:eastAsia="zh-CN"/>
                    </w:rPr>
                  </w:pPr>
                </w:p>
              </w:tc>
              <w:tc>
                <w:tcPr>
                  <w:tcW w:w="1320" w:type="dxa"/>
                  <w:vAlign w:val="center"/>
                </w:tcPr>
                <w:p w14:paraId="511883EB">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生命科学产业</w:t>
                  </w:r>
                </w:p>
              </w:tc>
              <w:tc>
                <w:tcPr>
                  <w:tcW w:w="1350" w:type="dxa"/>
                  <w:vAlign w:val="center"/>
                </w:tcPr>
                <w:p w14:paraId="4A3B107E">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73 研究和试验发展</w:t>
                  </w:r>
                </w:p>
              </w:tc>
              <w:tc>
                <w:tcPr>
                  <w:tcW w:w="2730" w:type="dxa"/>
                  <w:vAlign w:val="center"/>
                </w:tcPr>
                <w:p w14:paraId="724BC116">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734 医学研究和试验发展</w:t>
                  </w:r>
                </w:p>
              </w:tc>
            </w:tr>
            <w:tr w14:paraId="3E97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restart"/>
                  <w:vAlign w:val="center"/>
                </w:tcPr>
                <w:p w14:paraId="4F9F2E84">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禁止类</w:t>
                  </w:r>
                </w:p>
              </w:tc>
              <w:tc>
                <w:tcPr>
                  <w:tcW w:w="2670" w:type="dxa"/>
                  <w:gridSpan w:val="2"/>
                  <w:vAlign w:val="center"/>
                </w:tcPr>
                <w:p w14:paraId="64DF31A0">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22 造纸和纸制品</w:t>
                  </w:r>
                </w:p>
              </w:tc>
              <w:tc>
                <w:tcPr>
                  <w:tcW w:w="2730" w:type="dxa"/>
                  <w:vAlign w:val="center"/>
                </w:tcPr>
                <w:p w14:paraId="21FF2E35">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221 纸浆制造</w:t>
                  </w:r>
                </w:p>
              </w:tc>
            </w:tr>
            <w:tr w14:paraId="7047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7911CC4">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restart"/>
                  <w:vAlign w:val="center"/>
                </w:tcPr>
                <w:p w14:paraId="4A2CB472">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26 化学原料和化学制品制造业</w:t>
                  </w:r>
                </w:p>
              </w:tc>
              <w:tc>
                <w:tcPr>
                  <w:tcW w:w="2730" w:type="dxa"/>
                  <w:vAlign w:val="center"/>
                </w:tcPr>
                <w:p w14:paraId="7D6AF26E">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263 农药制造</w:t>
                  </w:r>
                </w:p>
              </w:tc>
            </w:tr>
            <w:tr w14:paraId="1BE94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73827DD">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3525DABC">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91D7D21">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264 涂料、油墨、颜料及类似产品制造</w:t>
                  </w:r>
                </w:p>
              </w:tc>
            </w:tr>
            <w:tr w14:paraId="2ED7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4DB1655">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3351E7CD">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74843A77">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265 合成材料制造</w:t>
                  </w:r>
                </w:p>
              </w:tc>
            </w:tr>
            <w:tr w14:paraId="32EB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34824DC5">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5928A37E">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75167414">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266 专用化学产品制造</w:t>
                  </w:r>
                </w:p>
              </w:tc>
            </w:tr>
            <w:tr w14:paraId="2D2D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2" w:type="dxa"/>
                  <w:vMerge w:val="continue"/>
                  <w:vAlign w:val="center"/>
                </w:tcPr>
                <w:p w14:paraId="4EE3CCAB">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14B1F594">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7EDBC0F1">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268 日用化学产品制造</w:t>
                  </w:r>
                </w:p>
              </w:tc>
            </w:tr>
            <w:tr w14:paraId="3EE4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2" w:type="dxa"/>
                  <w:vMerge w:val="continue"/>
                  <w:vAlign w:val="center"/>
                </w:tcPr>
                <w:p w14:paraId="4C3F325E">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restart"/>
                  <w:vAlign w:val="center"/>
                </w:tcPr>
                <w:p w14:paraId="43B9B6B2">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27 医药制造业</w:t>
                  </w:r>
                </w:p>
              </w:tc>
              <w:tc>
                <w:tcPr>
                  <w:tcW w:w="2730" w:type="dxa"/>
                  <w:vAlign w:val="center"/>
                </w:tcPr>
                <w:p w14:paraId="204704E3">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271 化学药品原药制造</w:t>
                  </w:r>
                </w:p>
              </w:tc>
            </w:tr>
            <w:tr w14:paraId="19D3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2BF7D21">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3D39667B">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381041D">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274 中成药制造</w:t>
                  </w:r>
                </w:p>
              </w:tc>
            </w:tr>
            <w:tr w14:paraId="217A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1EBAC556">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732E54FD">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7FD2B3C8">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275 兽用药品制造</w:t>
                  </w:r>
                </w:p>
              </w:tc>
            </w:tr>
            <w:tr w14:paraId="52D6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4B7AF745">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3C439030">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624A0848">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276 生物、生化品的制造</w:t>
                  </w:r>
                </w:p>
              </w:tc>
            </w:tr>
            <w:tr w14:paraId="3831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2" w:type="dxa"/>
                  <w:vMerge w:val="continue"/>
                  <w:vAlign w:val="center"/>
                </w:tcPr>
                <w:p w14:paraId="5A062CA3">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47460BB9">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EEDA8F2">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27 卫生材料及医药用品制造</w:t>
                  </w:r>
                </w:p>
              </w:tc>
            </w:tr>
            <w:tr w14:paraId="609BE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CB08117">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restart"/>
                  <w:vAlign w:val="center"/>
                </w:tcPr>
                <w:p w14:paraId="2B4F22B0">
                  <w:pPr>
                    <w:spacing w:before="68" w:line="221" w:lineRule="auto"/>
                    <w:jc w:val="center"/>
                    <w:rPr>
                      <w:rFonts w:hint="default" w:ascii="Times New Roman" w:hAnsi="Times New Roman" w:eastAsia="宋体" w:cs="Times New Roman"/>
                      <w:spacing w:val="-2"/>
                      <w:sz w:val="21"/>
                      <w:szCs w:val="21"/>
                      <w:lang w:val="en-US" w:eastAsia="zh-CN"/>
                    </w:rPr>
                  </w:pPr>
                </w:p>
                <w:p w14:paraId="749009E2">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31 黑色金属冶炼和压延加工业</w:t>
                  </w:r>
                </w:p>
              </w:tc>
              <w:tc>
                <w:tcPr>
                  <w:tcW w:w="2730" w:type="dxa"/>
                  <w:vAlign w:val="center"/>
                </w:tcPr>
                <w:p w14:paraId="3ECB34F5">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31 炼铁</w:t>
                  </w:r>
                </w:p>
              </w:tc>
            </w:tr>
            <w:tr w14:paraId="5545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08AC3361">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54DB84F4">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40534E5">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32 炼钢</w:t>
                  </w:r>
                </w:p>
              </w:tc>
            </w:tr>
            <w:tr w14:paraId="3125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7660D6EF">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469CE7DE">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39E23AEF">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314 铁合金冶炼</w:t>
                  </w:r>
                </w:p>
              </w:tc>
            </w:tr>
            <w:tr w14:paraId="08E6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4EE686B4">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restart"/>
                  <w:vAlign w:val="center"/>
                </w:tcPr>
                <w:p w14:paraId="745623AE">
                  <w:pPr>
                    <w:spacing w:before="68" w:line="221" w:lineRule="auto"/>
                    <w:jc w:val="center"/>
                    <w:rPr>
                      <w:rFonts w:hint="default" w:ascii="Times New Roman" w:hAnsi="Times New Roman" w:eastAsia="宋体" w:cs="Times New Roman"/>
                      <w:spacing w:val="-2"/>
                      <w:sz w:val="21"/>
                      <w:szCs w:val="21"/>
                      <w:lang w:val="en-US" w:eastAsia="zh-CN"/>
                    </w:rPr>
                  </w:pPr>
                </w:p>
                <w:p w14:paraId="0C8951A0">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32 有色金属冶炼和压延加工业</w:t>
                  </w:r>
                </w:p>
              </w:tc>
              <w:tc>
                <w:tcPr>
                  <w:tcW w:w="2730" w:type="dxa"/>
                  <w:vAlign w:val="center"/>
                </w:tcPr>
                <w:p w14:paraId="7D8B120B">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321 常用有色金属治炼</w:t>
                  </w:r>
                </w:p>
              </w:tc>
            </w:tr>
            <w:tr w14:paraId="35C28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9B7FE9B">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42B6556D">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9C9CA25">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322 贵金属冶炼</w:t>
                  </w:r>
                </w:p>
              </w:tc>
            </w:tr>
            <w:tr w14:paraId="576E2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D39E198">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092BC2D2">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1ECFA90A">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323 稀有稀土金属冶炼</w:t>
                  </w:r>
                </w:p>
              </w:tc>
            </w:tr>
            <w:tr w14:paraId="28E2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2" w:type="dxa"/>
                  <w:vMerge w:val="continue"/>
                  <w:vAlign w:val="center"/>
                </w:tcPr>
                <w:p w14:paraId="225E3E9C">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Merge w:val="continue"/>
                  <w:vAlign w:val="center"/>
                </w:tcPr>
                <w:p w14:paraId="510DDA53">
                  <w:pPr>
                    <w:spacing w:before="68" w:line="221" w:lineRule="auto"/>
                    <w:jc w:val="center"/>
                    <w:rPr>
                      <w:rFonts w:hint="default" w:ascii="Times New Roman" w:hAnsi="Times New Roman" w:eastAsia="宋体" w:cs="Times New Roman"/>
                      <w:spacing w:val="-2"/>
                      <w:sz w:val="21"/>
                      <w:szCs w:val="21"/>
                      <w:lang w:val="en-US" w:eastAsia="zh-CN"/>
                    </w:rPr>
                  </w:pPr>
                </w:p>
              </w:tc>
              <w:tc>
                <w:tcPr>
                  <w:tcW w:w="2730" w:type="dxa"/>
                  <w:vAlign w:val="center"/>
                </w:tcPr>
                <w:p w14:paraId="534C30CD">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324 有色金属合金冶炼</w:t>
                  </w:r>
                </w:p>
              </w:tc>
            </w:tr>
            <w:tr w14:paraId="0CDF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7D5AE38A">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Align w:val="center"/>
                </w:tcPr>
                <w:p w14:paraId="535C7BE6">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08 黑色金属矿采选业</w:t>
                  </w:r>
                </w:p>
              </w:tc>
              <w:tc>
                <w:tcPr>
                  <w:tcW w:w="2730" w:type="dxa"/>
                  <w:vAlign w:val="center"/>
                </w:tcPr>
                <w:p w14:paraId="3FAD22C1">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082 锰矿、铬矿采选</w:t>
                  </w:r>
                </w:p>
              </w:tc>
            </w:tr>
            <w:tr w14:paraId="2D9A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1D773CB9">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Align w:val="center"/>
                </w:tcPr>
                <w:p w14:paraId="152FEE32">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09 有但金属采选业</w:t>
                  </w:r>
                </w:p>
              </w:tc>
              <w:tc>
                <w:tcPr>
                  <w:tcW w:w="2730" w:type="dxa"/>
                  <w:vAlign w:val="center"/>
                </w:tcPr>
                <w:p w14:paraId="5FE92A08">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091 常用有色金属采选</w:t>
                  </w:r>
                </w:p>
              </w:tc>
            </w:tr>
            <w:tr w14:paraId="38EB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47EFB9AE">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Align w:val="center"/>
                </w:tcPr>
                <w:p w14:paraId="22CA46BC">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06 煤炭开采洗选业</w:t>
                  </w:r>
                </w:p>
              </w:tc>
              <w:tc>
                <w:tcPr>
                  <w:tcW w:w="2730" w:type="dxa"/>
                  <w:vAlign w:val="center"/>
                </w:tcPr>
                <w:p w14:paraId="17779D2A">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069 其他煤炭采选</w:t>
                  </w:r>
                </w:p>
              </w:tc>
            </w:tr>
            <w:tr w14:paraId="548B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39A38DAB">
                  <w:pPr>
                    <w:spacing w:before="68" w:line="221" w:lineRule="auto"/>
                    <w:jc w:val="center"/>
                    <w:rPr>
                      <w:rFonts w:hint="default" w:ascii="Times New Roman" w:hAnsi="Times New Roman" w:eastAsia="宋体" w:cs="Times New Roman"/>
                      <w:spacing w:val="-2"/>
                      <w:sz w:val="21"/>
                      <w:szCs w:val="21"/>
                      <w:lang w:val="en-US" w:eastAsia="zh-CN"/>
                    </w:rPr>
                  </w:pPr>
                </w:p>
              </w:tc>
              <w:tc>
                <w:tcPr>
                  <w:tcW w:w="2670" w:type="dxa"/>
                  <w:gridSpan w:val="2"/>
                  <w:vAlign w:val="center"/>
                </w:tcPr>
                <w:p w14:paraId="399865F5">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10 非金属矿采选业</w:t>
                  </w:r>
                </w:p>
              </w:tc>
              <w:tc>
                <w:tcPr>
                  <w:tcW w:w="2730" w:type="dxa"/>
                  <w:vAlign w:val="center"/>
                </w:tcPr>
                <w:p w14:paraId="4E93820E">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109 石棉及其他非金属矿采选</w:t>
                  </w:r>
                </w:p>
              </w:tc>
            </w:tr>
            <w:tr w14:paraId="28C7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63E80FAD">
                  <w:pPr>
                    <w:spacing w:before="68" w:line="221" w:lineRule="auto"/>
                    <w:jc w:val="center"/>
                    <w:rPr>
                      <w:rFonts w:hint="default" w:ascii="Times New Roman" w:hAnsi="Times New Roman" w:eastAsia="宋体" w:cs="Times New Roman"/>
                      <w:spacing w:val="-2"/>
                      <w:sz w:val="21"/>
                      <w:szCs w:val="21"/>
                      <w:lang w:val="en-US" w:eastAsia="zh-CN"/>
                    </w:rPr>
                  </w:pPr>
                </w:p>
              </w:tc>
              <w:tc>
                <w:tcPr>
                  <w:tcW w:w="5400" w:type="dxa"/>
                  <w:gridSpan w:val="3"/>
                  <w:vAlign w:val="center"/>
                </w:tcPr>
                <w:p w14:paraId="2487279F">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禁止引入专门从事印染、 制革等重污染的生产的项目。</w:t>
                  </w:r>
                </w:p>
              </w:tc>
            </w:tr>
            <w:tr w14:paraId="3815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512D2A97">
                  <w:pPr>
                    <w:spacing w:before="68" w:line="221" w:lineRule="auto"/>
                    <w:jc w:val="center"/>
                    <w:rPr>
                      <w:rFonts w:hint="default" w:ascii="Times New Roman" w:hAnsi="Times New Roman" w:eastAsia="宋体" w:cs="Times New Roman"/>
                      <w:spacing w:val="-2"/>
                      <w:sz w:val="21"/>
                      <w:szCs w:val="21"/>
                      <w:lang w:val="en-US" w:eastAsia="zh-CN"/>
                    </w:rPr>
                  </w:pPr>
                </w:p>
              </w:tc>
              <w:tc>
                <w:tcPr>
                  <w:tcW w:w="5400" w:type="dxa"/>
                  <w:gridSpan w:val="3"/>
                  <w:vAlign w:val="center"/>
                </w:tcPr>
                <w:p w14:paraId="1701957D">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禁止引入列入《产业结构调整指导目录</w:t>
                  </w:r>
                  <w:r>
                    <w:rPr>
                      <w:rFonts w:hint="eastAsia" w:ascii="Times New Roman" w:hAnsi="Times New Roman" w:eastAsia="宋体" w:cs="Times New Roman"/>
                      <w:spacing w:val="-2"/>
                      <w:sz w:val="21"/>
                      <w:szCs w:val="21"/>
                      <w:lang w:val="en-US" w:eastAsia="zh-CN"/>
                    </w:rPr>
                    <w:t>（</w:t>
                  </w:r>
                  <w:r>
                    <w:rPr>
                      <w:rFonts w:hint="default" w:ascii="Times New Roman" w:hAnsi="Times New Roman" w:eastAsia="宋体" w:cs="Times New Roman"/>
                      <w:spacing w:val="-2"/>
                      <w:sz w:val="21"/>
                      <w:szCs w:val="21"/>
                      <w:lang w:val="en-US" w:eastAsia="zh-CN"/>
                    </w:rPr>
                    <w:t>2019年本</w:t>
                  </w:r>
                  <w:r>
                    <w:rPr>
                      <w:rFonts w:hint="eastAsia" w:ascii="Times New Roman" w:hAnsi="Times New Roman" w:eastAsia="宋体" w:cs="Times New Roman"/>
                      <w:spacing w:val="-2"/>
                      <w:sz w:val="21"/>
                      <w:szCs w:val="21"/>
                      <w:lang w:val="en-US" w:eastAsia="zh-CN"/>
                    </w:rPr>
                    <w:t>）</w:t>
                  </w:r>
                  <w:r>
                    <w:rPr>
                      <w:rFonts w:hint="default" w:ascii="Times New Roman" w:hAnsi="Times New Roman" w:eastAsia="宋体" w:cs="Times New Roman"/>
                      <w:spacing w:val="-2"/>
                      <w:sz w:val="21"/>
                      <w:szCs w:val="21"/>
                      <w:lang w:val="en-US" w:eastAsia="zh-CN"/>
                    </w:rPr>
                    <w:t>》、《外商投资产业指导目录</w:t>
                  </w:r>
                  <w:r>
                    <w:rPr>
                      <w:rFonts w:hint="eastAsia" w:ascii="Times New Roman" w:hAnsi="Times New Roman" w:eastAsia="宋体" w:cs="Times New Roman"/>
                      <w:spacing w:val="-2"/>
                      <w:sz w:val="21"/>
                      <w:szCs w:val="21"/>
                      <w:lang w:val="en-US" w:eastAsia="zh-CN"/>
                    </w:rPr>
                    <w:t>（</w:t>
                  </w:r>
                  <w:r>
                    <w:rPr>
                      <w:rFonts w:hint="default" w:ascii="Times New Roman" w:hAnsi="Times New Roman" w:eastAsia="宋体" w:cs="Times New Roman"/>
                      <w:spacing w:val="-2"/>
                      <w:sz w:val="21"/>
                      <w:szCs w:val="21"/>
                      <w:lang w:val="en-US" w:eastAsia="zh-CN"/>
                    </w:rPr>
                    <w:t>2017年修订</w:t>
                  </w:r>
                  <w:r>
                    <w:rPr>
                      <w:rFonts w:hint="eastAsia" w:ascii="Times New Roman" w:hAnsi="Times New Roman" w:eastAsia="宋体" w:cs="Times New Roman"/>
                      <w:spacing w:val="-2"/>
                      <w:sz w:val="21"/>
                      <w:szCs w:val="21"/>
                      <w:lang w:val="en-US" w:eastAsia="zh-CN"/>
                    </w:rPr>
                    <w:t>）</w:t>
                  </w:r>
                  <w:r>
                    <w:rPr>
                      <w:rFonts w:hint="default" w:ascii="Times New Roman" w:hAnsi="Times New Roman" w:eastAsia="宋体" w:cs="Times New Roman"/>
                      <w:spacing w:val="-2"/>
                      <w:sz w:val="21"/>
                      <w:szCs w:val="21"/>
                      <w:lang w:val="en-US" w:eastAsia="zh-CN"/>
                    </w:rPr>
                    <w:t>、《市场准入负面清单</w:t>
                  </w:r>
                  <w:r>
                    <w:rPr>
                      <w:rFonts w:hint="eastAsia" w:ascii="Times New Roman" w:hAnsi="Times New Roman" w:eastAsia="宋体" w:cs="Times New Roman"/>
                      <w:spacing w:val="-2"/>
                      <w:sz w:val="21"/>
                      <w:szCs w:val="21"/>
                      <w:lang w:val="en-US" w:eastAsia="zh-CN"/>
                    </w:rPr>
                    <w:t>（</w:t>
                  </w:r>
                  <w:r>
                    <w:rPr>
                      <w:rFonts w:hint="default" w:ascii="Times New Roman" w:hAnsi="Times New Roman" w:eastAsia="宋体" w:cs="Times New Roman"/>
                      <w:spacing w:val="-2"/>
                      <w:sz w:val="21"/>
                      <w:szCs w:val="21"/>
                      <w:lang w:val="en-US" w:eastAsia="zh-CN"/>
                    </w:rPr>
                    <w:t>2020年版</w:t>
                  </w:r>
                  <w:r>
                    <w:rPr>
                      <w:rFonts w:hint="eastAsia" w:ascii="Times New Roman" w:hAnsi="Times New Roman" w:eastAsia="宋体" w:cs="Times New Roman"/>
                      <w:spacing w:val="-2"/>
                      <w:sz w:val="21"/>
                      <w:szCs w:val="21"/>
                      <w:lang w:val="en-US" w:eastAsia="zh-CN"/>
                    </w:rPr>
                    <w:t>）</w:t>
                  </w:r>
                  <w:r>
                    <w:rPr>
                      <w:rFonts w:hint="default" w:ascii="Times New Roman" w:hAnsi="Times New Roman" w:eastAsia="宋体" w:cs="Times New Roman"/>
                      <w:spacing w:val="-2"/>
                      <w:sz w:val="21"/>
                      <w:szCs w:val="21"/>
                      <w:lang w:val="en-US" w:eastAsia="zh-CN"/>
                    </w:rPr>
                    <w:t>》等相关产业政策中禁止或淘汰类项目、产品、工艺和设备</w:t>
                  </w:r>
                </w:p>
              </w:tc>
            </w:tr>
            <w:tr w14:paraId="6808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62" w:type="dxa"/>
                  <w:vMerge w:val="continue"/>
                  <w:vAlign w:val="center"/>
                </w:tcPr>
                <w:p w14:paraId="416EDEA3">
                  <w:pPr>
                    <w:spacing w:before="68" w:line="221" w:lineRule="auto"/>
                    <w:jc w:val="center"/>
                    <w:rPr>
                      <w:rFonts w:hint="default" w:ascii="Times New Roman" w:hAnsi="Times New Roman" w:eastAsia="宋体" w:cs="Times New Roman"/>
                      <w:spacing w:val="-2"/>
                      <w:sz w:val="21"/>
                      <w:szCs w:val="21"/>
                      <w:lang w:val="en-US" w:eastAsia="zh-CN"/>
                    </w:rPr>
                  </w:pPr>
                </w:p>
              </w:tc>
              <w:tc>
                <w:tcPr>
                  <w:tcW w:w="5400" w:type="dxa"/>
                  <w:gridSpan w:val="3"/>
                  <w:vAlign w:val="center"/>
                </w:tcPr>
                <w:p w14:paraId="24A71315">
                  <w:pPr>
                    <w:spacing w:before="68" w:line="221" w:lineRule="auto"/>
                    <w:jc w:val="center"/>
                    <w:rPr>
                      <w:rFonts w:hint="default" w:ascii="Times New Roman" w:hAnsi="Times New Roman" w:eastAsia="宋体" w:cs="Times New Roman"/>
                      <w:spacing w:val="-2"/>
                      <w:sz w:val="21"/>
                      <w:szCs w:val="21"/>
                      <w:lang w:val="en-US" w:eastAsia="zh-CN"/>
                    </w:rPr>
                  </w:pPr>
                  <w:r>
                    <w:rPr>
                      <w:rFonts w:hint="default" w:ascii="Times New Roman" w:hAnsi="Times New Roman" w:eastAsia="宋体" w:cs="Times New Roman"/>
                      <w:spacing w:val="-2"/>
                      <w:sz w:val="21"/>
                      <w:szCs w:val="21"/>
                      <w:lang w:val="en-US" w:eastAsia="zh-CN"/>
                    </w:rPr>
                    <w:t>禁止新建、扩建不符合国家产能置换要求的严重过剩产能行业的项目。</w:t>
                  </w:r>
                </w:p>
              </w:tc>
            </w:tr>
            <w:tr w14:paraId="350D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2" w:type="dxa"/>
                  <w:vAlign w:val="center"/>
                </w:tcPr>
                <w:p w14:paraId="7285E5CD">
                  <w:pPr>
                    <w:spacing w:before="68" w:line="221" w:lineRule="auto"/>
                    <w:jc w:val="center"/>
                    <w:rPr>
                      <w:rFonts w:hint="default" w:ascii="Times New Roman" w:hAnsi="Times New Roman" w:eastAsia="宋体" w:cs="Times New Roman"/>
                      <w:spacing w:val="-2"/>
                      <w:sz w:val="21"/>
                      <w:szCs w:val="21"/>
                      <w:lang w:val="en-US" w:eastAsia="zh-CN"/>
                    </w:rPr>
                  </w:pPr>
                  <w:r>
                    <w:rPr>
                      <w:rFonts w:hint="eastAsia" w:ascii="Times New Roman" w:hAnsi="Times New Roman" w:eastAsia="宋体" w:cs="Times New Roman"/>
                      <w:spacing w:val="-2"/>
                      <w:sz w:val="21"/>
                      <w:szCs w:val="21"/>
                      <w:lang w:val="en-US" w:eastAsia="zh-CN"/>
                    </w:rPr>
                    <w:t>限制类</w:t>
                  </w:r>
                </w:p>
              </w:tc>
              <w:tc>
                <w:tcPr>
                  <w:tcW w:w="5400" w:type="dxa"/>
                  <w:gridSpan w:val="3"/>
                  <w:vAlign w:val="center"/>
                </w:tcPr>
                <w:p w14:paraId="39C3146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spacing w:val="-2"/>
                      <w:sz w:val="21"/>
                      <w:szCs w:val="21"/>
                      <w:lang w:val="en-US" w:eastAsia="zh-CN"/>
                    </w:rPr>
                  </w:pPr>
                  <w:r>
                    <w:rPr>
                      <w:rFonts w:ascii="宋体" w:hAnsi="宋体" w:eastAsia="宋体" w:cs="宋体"/>
                      <w:spacing w:val="-6"/>
                      <w:sz w:val="21"/>
                      <w:szCs w:val="21"/>
                    </w:rPr>
                    <w:t>限制发展能源</w:t>
                  </w:r>
                  <w:r>
                    <w:rPr>
                      <w:rFonts w:ascii="宋体" w:hAnsi="宋体" w:eastAsia="宋体" w:cs="宋体"/>
                      <w:spacing w:val="-4"/>
                      <w:sz w:val="21"/>
                      <w:szCs w:val="21"/>
                    </w:rPr>
                    <w:t>、</w:t>
                  </w:r>
                  <w:r>
                    <w:rPr>
                      <w:rFonts w:ascii="宋体" w:hAnsi="宋体" w:eastAsia="宋体" w:cs="宋体"/>
                      <w:spacing w:val="-3"/>
                      <w:sz w:val="21"/>
                      <w:szCs w:val="21"/>
                    </w:rPr>
                    <w:t>资源消耗量或排污量较大但效益相对较好的企业，主要为除</w:t>
                  </w:r>
                  <w:r>
                    <w:rPr>
                      <w:rFonts w:ascii="宋体" w:hAnsi="宋体" w:eastAsia="宋体" w:cs="宋体"/>
                      <w:spacing w:val="-6"/>
                      <w:sz w:val="21"/>
                      <w:szCs w:val="21"/>
                    </w:rPr>
                    <w:t>开发</w:t>
                  </w:r>
                  <w:r>
                    <w:rPr>
                      <w:rFonts w:ascii="宋体" w:hAnsi="宋体" w:eastAsia="宋体" w:cs="宋体"/>
                      <w:spacing w:val="-3"/>
                      <w:sz w:val="21"/>
                      <w:szCs w:val="21"/>
                    </w:rPr>
                    <w:t>区规划三大主导产业及服装产业外、非禁止类项目，具体项目引入需经</w:t>
                  </w:r>
                  <w:r>
                    <w:rPr>
                      <w:rFonts w:ascii="宋体" w:hAnsi="宋体" w:eastAsia="宋体" w:cs="宋体"/>
                      <w:spacing w:val="-1"/>
                      <w:sz w:val="21"/>
                      <w:szCs w:val="21"/>
                    </w:rPr>
                    <w:t>充分环境</w:t>
                  </w:r>
                  <w:r>
                    <w:rPr>
                      <w:rFonts w:ascii="宋体" w:hAnsi="宋体" w:eastAsia="宋体" w:cs="宋体"/>
                      <w:sz w:val="21"/>
                      <w:szCs w:val="21"/>
                    </w:rPr>
                    <w:t>影响论证。与主导产业相符的</w:t>
                  </w:r>
                  <w:r>
                    <w:rPr>
                      <w:rFonts w:hint="eastAsia" w:ascii="宋体" w:hAnsi="宋体" w:eastAsia="宋体" w:cs="宋体"/>
                      <w:sz w:val="21"/>
                      <w:szCs w:val="21"/>
                      <w:lang w:eastAsia="zh-CN"/>
                    </w:rPr>
                    <w:t>“</w:t>
                  </w:r>
                  <w:r>
                    <w:rPr>
                      <w:rFonts w:ascii="宋体" w:hAnsi="宋体" w:eastAsia="宋体" w:cs="宋体"/>
                      <w:sz w:val="21"/>
                      <w:szCs w:val="21"/>
                    </w:rPr>
                    <w:t>两高</w:t>
                  </w:r>
                  <w:r>
                    <w:rPr>
                      <w:rFonts w:hint="eastAsia" w:ascii="宋体" w:hAnsi="宋体" w:eastAsia="宋体" w:cs="宋体"/>
                      <w:sz w:val="21"/>
                      <w:szCs w:val="21"/>
                      <w:lang w:eastAsia="zh-CN"/>
                    </w:rPr>
                    <w:t>”</w:t>
                  </w:r>
                  <w:r>
                    <w:rPr>
                      <w:rFonts w:ascii="宋体" w:hAnsi="宋体" w:eastAsia="宋体" w:cs="宋体"/>
                      <w:sz w:val="21"/>
                      <w:szCs w:val="21"/>
                    </w:rPr>
                    <w:t>项目需按照国家及安徽省相关</w:t>
                  </w:r>
                  <w:r>
                    <w:rPr>
                      <w:rFonts w:ascii="宋体" w:hAnsi="宋体" w:eastAsia="宋体" w:cs="宋体"/>
                      <w:spacing w:val="-6"/>
                      <w:sz w:val="21"/>
                      <w:szCs w:val="21"/>
                    </w:rPr>
                    <w:t>政</w:t>
                  </w:r>
                  <w:r>
                    <w:rPr>
                      <w:rFonts w:ascii="宋体" w:hAnsi="宋体" w:eastAsia="宋体" w:cs="宋体"/>
                      <w:spacing w:val="-4"/>
                      <w:sz w:val="21"/>
                      <w:szCs w:val="21"/>
                    </w:rPr>
                    <w:t>策</w:t>
                  </w:r>
                  <w:r>
                    <w:rPr>
                      <w:rFonts w:ascii="宋体" w:hAnsi="宋体" w:eastAsia="宋体" w:cs="宋体"/>
                      <w:spacing w:val="-3"/>
                      <w:sz w:val="21"/>
                      <w:szCs w:val="21"/>
                    </w:rPr>
                    <w:t>要求严格控制引入，并经过环境影响充分论证。区内部分紧邻规划居住</w:t>
                  </w:r>
                  <w:r>
                    <w:rPr>
                      <w:rFonts w:ascii="宋体" w:hAnsi="宋体" w:eastAsia="宋体" w:cs="宋体"/>
                      <w:spacing w:val="-1"/>
                      <w:sz w:val="21"/>
                      <w:szCs w:val="21"/>
                    </w:rPr>
                    <w:t>用地等</w:t>
                  </w:r>
                  <w:r>
                    <w:rPr>
                      <w:rFonts w:ascii="宋体" w:hAnsi="宋体" w:eastAsia="宋体" w:cs="宋体"/>
                      <w:sz w:val="21"/>
                      <w:szCs w:val="21"/>
                    </w:rPr>
                    <w:t>环境敏感目标的工业用地，严格限制涉及便用危险化学品的企业进</w:t>
                  </w:r>
                  <w:r>
                    <w:rPr>
                      <w:rFonts w:ascii="宋体" w:hAnsi="宋体" w:eastAsia="宋体" w:cs="宋体"/>
                      <w:spacing w:val="-10"/>
                      <w:sz w:val="21"/>
                      <w:szCs w:val="21"/>
                    </w:rPr>
                    <w:t>入</w:t>
                  </w:r>
                  <w:r>
                    <w:rPr>
                      <w:rFonts w:ascii="宋体" w:hAnsi="宋体" w:eastAsia="宋体" w:cs="宋体"/>
                      <w:spacing w:val="-9"/>
                      <w:sz w:val="21"/>
                      <w:szCs w:val="21"/>
                    </w:rPr>
                    <w:t>。</w:t>
                  </w:r>
                </w:p>
              </w:tc>
            </w:tr>
          </w:tbl>
          <w:p w14:paraId="715ED98A">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textAlignment w:val="auto"/>
              <w:rPr>
                <w:color w:val="000000"/>
                <w:kern w:val="0"/>
              </w:rPr>
            </w:pPr>
            <w:r>
              <w:rPr>
                <w:color w:val="000000"/>
                <w:lang w:bidi="ar"/>
              </w:rPr>
              <w:t>项目所在地为宿州市高新技术产业开发区，根据《宿州市高新技术开发区总体发展规划（2012-2030）》，宿州市高新技术产业开发区主导产业为动漫产业园、信息产业园、生命科技园和新材料新能源产业园。本项目为</w:t>
            </w:r>
            <w:r>
              <w:rPr>
                <w:rFonts w:hint="eastAsia"/>
                <w:color w:val="000000"/>
                <w:kern w:val="0"/>
                <w:lang w:val="en-US" w:eastAsia="zh-CN"/>
              </w:rPr>
              <w:t>营养食品制造</w:t>
            </w:r>
            <w:r>
              <w:rPr>
                <w:color w:val="000000"/>
                <w:kern w:val="0"/>
              </w:rPr>
              <w:t>，</w:t>
            </w:r>
            <w:r>
              <w:rPr>
                <w:rFonts w:hint="eastAsia"/>
                <w:color w:val="000000"/>
                <w:kern w:val="0"/>
              </w:rPr>
              <w:t>位于</w:t>
            </w:r>
            <w:r>
              <w:rPr>
                <w:rFonts w:hint="eastAsia"/>
                <w:color w:val="000000"/>
                <w:kern w:val="0"/>
                <w:lang w:val="en-US" w:eastAsia="zh-CN"/>
              </w:rPr>
              <w:t>高新技术产业开发区</w:t>
            </w:r>
            <w:r>
              <w:rPr>
                <w:rFonts w:hint="eastAsia"/>
                <w:color w:val="000000"/>
                <w:kern w:val="0"/>
              </w:rPr>
              <w:t>内，不属于宿州市高新技术产业开发区产业准入要求中“限制发展项目”和“禁止发展项目，属于允许入园项目，符合园区总体发展规划</w:t>
            </w:r>
            <w:r>
              <w:rPr>
                <w:color w:val="000000"/>
                <w:kern w:val="0"/>
              </w:rPr>
              <w:t>。</w:t>
            </w:r>
          </w:p>
          <w:p w14:paraId="746D3489">
            <w:pPr>
              <w:pStyle w:val="62"/>
              <w:spacing w:line="360" w:lineRule="auto"/>
            </w:pPr>
            <w:r>
              <w:rPr>
                <w:lang w:bidi="ar"/>
              </w:rPr>
              <w:t>综上分析，本项目建设符合</w:t>
            </w:r>
            <w:r>
              <w:rPr>
                <w:rFonts w:hint="eastAsia"/>
                <w:lang w:bidi="ar"/>
              </w:rPr>
              <w:t>“</w:t>
            </w:r>
            <w:r>
              <w:rPr>
                <w:lang w:bidi="ar"/>
              </w:rPr>
              <w:t>三线一单</w:t>
            </w:r>
            <w:r>
              <w:rPr>
                <w:rFonts w:hint="eastAsia"/>
                <w:lang w:bidi="ar"/>
              </w:rPr>
              <w:t>”</w:t>
            </w:r>
            <w:r>
              <w:rPr>
                <w:lang w:bidi="ar"/>
              </w:rPr>
              <w:t>的要求。</w:t>
            </w:r>
          </w:p>
          <w:p w14:paraId="160807A9">
            <w:pPr>
              <w:adjustRightInd w:val="0"/>
              <w:snapToGrid w:val="0"/>
              <w:spacing w:line="360" w:lineRule="auto"/>
              <w:rPr>
                <w:b/>
                <w:kern w:val="0"/>
              </w:rPr>
            </w:pPr>
            <w:r>
              <w:rPr>
                <w:rFonts w:hint="eastAsia"/>
                <w:b/>
              </w:rPr>
              <w:t>4、</w:t>
            </w:r>
            <w:r>
              <w:rPr>
                <w:rFonts w:hint="eastAsia"/>
                <w:b/>
                <w:kern w:val="0"/>
              </w:rPr>
              <w:t>与相关政策相符性</w:t>
            </w:r>
          </w:p>
          <w:p w14:paraId="171CED61">
            <w:pPr>
              <w:autoSpaceDE w:val="0"/>
              <w:autoSpaceDN w:val="0"/>
              <w:adjustRightInd w:val="0"/>
              <w:snapToGrid w:val="0"/>
              <w:spacing w:line="360" w:lineRule="auto"/>
              <w:ind w:firstLine="482" w:firstLineChars="200"/>
              <w:rPr>
                <w:b/>
                <w:kern w:val="0"/>
              </w:rPr>
            </w:pPr>
            <w:r>
              <w:rPr>
                <w:rFonts w:hint="eastAsia"/>
                <w:b/>
                <w:kern w:val="0"/>
              </w:rPr>
              <w:t>（1）与《国务院关于印发“十四五”节能减排综合工作方案的通知》的相符性</w:t>
            </w:r>
          </w:p>
          <w:p w14:paraId="247B68DE">
            <w:pPr>
              <w:pStyle w:val="2"/>
              <w:numPr>
                <w:ilvl w:val="2"/>
                <w:numId w:val="0"/>
              </w:numPr>
              <w:adjustRightInd w:val="0"/>
              <w:snapToGrid w:val="0"/>
              <w:spacing w:before="0" w:after="0" w:line="240" w:lineRule="auto"/>
              <w:jc w:val="center"/>
              <w:rPr>
                <w:kern w:val="0"/>
                <w:sz w:val="21"/>
                <w:szCs w:val="21"/>
              </w:rPr>
            </w:pPr>
            <w:r>
              <w:rPr>
                <w:sz w:val="24"/>
                <w:szCs w:val="24"/>
              </w:rPr>
              <w:t>表1.</w:t>
            </w:r>
            <w:r>
              <w:rPr>
                <w:rFonts w:hint="eastAsia"/>
                <w:sz w:val="24"/>
                <w:szCs w:val="24"/>
                <w:lang w:val="en-US" w:eastAsia="zh-CN"/>
              </w:rPr>
              <w:t>6</w:t>
            </w:r>
            <w:r>
              <w:rPr>
                <w:rFonts w:hint="eastAsia"/>
                <w:sz w:val="24"/>
                <w:szCs w:val="24"/>
              </w:rPr>
              <w:t xml:space="preserve"> </w:t>
            </w:r>
            <w:r>
              <w:rPr>
                <w:sz w:val="24"/>
                <w:szCs w:val="24"/>
              </w:rPr>
              <w:t xml:space="preserve"> 与</w:t>
            </w:r>
            <w:r>
              <w:rPr>
                <w:rFonts w:hint="eastAsia"/>
                <w:kern w:val="0"/>
                <w:sz w:val="21"/>
                <w:szCs w:val="21"/>
              </w:rPr>
              <w:t>《国务院关于印发“十四五”节能减排综合工作方案的通知》的相符性</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2961"/>
              <w:gridCol w:w="1696"/>
              <w:gridCol w:w="898"/>
            </w:tblGrid>
            <w:tr w14:paraId="2EDC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Align w:val="center"/>
                </w:tcPr>
                <w:p w14:paraId="04BABF01">
                  <w:pPr>
                    <w:jc w:val="center"/>
                    <w:rPr>
                      <w:b/>
                      <w:bCs/>
                      <w:sz w:val="21"/>
                      <w:szCs w:val="21"/>
                      <w:lang w:bidi="ar"/>
                    </w:rPr>
                  </w:pPr>
                  <w:r>
                    <w:rPr>
                      <w:b/>
                      <w:bCs/>
                      <w:sz w:val="21"/>
                      <w:szCs w:val="21"/>
                      <w:lang w:bidi="ar"/>
                    </w:rPr>
                    <w:t>序号</w:t>
                  </w:r>
                </w:p>
              </w:tc>
              <w:tc>
                <w:tcPr>
                  <w:tcW w:w="2961" w:type="dxa"/>
                  <w:vAlign w:val="center"/>
                </w:tcPr>
                <w:p w14:paraId="4836AA98">
                  <w:pPr>
                    <w:jc w:val="center"/>
                    <w:rPr>
                      <w:b/>
                      <w:bCs/>
                      <w:sz w:val="21"/>
                      <w:szCs w:val="21"/>
                      <w:lang w:bidi="ar"/>
                    </w:rPr>
                  </w:pPr>
                  <w:r>
                    <w:rPr>
                      <w:rFonts w:hint="eastAsia"/>
                      <w:b/>
                      <w:bCs/>
                      <w:sz w:val="21"/>
                      <w:szCs w:val="21"/>
                      <w:lang w:bidi="ar"/>
                    </w:rPr>
                    <w:t>方案内容</w:t>
                  </w:r>
                </w:p>
              </w:tc>
              <w:tc>
                <w:tcPr>
                  <w:tcW w:w="1696" w:type="dxa"/>
                  <w:vAlign w:val="center"/>
                </w:tcPr>
                <w:p w14:paraId="745ABF7C">
                  <w:pPr>
                    <w:jc w:val="center"/>
                    <w:rPr>
                      <w:b/>
                      <w:bCs/>
                      <w:sz w:val="21"/>
                      <w:szCs w:val="21"/>
                      <w:lang w:bidi="ar"/>
                    </w:rPr>
                  </w:pPr>
                  <w:r>
                    <w:rPr>
                      <w:b/>
                      <w:bCs/>
                      <w:sz w:val="21"/>
                      <w:szCs w:val="21"/>
                      <w:lang w:bidi="ar"/>
                    </w:rPr>
                    <w:t>项目情况</w:t>
                  </w:r>
                </w:p>
              </w:tc>
              <w:tc>
                <w:tcPr>
                  <w:tcW w:w="898" w:type="dxa"/>
                  <w:vAlign w:val="center"/>
                </w:tcPr>
                <w:p w14:paraId="24B149BA">
                  <w:pPr>
                    <w:jc w:val="center"/>
                    <w:rPr>
                      <w:b/>
                      <w:bCs/>
                      <w:sz w:val="21"/>
                      <w:szCs w:val="21"/>
                      <w:lang w:bidi="ar"/>
                    </w:rPr>
                  </w:pPr>
                  <w:r>
                    <w:rPr>
                      <w:b/>
                      <w:bCs/>
                      <w:sz w:val="21"/>
                      <w:szCs w:val="21"/>
                      <w:lang w:bidi="ar"/>
                    </w:rPr>
                    <w:t>相符性</w:t>
                  </w:r>
                </w:p>
              </w:tc>
            </w:tr>
            <w:tr w14:paraId="3CA27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Align w:val="center"/>
                </w:tcPr>
                <w:p w14:paraId="60009E14">
                  <w:pPr>
                    <w:jc w:val="center"/>
                    <w:rPr>
                      <w:sz w:val="21"/>
                      <w:szCs w:val="21"/>
                      <w:lang w:bidi="ar"/>
                    </w:rPr>
                  </w:pPr>
                  <w:r>
                    <w:rPr>
                      <w:sz w:val="21"/>
                      <w:szCs w:val="21"/>
                      <w:lang w:bidi="ar"/>
                    </w:rPr>
                    <w:t>1</w:t>
                  </w:r>
                </w:p>
              </w:tc>
              <w:tc>
                <w:tcPr>
                  <w:tcW w:w="2961" w:type="dxa"/>
                  <w:vAlign w:val="center"/>
                </w:tcPr>
                <w:p w14:paraId="35CF8C50">
                  <w:pPr>
                    <w:autoSpaceDE w:val="0"/>
                    <w:autoSpaceDN w:val="0"/>
                    <w:adjustRightInd w:val="0"/>
                    <w:jc w:val="center"/>
                    <w:rPr>
                      <w:sz w:val="21"/>
                      <w:szCs w:val="21"/>
                      <w:lang w:bidi="ar"/>
                    </w:rPr>
                  </w:pPr>
                  <w:r>
                    <w:rPr>
                      <w:sz w:val="21"/>
                      <w:szCs w:val="21"/>
                      <w:lang w:bidi="ar"/>
                    </w:rPr>
                    <w:t>重点行业绿色升级工程。以钢铁、有色金属、建材、石化化工等行业为重点，推进节能改造和污染物深度治理。推广高效精馏系统、高温高压干熄焦、富氧强化熔炼等节能技术，鼓励将高炉—转炉长流程炼钢转型为电炉短流程炼钢。推进钢铁、水泥、焦化行业及燃煤锅炉超低排放改造，到2025年，完成5.3亿吨钢铁产能超低排放改造，大气污染防治重点区域燃煤锅炉全面实现超低排放</w:t>
                  </w:r>
                </w:p>
              </w:tc>
              <w:tc>
                <w:tcPr>
                  <w:tcW w:w="1696" w:type="dxa"/>
                  <w:vAlign w:val="center"/>
                </w:tcPr>
                <w:p w14:paraId="4B820653">
                  <w:pPr>
                    <w:jc w:val="center"/>
                    <w:rPr>
                      <w:sz w:val="21"/>
                      <w:szCs w:val="21"/>
                      <w:lang w:bidi="ar"/>
                    </w:rPr>
                  </w:pPr>
                  <w:r>
                    <w:rPr>
                      <w:rFonts w:hint="eastAsia"/>
                      <w:sz w:val="21"/>
                      <w:szCs w:val="21"/>
                      <w:lang w:bidi="ar"/>
                    </w:rPr>
                    <w:t>本项目为</w:t>
                  </w:r>
                  <w:r>
                    <w:rPr>
                      <w:rFonts w:hint="eastAsia"/>
                      <w:sz w:val="21"/>
                      <w:szCs w:val="21"/>
                      <w:lang w:val="en-US" w:eastAsia="zh-CN" w:bidi="ar"/>
                    </w:rPr>
                    <w:t>营养食品制造</w:t>
                  </w:r>
                  <w:r>
                    <w:rPr>
                      <w:rFonts w:hint="eastAsia"/>
                      <w:sz w:val="21"/>
                      <w:szCs w:val="21"/>
                      <w:lang w:bidi="ar"/>
                    </w:rPr>
                    <w:t>，不属于上述行业</w:t>
                  </w:r>
                </w:p>
              </w:tc>
              <w:tc>
                <w:tcPr>
                  <w:tcW w:w="898" w:type="dxa"/>
                  <w:vAlign w:val="center"/>
                </w:tcPr>
                <w:p w14:paraId="7B9CB59B">
                  <w:pPr>
                    <w:jc w:val="center"/>
                    <w:rPr>
                      <w:sz w:val="21"/>
                      <w:szCs w:val="21"/>
                      <w:lang w:bidi="ar"/>
                    </w:rPr>
                  </w:pPr>
                  <w:r>
                    <w:rPr>
                      <w:rFonts w:hint="eastAsia"/>
                      <w:sz w:val="21"/>
                      <w:szCs w:val="21"/>
                      <w:lang w:bidi="ar"/>
                    </w:rPr>
                    <w:t>相符</w:t>
                  </w:r>
                </w:p>
              </w:tc>
            </w:tr>
            <w:tr w14:paraId="0ECBE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7" w:type="dxa"/>
                  <w:vAlign w:val="center"/>
                </w:tcPr>
                <w:p w14:paraId="6CD50331">
                  <w:pPr>
                    <w:jc w:val="center"/>
                    <w:rPr>
                      <w:sz w:val="21"/>
                      <w:szCs w:val="21"/>
                      <w:lang w:bidi="ar"/>
                    </w:rPr>
                  </w:pPr>
                  <w:r>
                    <w:rPr>
                      <w:rFonts w:hint="eastAsia"/>
                      <w:sz w:val="21"/>
                      <w:szCs w:val="21"/>
                      <w:lang w:bidi="ar"/>
                    </w:rPr>
                    <w:t>2</w:t>
                  </w:r>
                </w:p>
              </w:tc>
              <w:tc>
                <w:tcPr>
                  <w:tcW w:w="2961" w:type="dxa"/>
                  <w:vAlign w:val="center"/>
                </w:tcPr>
                <w:p w14:paraId="64F3BD89">
                  <w:pPr>
                    <w:autoSpaceDE w:val="0"/>
                    <w:autoSpaceDN w:val="0"/>
                    <w:adjustRightInd w:val="0"/>
                    <w:jc w:val="center"/>
                    <w:rPr>
                      <w:kern w:val="0"/>
                      <w:sz w:val="21"/>
                      <w:szCs w:val="21"/>
                      <w:lang w:bidi="ar"/>
                    </w:rPr>
                  </w:pPr>
                  <w:r>
                    <w:rPr>
                      <w:kern w:val="0"/>
                      <w:sz w:val="21"/>
                      <w:szCs w:val="21"/>
                      <w:lang w:bidi="ar"/>
                    </w:rPr>
                    <w:t>园区节能环保提升工程。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绿岛”项目建设。到2025年，建成一批节能环保示范园区</w:t>
                  </w:r>
                </w:p>
              </w:tc>
              <w:tc>
                <w:tcPr>
                  <w:tcW w:w="1696" w:type="dxa"/>
                  <w:vAlign w:val="center"/>
                </w:tcPr>
                <w:p w14:paraId="3F389D39">
                  <w:pPr>
                    <w:jc w:val="center"/>
                    <w:rPr>
                      <w:sz w:val="21"/>
                      <w:szCs w:val="21"/>
                      <w:lang w:bidi="ar"/>
                    </w:rPr>
                  </w:pPr>
                  <w:r>
                    <w:rPr>
                      <w:sz w:val="21"/>
                      <w:szCs w:val="21"/>
                      <w:lang w:bidi="ar"/>
                    </w:rPr>
                    <w:t>项目位于宿州市高新技术产业开发区</w:t>
                  </w:r>
                  <w:r>
                    <w:rPr>
                      <w:rFonts w:hint="eastAsia"/>
                      <w:sz w:val="21"/>
                      <w:szCs w:val="21"/>
                      <w:lang w:bidi="ar"/>
                    </w:rPr>
                    <w:t>内</w:t>
                  </w:r>
                  <w:r>
                    <w:rPr>
                      <w:sz w:val="21"/>
                      <w:szCs w:val="21"/>
                      <w:lang w:bidi="ar"/>
                    </w:rPr>
                    <w:t>，不属于</w:t>
                  </w:r>
                  <w:r>
                    <w:rPr>
                      <w:rFonts w:hint="eastAsia"/>
                      <w:sz w:val="21"/>
                      <w:szCs w:val="21"/>
                      <w:lang w:bidi="ar"/>
                    </w:rPr>
                    <w:t>“</w:t>
                  </w:r>
                  <w:r>
                    <w:rPr>
                      <w:sz w:val="21"/>
                      <w:szCs w:val="21"/>
                      <w:lang w:bidi="ar"/>
                    </w:rPr>
                    <w:t>散乱污</w:t>
                  </w:r>
                  <w:r>
                    <w:rPr>
                      <w:rFonts w:hint="eastAsia"/>
                      <w:sz w:val="21"/>
                      <w:szCs w:val="21"/>
                      <w:lang w:bidi="ar"/>
                    </w:rPr>
                    <w:t>”</w:t>
                  </w:r>
                  <w:r>
                    <w:rPr>
                      <w:sz w:val="21"/>
                      <w:szCs w:val="21"/>
                      <w:lang w:bidi="ar"/>
                    </w:rPr>
                    <w:t>企业</w:t>
                  </w:r>
                  <w:r>
                    <w:rPr>
                      <w:rFonts w:hint="eastAsia"/>
                      <w:sz w:val="21"/>
                      <w:szCs w:val="21"/>
                      <w:lang w:bidi="ar"/>
                    </w:rPr>
                    <w:t>，项目产生的生活污水经化粪池处理后经污水管网排入汴北处理有限公司进一步处理，达标排放至运粮河</w:t>
                  </w:r>
                </w:p>
              </w:tc>
              <w:tc>
                <w:tcPr>
                  <w:tcW w:w="898" w:type="dxa"/>
                  <w:vAlign w:val="center"/>
                </w:tcPr>
                <w:p w14:paraId="20CA37FD">
                  <w:pPr>
                    <w:jc w:val="center"/>
                    <w:rPr>
                      <w:sz w:val="21"/>
                      <w:szCs w:val="21"/>
                      <w:lang w:bidi="ar"/>
                    </w:rPr>
                  </w:pPr>
                  <w:r>
                    <w:rPr>
                      <w:rFonts w:hint="eastAsia"/>
                      <w:sz w:val="21"/>
                      <w:szCs w:val="21"/>
                      <w:lang w:bidi="ar"/>
                    </w:rPr>
                    <w:t>相符</w:t>
                  </w:r>
                </w:p>
              </w:tc>
            </w:tr>
          </w:tbl>
          <w:p w14:paraId="2B9CB86C">
            <w:pPr>
              <w:pStyle w:val="69"/>
              <w:adjustRightInd w:val="0"/>
              <w:snapToGrid w:val="0"/>
              <w:spacing w:before="120" w:beforeLines="50"/>
              <w:ind w:firstLine="482"/>
              <w:jc w:val="left"/>
              <w:rPr>
                <w:b/>
                <w:bCs/>
                <w:color w:val="auto"/>
                <w:szCs w:val="24"/>
              </w:rPr>
            </w:pPr>
            <w:r>
              <w:rPr>
                <w:rFonts w:hint="eastAsia"/>
                <w:b/>
                <w:bCs/>
                <w:color w:val="auto"/>
                <w:szCs w:val="24"/>
              </w:rPr>
              <w:t>（</w:t>
            </w:r>
            <w:r>
              <w:rPr>
                <w:rFonts w:hint="eastAsia"/>
                <w:b/>
                <w:bCs/>
                <w:color w:val="auto"/>
                <w:szCs w:val="24"/>
                <w:lang w:val="en-US" w:eastAsia="zh-CN"/>
              </w:rPr>
              <w:t>2</w:t>
            </w:r>
            <w:r>
              <w:rPr>
                <w:rFonts w:hint="eastAsia"/>
                <w:b/>
                <w:bCs/>
                <w:color w:val="auto"/>
                <w:szCs w:val="24"/>
              </w:rPr>
              <w:t>）</w:t>
            </w:r>
            <w:r>
              <w:rPr>
                <w:rFonts w:hint="eastAsia"/>
                <w:b/>
                <w:bCs/>
              </w:rPr>
              <w:t>与《</w:t>
            </w:r>
            <w:r>
              <w:rPr>
                <w:rFonts w:ascii="Helvetica" w:hAnsi="Helvetica" w:eastAsia="Helvetica" w:cs="Helvetica"/>
                <w:b/>
                <w:bCs/>
                <w:spacing w:val="8"/>
                <w:shd w:val="clear" w:color="auto" w:fill="FFFFFF"/>
              </w:rPr>
              <w:t>安徽省“三线一单”生态环境分区管控管理办法（暂行）</w:t>
            </w:r>
            <w:r>
              <w:rPr>
                <w:rFonts w:hint="eastAsia"/>
                <w:b/>
                <w:bCs/>
              </w:rPr>
              <w:t>》相符性分析</w:t>
            </w:r>
          </w:p>
          <w:p w14:paraId="6B5AB79B">
            <w:pPr>
              <w:jc w:val="center"/>
              <w:outlineLvl w:val="0"/>
              <w:rPr>
                <w:b/>
                <w:bCs/>
              </w:rPr>
            </w:pPr>
            <w:r>
              <w:rPr>
                <w:b/>
                <w:bCs/>
              </w:rPr>
              <w:t>表</w:t>
            </w:r>
            <w:r>
              <w:rPr>
                <w:rFonts w:hint="eastAsia"/>
                <w:b/>
                <w:bCs/>
              </w:rPr>
              <w:t>1.7</w:t>
            </w:r>
            <w:r>
              <w:rPr>
                <w:b/>
                <w:bCs/>
              </w:rPr>
              <w:t xml:space="preserve"> </w:t>
            </w:r>
            <w:r>
              <w:rPr>
                <w:rFonts w:hint="eastAsia"/>
                <w:b/>
                <w:bCs/>
              </w:rPr>
              <w:t xml:space="preserve"> 与《</w:t>
            </w:r>
            <w:r>
              <w:rPr>
                <w:rFonts w:ascii="Helvetica" w:hAnsi="Helvetica" w:eastAsia="Helvetica" w:cs="Helvetica"/>
                <w:b/>
                <w:bCs/>
                <w:spacing w:val="8"/>
                <w:shd w:val="clear" w:color="auto" w:fill="FFFFFF"/>
              </w:rPr>
              <w:t>安徽省“三线一单”生态环境分区管控管理办法（暂行）</w:t>
            </w:r>
            <w:r>
              <w:rPr>
                <w:rFonts w:hint="eastAsia"/>
                <w:b/>
                <w:bCs/>
              </w:rPr>
              <w:t>》相符性分析一览表</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
              <w:gridCol w:w="414"/>
              <w:gridCol w:w="416"/>
              <w:gridCol w:w="414"/>
              <w:gridCol w:w="2031"/>
              <w:gridCol w:w="2134"/>
              <w:gridCol w:w="438"/>
            </w:tblGrid>
            <w:tr w14:paraId="6D87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Align w:val="center"/>
                </w:tcPr>
                <w:p w14:paraId="16FD1907">
                  <w:pPr>
                    <w:adjustRightInd w:val="0"/>
                    <w:snapToGrid w:val="0"/>
                    <w:jc w:val="center"/>
                    <w:rPr>
                      <w:b/>
                      <w:bCs/>
                      <w:color w:val="000000"/>
                      <w:kern w:val="0"/>
                      <w:sz w:val="21"/>
                      <w:szCs w:val="21"/>
                    </w:rPr>
                  </w:pPr>
                  <w:r>
                    <w:rPr>
                      <w:b/>
                      <w:bCs/>
                      <w:color w:val="000000"/>
                      <w:kern w:val="0"/>
                      <w:sz w:val="21"/>
                      <w:szCs w:val="21"/>
                    </w:rPr>
                    <w:t>分类</w:t>
                  </w:r>
                </w:p>
              </w:tc>
              <w:tc>
                <w:tcPr>
                  <w:tcW w:w="830" w:type="dxa"/>
                  <w:gridSpan w:val="2"/>
                  <w:vAlign w:val="center"/>
                </w:tcPr>
                <w:p w14:paraId="6FBF5621">
                  <w:pPr>
                    <w:adjustRightInd w:val="0"/>
                    <w:snapToGrid w:val="0"/>
                    <w:jc w:val="center"/>
                    <w:rPr>
                      <w:b/>
                      <w:bCs/>
                      <w:color w:val="000000"/>
                      <w:kern w:val="0"/>
                      <w:sz w:val="21"/>
                      <w:szCs w:val="21"/>
                    </w:rPr>
                  </w:pPr>
                  <w:r>
                    <w:rPr>
                      <w:b/>
                      <w:bCs/>
                      <w:color w:val="000000"/>
                      <w:kern w:val="0"/>
                      <w:sz w:val="21"/>
                      <w:szCs w:val="21"/>
                    </w:rPr>
                    <w:t>管控</w:t>
                  </w:r>
                </w:p>
              </w:tc>
              <w:tc>
                <w:tcPr>
                  <w:tcW w:w="2031" w:type="dxa"/>
                  <w:vAlign w:val="center"/>
                </w:tcPr>
                <w:p w14:paraId="73058AB4">
                  <w:pPr>
                    <w:adjustRightInd w:val="0"/>
                    <w:snapToGrid w:val="0"/>
                    <w:jc w:val="center"/>
                    <w:rPr>
                      <w:b/>
                      <w:bCs/>
                      <w:color w:val="000000"/>
                      <w:kern w:val="0"/>
                      <w:sz w:val="21"/>
                      <w:szCs w:val="21"/>
                    </w:rPr>
                  </w:pPr>
                  <w:r>
                    <w:rPr>
                      <w:b/>
                      <w:bCs/>
                      <w:color w:val="000000"/>
                      <w:kern w:val="0"/>
                      <w:sz w:val="21"/>
                      <w:szCs w:val="21"/>
                    </w:rPr>
                    <w:t>管控要求</w:t>
                  </w:r>
                </w:p>
              </w:tc>
              <w:tc>
                <w:tcPr>
                  <w:tcW w:w="2134" w:type="dxa"/>
                  <w:vAlign w:val="center"/>
                </w:tcPr>
                <w:p w14:paraId="4BC6A2A7">
                  <w:pPr>
                    <w:adjustRightInd w:val="0"/>
                    <w:snapToGrid w:val="0"/>
                    <w:jc w:val="center"/>
                    <w:rPr>
                      <w:b/>
                      <w:bCs/>
                      <w:color w:val="000000"/>
                      <w:kern w:val="0"/>
                      <w:sz w:val="21"/>
                      <w:szCs w:val="21"/>
                    </w:rPr>
                  </w:pPr>
                  <w:r>
                    <w:rPr>
                      <w:b/>
                      <w:bCs/>
                      <w:color w:val="000000"/>
                      <w:kern w:val="0"/>
                      <w:sz w:val="21"/>
                      <w:szCs w:val="21"/>
                    </w:rPr>
                    <w:t>项目情况</w:t>
                  </w:r>
                </w:p>
              </w:tc>
              <w:tc>
                <w:tcPr>
                  <w:tcW w:w="438" w:type="dxa"/>
                  <w:vAlign w:val="center"/>
                </w:tcPr>
                <w:p w14:paraId="7443E14E">
                  <w:pPr>
                    <w:adjustRightInd w:val="0"/>
                    <w:snapToGrid w:val="0"/>
                    <w:jc w:val="center"/>
                    <w:rPr>
                      <w:b/>
                      <w:bCs/>
                      <w:color w:val="000000"/>
                      <w:kern w:val="0"/>
                      <w:sz w:val="21"/>
                      <w:szCs w:val="21"/>
                    </w:rPr>
                  </w:pPr>
                  <w:r>
                    <w:rPr>
                      <w:b/>
                      <w:bCs/>
                      <w:color w:val="000000"/>
                      <w:kern w:val="0"/>
                      <w:sz w:val="21"/>
                      <w:szCs w:val="21"/>
                    </w:rPr>
                    <w:t>符合性</w:t>
                  </w:r>
                </w:p>
              </w:tc>
            </w:tr>
            <w:tr w14:paraId="1B1A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restart"/>
                  <w:vAlign w:val="center"/>
                </w:tcPr>
                <w:p w14:paraId="4834F593">
                  <w:pPr>
                    <w:adjustRightInd w:val="0"/>
                    <w:snapToGrid w:val="0"/>
                    <w:jc w:val="center"/>
                    <w:rPr>
                      <w:color w:val="000000"/>
                      <w:kern w:val="0"/>
                      <w:sz w:val="21"/>
                      <w:szCs w:val="21"/>
                    </w:rPr>
                  </w:pPr>
                  <w:r>
                    <w:rPr>
                      <w:color w:val="000000"/>
                      <w:kern w:val="0"/>
                      <w:sz w:val="21"/>
                      <w:szCs w:val="21"/>
                    </w:rPr>
                    <w:t>大气重点管控区</w:t>
                  </w:r>
                </w:p>
              </w:tc>
              <w:tc>
                <w:tcPr>
                  <w:tcW w:w="416" w:type="dxa"/>
                  <w:vMerge w:val="restart"/>
                  <w:vAlign w:val="center"/>
                </w:tcPr>
                <w:p w14:paraId="03E2C6DC">
                  <w:pPr>
                    <w:adjustRightInd w:val="0"/>
                    <w:snapToGrid w:val="0"/>
                    <w:jc w:val="center"/>
                    <w:rPr>
                      <w:color w:val="000000"/>
                      <w:kern w:val="0"/>
                      <w:sz w:val="21"/>
                      <w:szCs w:val="21"/>
                    </w:rPr>
                  </w:pPr>
                  <w:r>
                    <w:rPr>
                      <w:color w:val="000000"/>
                      <w:kern w:val="0"/>
                      <w:sz w:val="21"/>
                      <w:szCs w:val="21"/>
                    </w:rPr>
                    <w:t>空间布局约束</w:t>
                  </w:r>
                </w:p>
              </w:tc>
              <w:tc>
                <w:tcPr>
                  <w:tcW w:w="414" w:type="dxa"/>
                  <w:vMerge w:val="restart"/>
                  <w:vAlign w:val="center"/>
                </w:tcPr>
                <w:p w14:paraId="2F65FDE1">
                  <w:pPr>
                    <w:adjustRightInd w:val="0"/>
                    <w:snapToGrid w:val="0"/>
                    <w:jc w:val="center"/>
                    <w:rPr>
                      <w:color w:val="000000"/>
                      <w:kern w:val="0"/>
                      <w:sz w:val="21"/>
                      <w:szCs w:val="21"/>
                    </w:rPr>
                  </w:pPr>
                  <w:r>
                    <w:rPr>
                      <w:color w:val="000000"/>
                      <w:kern w:val="0"/>
                      <w:sz w:val="21"/>
                      <w:szCs w:val="21"/>
                    </w:rPr>
                    <w:t>禁止开发建设活动的要求</w:t>
                  </w:r>
                </w:p>
              </w:tc>
              <w:tc>
                <w:tcPr>
                  <w:tcW w:w="2031" w:type="dxa"/>
                  <w:vAlign w:val="center"/>
                </w:tcPr>
                <w:p w14:paraId="3620644D">
                  <w:pPr>
                    <w:jc w:val="center"/>
                    <w:rPr>
                      <w:color w:val="000000"/>
                      <w:kern w:val="0"/>
                      <w:sz w:val="21"/>
                      <w:szCs w:val="21"/>
                    </w:rPr>
                  </w:pPr>
                  <w:r>
                    <w:rPr>
                      <w:color w:val="000000"/>
                      <w:kern w:val="0"/>
                      <w:sz w:val="21"/>
                      <w:szCs w:val="21"/>
                    </w:rPr>
                    <w:t xml:space="preserve">在城市城区及其近郊禁止新建、扩建钢铁、有色、石化、水泥、化工等重污染企业。 </w:t>
                  </w:r>
                </w:p>
              </w:tc>
              <w:tc>
                <w:tcPr>
                  <w:tcW w:w="2134" w:type="dxa"/>
                  <w:vAlign w:val="center"/>
                </w:tcPr>
                <w:p w14:paraId="3B530492">
                  <w:pPr>
                    <w:jc w:val="center"/>
                    <w:rPr>
                      <w:color w:val="000000"/>
                      <w:kern w:val="0"/>
                      <w:sz w:val="21"/>
                      <w:szCs w:val="21"/>
                    </w:rPr>
                  </w:pPr>
                  <w:r>
                    <w:rPr>
                      <w:color w:val="000000"/>
                      <w:sz w:val="21"/>
                      <w:szCs w:val="21"/>
                    </w:rPr>
                    <w:t>本项目位于</w:t>
                  </w:r>
                  <w:r>
                    <w:rPr>
                      <w:sz w:val="21"/>
                      <w:szCs w:val="21"/>
                      <w:lang w:bidi="ar"/>
                    </w:rPr>
                    <w:t>宿州市高新技术产业开发区</w:t>
                  </w:r>
                  <w:r>
                    <w:rPr>
                      <w:rFonts w:hint="eastAsia"/>
                      <w:sz w:val="21"/>
                      <w:szCs w:val="21"/>
                      <w:lang w:bidi="ar"/>
                    </w:rPr>
                    <w:t>内</w:t>
                  </w:r>
                  <w:r>
                    <w:rPr>
                      <w:color w:val="000000"/>
                      <w:sz w:val="21"/>
                      <w:szCs w:val="21"/>
                    </w:rPr>
                    <w:t>，行业类别</w:t>
                  </w:r>
                  <w:r>
                    <w:rPr>
                      <w:rFonts w:hint="eastAsia"/>
                      <w:color w:val="000000"/>
                      <w:sz w:val="21"/>
                      <w:szCs w:val="21"/>
                    </w:rPr>
                    <w:t>C</w:t>
                  </w:r>
                  <w:r>
                    <w:rPr>
                      <w:rFonts w:hint="eastAsia"/>
                      <w:color w:val="000000"/>
                      <w:sz w:val="21"/>
                      <w:szCs w:val="21"/>
                      <w:lang w:val="en-US" w:eastAsia="zh-CN"/>
                    </w:rPr>
                    <w:t>1491营养食品制造</w:t>
                  </w:r>
                  <w:r>
                    <w:rPr>
                      <w:color w:val="000000"/>
                      <w:sz w:val="21"/>
                      <w:szCs w:val="21"/>
                    </w:rPr>
                    <w:t>，不属于重污染企业</w:t>
                  </w:r>
                </w:p>
              </w:tc>
              <w:tc>
                <w:tcPr>
                  <w:tcW w:w="438" w:type="dxa"/>
                  <w:vAlign w:val="center"/>
                </w:tcPr>
                <w:p w14:paraId="7B9B19BD">
                  <w:pPr>
                    <w:adjustRightInd w:val="0"/>
                    <w:snapToGrid w:val="0"/>
                    <w:jc w:val="center"/>
                    <w:rPr>
                      <w:color w:val="000000"/>
                      <w:kern w:val="0"/>
                      <w:sz w:val="21"/>
                      <w:szCs w:val="21"/>
                    </w:rPr>
                  </w:pPr>
                  <w:r>
                    <w:rPr>
                      <w:color w:val="000000"/>
                      <w:kern w:val="0"/>
                      <w:sz w:val="21"/>
                      <w:szCs w:val="21"/>
                    </w:rPr>
                    <w:t>符合</w:t>
                  </w:r>
                </w:p>
              </w:tc>
            </w:tr>
            <w:tr w14:paraId="3629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8800993">
                  <w:pPr>
                    <w:adjustRightInd w:val="0"/>
                    <w:snapToGrid w:val="0"/>
                    <w:jc w:val="center"/>
                    <w:rPr>
                      <w:color w:val="000000"/>
                      <w:kern w:val="0"/>
                      <w:sz w:val="21"/>
                      <w:szCs w:val="21"/>
                    </w:rPr>
                  </w:pPr>
                </w:p>
              </w:tc>
              <w:tc>
                <w:tcPr>
                  <w:tcW w:w="416" w:type="dxa"/>
                  <w:vMerge w:val="continue"/>
                  <w:vAlign w:val="center"/>
                </w:tcPr>
                <w:p w14:paraId="0282386C">
                  <w:pPr>
                    <w:adjustRightInd w:val="0"/>
                    <w:snapToGrid w:val="0"/>
                    <w:jc w:val="center"/>
                    <w:rPr>
                      <w:color w:val="000000"/>
                      <w:kern w:val="0"/>
                      <w:sz w:val="21"/>
                      <w:szCs w:val="21"/>
                    </w:rPr>
                  </w:pPr>
                </w:p>
              </w:tc>
              <w:tc>
                <w:tcPr>
                  <w:tcW w:w="414" w:type="dxa"/>
                  <w:vMerge w:val="continue"/>
                  <w:vAlign w:val="center"/>
                </w:tcPr>
                <w:p w14:paraId="79F83549">
                  <w:pPr>
                    <w:adjustRightInd w:val="0"/>
                    <w:snapToGrid w:val="0"/>
                    <w:jc w:val="center"/>
                    <w:rPr>
                      <w:color w:val="000000"/>
                      <w:kern w:val="0"/>
                      <w:sz w:val="21"/>
                      <w:szCs w:val="21"/>
                    </w:rPr>
                  </w:pPr>
                </w:p>
              </w:tc>
              <w:tc>
                <w:tcPr>
                  <w:tcW w:w="2031" w:type="dxa"/>
                  <w:vAlign w:val="center"/>
                </w:tcPr>
                <w:p w14:paraId="37595B1F">
                  <w:pPr>
                    <w:jc w:val="center"/>
                    <w:rPr>
                      <w:color w:val="000000"/>
                      <w:kern w:val="0"/>
                      <w:sz w:val="21"/>
                      <w:szCs w:val="21"/>
                    </w:rPr>
                  </w:pPr>
                  <w:r>
                    <w:rPr>
                      <w:color w:val="000000"/>
                      <w:kern w:val="0"/>
                      <w:sz w:val="21"/>
                      <w:szCs w:val="21"/>
                    </w:rPr>
                    <w:t>禁止新建燃料类煤气发生炉（园区现有企业统一建设的清洁煤制气中心除外）。</w:t>
                  </w:r>
                </w:p>
              </w:tc>
              <w:tc>
                <w:tcPr>
                  <w:tcW w:w="2134" w:type="dxa"/>
                  <w:vAlign w:val="center"/>
                </w:tcPr>
                <w:p w14:paraId="4EBADB45">
                  <w:pPr>
                    <w:jc w:val="center"/>
                    <w:rPr>
                      <w:color w:val="000000"/>
                      <w:kern w:val="0"/>
                      <w:sz w:val="21"/>
                      <w:szCs w:val="21"/>
                    </w:rPr>
                  </w:pPr>
                  <w:r>
                    <w:rPr>
                      <w:color w:val="000000"/>
                      <w:kern w:val="0"/>
                      <w:sz w:val="21"/>
                      <w:szCs w:val="21"/>
                    </w:rPr>
                    <w:t>本项目不建设煤气发生炉</w:t>
                  </w:r>
                </w:p>
              </w:tc>
              <w:tc>
                <w:tcPr>
                  <w:tcW w:w="438" w:type="dxa"/>
                  <w:vAlign w:val="center"/>
                </w:tcPr>
                <w:p w14:paraId="55818949">
                  <w:pPr>
                    <w:adjustRightInd w:val="0"/>
                    <w:snapToGrid w:val="0"/>
                    <w:jc w:val="center"/>
                    <w:rPr>
                      <w:color w:val="000000"/>
                      <w:kern w:val="0"/>
                      <w:sz w:val="21"/>
                      <w:szCs w:val="21"/>
                    </w:rPr>
                  </w:pPr>
                  <w:r>
                    <w:rPr>
                      <w:color w:val="000000"/>
                      <w:kern w:val="0"/>
                      <w:sz w:val="21"/>
                      <w:szCs w:val="21"/>
                    </w:rPr>
                    <w:t>符合</w:t>
                  </w:r>
                </w:p>
              </w:tc>
            </w:tr>
            <w:tr w14:paraId="68F8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EBFABE4">
                  <w:pPr>
                    <w:adjustRightInd w:val="0"/>
                    <w:snapToGrid w:val="0"/>
                    <w:jc w:val="center"/>
                    <w:rPr>
                      <w:color w:val="000000"/>
                      <w:kern w:val="0"/>
                      <w:sz w:val="21"/>
                      <w:szCs w:val="21"/>
                    </w:rPr>
                  </w:pPr>
                </w:p>
              </w:tc>
              <w:tc>
                <w:tcPr>
                  <w:tcW w:w="416" w:type="dxa"/>
                  <w:vMerge w:val="continue"/>
                  <w:vAlign w:val="center"/>
                </w:tcPr>
                <w:p w14:paraId="764FED01">
                  <w:pPr>
                    <w:adjustRightInd w:val="0"/>
                    <w:snapToGrid w:val="0"/>
                    <w:jc w:val="center"/>
                    <w:rPr>
                      <w:color w:val="000000"/>
                      <w:kern w:val="0"/>
                      <w:sz w:val="21"/>
                      <w:szCs w:val="21"/>
                    </w:rPr>
                  </w:pPr>
                </w:p>
              </w:tc>
              <w:tc>
                <w:tcPr>
                  <w:tcW w:w="414" w:type="dxa"/>
                  <w:vMerge w:val="continue"/>
                  <w:vAlign w:val="center"/>
                </w:tcPr>
                <w:p w14:paraId="75893666">
                  <w:pPr>
                    <w:adjustRightInd w:val="0"/>
                    <w:snapToGrid w:val="0"/>
                    <w:jc w:val="center"/>
                    <w:rPr>
                      <w:color w:val="000000"/>
                      <w:kern w:val="0"/>
                      <w:sz w:val="21"/>
                      <w:szCs w:val="21"/>
                    </w:rPr>
                  </w:pPr>
                </w:p>
              </w:tc>
              <w:tc>
                <w:tcPr>
                  <w:tcW w:w="2031" w:type="dxa"/>
                  <w:vAlign w:val="center"/>
                </w:tcPr>
                <w:p w14:paraId="5AD3725A">
                  <w:pPr>
                    <w:jc w:val="center"/>
                    <w:rPr>
                      <w:color w:val="000000"/>
                      <w:kern w:val="0"/>
                      <w:sz w:val="21"/>
                      <w:szCs w:val="21"/>
                    </w:rPr>
                  </w:pPr>
                  <w:r>
                    <w:rPr>
                      <w:color w:val="000000"/>
                      <w:kern w:val="0"/>
                      <w:sz w:val="21"/>
                      <w:szCs w:val="21"/>
                    </w:rPr>
                    <w:t>严禁新增钢铁、焦化、电解铝、铸造、水泥和平板玻璃等产能；严格执行钢铁、水泥、平板玻璃等行业产能置换实施办法。</w:t>
                  </w:r>
                </w:p>
              </w:tc>
              <w:tc>
                <w:tcPr>
                  <w:tcW w:w="2134" w:type="dxa"/>
                  <w:vAlign w:val="center"/>
                </w:tcPr>
                <w:p w14:paraId="27E36A5F">
                  <w:pPr>
                    <w:jc w:val="center"/>
                    <w:rPr>
                      <w:color w:val="000000"/>
                      <w:kern w:val="0"/>
                      <w:sz w:val="21"/>
                      <w:szCs w:val="21"/>
                    </w:rPr>
                  </w:pPr>
                  <w:r>
                    <w:rPr>
                      <w:color w:val="000000"/>
                      <w:kern w:val="0"/>
                      <w:sz w:val="21"/>
                      <w:szCs w:val="21"/>
                    </w:rPr>
                    <w:t>本项目</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，不属于上述行业</w:t>
                  </w:r>
                </w:p>
              </w:tc>
              <w:tc>
                <w:tcPr>
                  <w:tcW w:w="438" w:type="dxa"/>
                  <w:vAlign w:val="center"/>
                </w:tcPr>
                <w:p w14:paraId="3DB6C341">
                  <w:pPr>
                    <w:adjustRightInd w:val="0"/>
                    <w:snapToGrid w:val="0"/>
                    <w:jc w:val="center"/>
                    <w:rPr>
                      <w:color w:val="000000"/>
                      <w:kern w:val="0"/>
                      <w:sz w:val="21"/>
                      <w:szCs w:val="21"/>
                    </w:rPr>
                  </w:pPr>
                  <w:r>
                    <w:rPr>
                      <w:color w:val="000000"/>
                      <w:kern w:val="0"/>
                      <w:sz w:val="21"/>
                      <w:szCs w:val="21"/>
                    </w:rPr>
                    <w:t>符合</w:t>
                  </w:r>
                </w:p>
              </w:tc>
            </w:tr>
            <w:tr w14:paraId="4B34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6DBDB035">
                  <w:pPr>
                    <w:adjustRightInd w:val="0"/>
                    <w:snapToGrid w:val="0"/>
                    <w:jc w:val="center"/>
                    <w:rPr>
                      <w:color w:val="000000"/>
                      <w:kern w:val="0"/>
                      <w:sz w:val="21"/>
                      <w:szCs w:val="21"/>
                    </w:rPr>
                  </w:pPr>
                </w:p>
              </w:tc>
              <w:tc>
                <w:tcPr>
                  <w:tcW w:w="416" w:type="dxa"/>
                  <w:vMerge w:val="continue"/>
                  <w:vAlign w:val="center"/>
                </w:tcPr>
                <w:p w14:paraId="6620BD49">
                  <w:pPr>
                    <w:adjustRightInd w:val="0"/>
                    <w:snapToGrid w:val="0"/>
                    <w:jc w:val="center"/>
                    <w:rPr>
                      <w:color w:val="000000"/>
                      <w:kern w:val="0"/>
                      <w:sz w:val="21"/>
                      <w:szCs w:val="21"/>
                    </w:rPr>
                  </w:pPr>
                </w:p>
              </w:tc>
              <w:tc>
                <w:tcPr>
                  <w:tcW w:w="414" w:type="dxa"/>
                  <w:vMerge w:val="continue"/>
                  <w:vAlign w:val="center"/>
                </w:tcPr>
                <w:p w14:paraId="02D14308">
                  <w:pPr>
                    <w:adjustRightInd w:val="0"/>
                    <w:snapToGrid w:val="0"/>
                    <w:jc w:val="center"/>
                    <w:rPr>
                      <w:color w:val="000000"/>
                      <w:kern w:val="0"/>
                      <w:sz w:val="21"/>
                      <w:szCs w:val="21"/>
                    </w:rPr>
                  </w:pPr>
                </w:p>
              </w:tc>
              <w:tc>
                <w:tcPr>
                  <w:tcW w:w="2031" w:type="dxa"/>
                  <w:vAlign w:val="center"/>
                </w:tcPr>
                <w:p w14:paraId="624CEEE9">
                  <w:pPr>
                    <w:jc w:val="center"/>
                    <w:rPr>
                      <w:color w:val="000000"/>
                      <w:kern w:val="0"/>
                      <w:sz w:val="21"/>
                      <w:szCs w:val="21"/>
                    </w:rPr>
                  </w:pPr>
                  <w:r>
                    <w:rPr>
                      <w:color w:val="000000"/>
                      <w:kern w:val="0"/>
                      <w:sz w:val="21"/>
                      <w:szCs w:val="21"/>
                    </w:rPr>
                    <w:t>严格执行国家关于“两高”产业准入目录和产能总量控制政策措施。严禁新增钢铁、焦化、电解铝、铸造、水泥和平板玻璃等产能；新、改、扩建涉及大宗物料运输的建设项目，原则上不得采用公路运输。</w:t>
                  </w:r>
                </w:p>
              </w:tc>
              <w:tc>
                <w:tcPr>
                  <w:tcW w:w="2134" w:type="dxa"/>
                  <w:vAlign w:val="center"/>
                </w:tcPr>
                <w:p w14:paraId="797B38F2">
                  <w:pPr>
                    <w:jc w:val="center"/>
                    <w:rPr>
                      <w:color w:val="000000"/>
                      <w:kern w:val="0"/>
                      <w:sz w:val="21"/>
                      <w:szCs w:val="21"/>
                    </w:rPr>
                  </w:pPr>
                  <w:r>
                    <w:rPr>
                      <w:color w:val="000000"/>
                      <w:kern w:val="0"/>
                      <w:sz w:val="21"/>
                      <w:szCs w:val="21"/>
                    </w:rPr>
                    <w:t>根据《安徽省“两高”项目管理目录（试行）》，</w:t>
                  </w:r>
                  <w:r>
                    <w:rPr>
                      <w:color w:val="000000"/>
                      <w:sz w:val="21"/>
                      <w:szCs w:val="21"/>
                    </w:rPr>
                    <w:t>本项目行业类别</w:t>
                  </w:r>
                  <w:r>
                    <w:rPr>
                      <w:rFonts w:hint="eastAsia"/>
                      <w:color w:val="000000"/>
                      <w:sz w:val="21"/>
                      <w:szCs w:val="21"/>
                      <w:lang w:eastAsia="zh-CN"/>
                    </w:rPr>
                    <w:t>C1491营养食品制造</w:t>
                  </w:r>
                  <w:r>
                    <w:rPr>
                      <w:color w:val="000000"/>
                      <w:sz w:val="21"/>
                      <w:szCs w:val="21"/>
                    </w:rPr>
                    <w:t>，不属于其中</w:t>
                  </w:r>
                  <w:r>
                    <w:rPr>
                      <w:rFonts w:hint="eastAsia"/>
                      <w:color w:val="000000"/>
                      <w:sz w:val="21"/>
                      <w:szCs w:val="21"/>
                    </w:rPr>
                    <w:t>“</w:t>
                  </w:r>
                  <w:r>
                    <w:rPr>
                      <w:color w:val="000000"/>
                      <w:sz w:val="21"/>
                      <w:szCs w:val="21"/>
                    </w:rPr>
                    <w:t>两高</w:t>
                  </w:r>
                  <w:r>
                    <w:rPr>
                      <w:rFonts w:hint="eastAsia"/>
                      <w:color w:val="000000"/>
                      <w:sz w:val="21"/>
                      <w:szCs w:val="21"/>
                    </w:rPr>
                    <w:t>”</w:t>
                  </w:r>
                  <w:r>
                    <w:rPr>
                      <w:color w:val="000000"/>
                      <w:sz w:val="21"/>
                      <w:szCs w:val="21"/>
                    </w:rPr>
                    <w:t>行业</w:t>
                  </w:r>
                </w:p>
              </w:tc>
              <w:tc>
                <w:tcPr>
                  <w:tcW w:w="438" w:type="dxa"/>
                  <w:vAlign w:val="center"/>
                </w:tcPr>
                <w:p w14:paraId="6F84CDB5">
                  <w:pPr>
                    <w:adjustRightInd w:val="0"/>
                    <w:snapToGrid w:val="0"/>
                    <w:jc w:val="center"/>
                    <w:rPr>
                      <w:color w:val="000000"/>
                      <w:kern w:val="0"/>
                      <w:sz w:val="21"/>
                      <w:szCs w:val="21"/>
                    </w:rPr>
                  </w:pPr>
                  <w:r>
                    <w:rPr>
                      <w:color w:val="000000"/>
                      <w:kern w:val="0"/>
                      <w:sz w:val="21"/>
                      <w:szCs w:val="21"/>
                    </w:rPr>
                    <w:t>符合</w:t>
                  </w:r>
                </w:p>
              </w:tc>
            </w:tr>
            <w:tr w14:paraId="7500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0DB6E57D">
                  <w:pPr>
                    <w:adjustRightInd w:val="0"/>
                    <w:snapToGrid w:val="0"/>
                    <w:jc w:val="center"/>
                    <w:rPr>
                      <w:color w:val="000000"/>
                      <w:kern w:val="0"/>
                      <w:sz w:val="21"/>
                      <w:szCs w:val="21"/>
                    </w:rPr>
                  </w:pPr>
                </w:p>
              </w:tc>
              <w:tc>
                <w:tcPr>
                  <w:tcW w:w="416" w:type="dxa"/>
                  <w:vMerge w:val="continue"/>
                  <w:vAlign w:val="center"/>
                </w:tcPr>
                <w:p w14:paraId="61F31F83">
                  <w:pPr>
                    <w:adjustRightInd w:val="0"/>
                    <w:snapToGrid w:val="0"/>
                    <w:jc w:val="center"/>
                    <w:rPr>
                      <w:color w:val="000000"/>
                      <w:kern w:val="0"/>
                      <w:sz w:val="21"/>
                      <w:szCs w:val="21"/>
                    </w:rPr>
                  </w:pPr>
                </w:p>
              </w:tc>
              <w:tc>
                <w:tcPr>
                  <w:tcW w:w="414" w:type="dxa"/>
                  <w:vMerge w:val="continue"/>
                  <w:vAlign w:val="center"/>
                </w:tcPr>
                <w:p w14:paraId="450BDE55">
                  <w:pPr>
                    <w:adjustRightInd w:val="0"/>
                    <w:snapToGrid w:val="0"/>
                    <w:jc w:val="center"/>
                    <w:rPr>
                      <w:color w:val="000000"/>
                      <w:kern w:val="0"/>
                      <w:sz w:val="21"/>
                      <w:szCs w:val="21"/>
                    </w:rPr>
                  </w:pPr>
                </w:p>
              </w:tc>
              <w:tc>
                <w:tcPr>
                  <w:tcW w:w="2031" w:type="dxa"/>
                  <w:vAlign w:val="center"/>
                </w:tcPr>
                <w:p w14:paraId="419425C6">
                  <w:pPr>
                    <w:jc w:val="center"/>
                    <w:rPr>
                      <w:b/>
                      <w:bCs/>
                      <w:color w:val="000000"/>
                      <w:kern w:val="0"/>
                      <w:sz w:val="21"/>
                      <w:szCs w:val="21"/>
                    </w:rPr>
                  </w:pPr>
                  <w:r>
                    <w:rPr>
                      <w:color w:val="000000"/>
                      <w:kern w:val="0"/>
                      <w:sz w:val="21"/>
                      <w:szCs w:val="21"/>
                    </w:rPr>
                    <w:t>禁止建设生产和使用高VOCs含量的溶剂型涂料、油墨、胶粘剂等项目。</w:t>
                  </w:r>
                </w:p>
              </w:tc>
              <w:tc>
                <w:tcPr>
                  <w:tcW w:w="2134" w:type="dxa"/>
                  <w:vAlign w:val="center"/>
                </w:tcPr>
                <w:p w14:paraId="45449E04">
                  <w:pPr>
                    <w:jc w:val="center"/>
                    <w:rPr>
                      <w:rFonts w:hint="default" w:eastAsia="宋体"/>
                      <w:color w:val="000000"/>
                      <w:kern w:val="0"/>
                      <w:sz w:val="21"/>
                      <w:szCs w:val="21"/>
                      <w:lang w:val="en-US" w:eastAsia="zh-CN"/>
                    </w:rPr>
                  </w:pPr>
                  <w:r>
                    <w:rPr>
                      <w:color w:val="000000"/>
                      <w:kern w:val="0"/>
                      <w:sz w:val="21"/>
                      <w:szCs w:val="21"/>
                    </w:rPr>
                    <w:t>本项目</w:t>
                  </w:r>
                  <w:r>
                    <w:rPr>
                      <w:rFonts w:hint="eastAsia"/>
                      <w:color w:val="000000"/>
                      <w:kern w:val="0"/>
                      <w:sz w:val="21"/>
                      <w:szCs w:val="21"/>
                      <w:lang w:val="en-US" w:eastAsia="zh-CN"/>
                    </w:rPr>
                    <w:t>不使用涂料、油墨、胶粘剂等</w:t>
                  </w:r>
                </w:p>
              </w:tc>
              <w:tc>
                <w:tcPr>
                  <w:tcW w:w="438" w:type="dxa"/>
                  <w:vAlign w:val="center"/>
                </w:tcPr>
                <w:p w14:paraId="279E702F">
                  <w:pPr>
                    <w:adjustRightInd w:val="0"/>
                    <w:snapToGrid w:val="0"/>
                    <w:jc w:val="center"/>
                    <w:rPr>
                      <w:color w:val="000000"/>
                      <w:kern w:val="0"/>
                      <w:sz w:val="21"/>
                      <w:szCs w:val="21"/>
                    </w:rPr>
                  </w:pPr>
                  <w:r>
                    <w:rPr>
                      <w:color w:val="000000"/>
                      <w:kern w:val="0"/>
                      <w:sz w:val="21"/>
                      <w:szCs w:val="21"/>
                    </w:rPr>
                    <w:t>符合</w:t>
                  </w:r>
                </w:p>
              </w:tc>
            </w:tr>
            <w:tr w14:paraId="2064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497A9F2">
                  <w:pPr>
                    <w:adjustRightInd w:val="0"/>
                    <w:snapToGrid w:val="0"/>
                    <w:jc w:val="center"/>
                    <w:rPr>
                      <w:color w:val="000000"/>
                      <w:kern w:val="0"/>
                      <w:sz w:val="21"/>
                      <w:szCs w:val="21"/>
                    </w:rPr>
                  </w:pPr>
                </w:p>
              </w:tc>
              <w:tc>
                <w:tcPr>
                  <w:tcW w:w="416" w:type="dxa"/>
                  <w:vMerge w:val="continue"/>
                  <w:vAlign w:val="center"/>
                </w:tcPr>
                <w:p w14:paraId="0D65A4C5">
                  <w:pPr>
                    <w:adjustRightInd w:val="0"/>
                    <w:snapToGrid w:val="0"/>
                    <w:jc w:val="center"/>
                    <w:rPr>
                      <w:color w:val="000000"/>
                      <w:kern w:val="0"/>
                      <w:sz w:val="21"/>
                      <w:szCs w:val="21"/>
                    </w:rPr>
                  </w:pPr>
                </w:p>
              </w:tc>
              <w:tc>
                <w:tcPr>
                  <w:tcW w:w="414" w:type="dxa"/>
                  <w:vMerge w:val="continue"/>
                  <w:vAlign w:val="center"/>
                </w:tcPr>
                <w:p w14:paraId="2C7FB3B1">
                  <w:pPr>
                    <w:adjustRightInd w:val="0"/>
                    <w:snapToGrid w:val="0"/>
                    <w:jc w:val="center"/>
                    <w:rPr>
                      <w:color w:val="000000"/>
                      <w:kern w:val="0"/>
                      <w:sz w:val="21"/>
                      <w:szCs w:val="21"/>
                    </w:rPr>
                  </w:pPr>
                </w:p>
              </w:tc>
              <w:tc>
                <w:tcPr>
                  <w:tcW w:w="2031" w:type="dxa"/>
                  <w:vAlign w:val="center"/>
                </w:tcPr>
                <w:p w14:paraId="5202B6B8">
                  <w:pPr>
                    <w:jc w:val="center"/>
                    <w:rPr>
                      <w:color w:val="000000"/>
                      <w:kern w:val="0"/>
                      <w:sz w:val="21"/>
                      <w:szCs w:val="21"/>
                    </w:rPr>
                  </w:pPr>
                  <w:r>
                    <w:rPr>
                      <w:color w:val="000000"/>
                      <w:kern w:val="0"/>
                      <w:sz w:val="21"/>
                      <w:szCs w:val="21"/>
                    </w:rPr>
                    <w:t>非电行业新建项目，禁止配套建设自备纯凝、抽凝燃煤电站。</w:t>
                  </w:r>
                </w:p>
              </w:tc>
              <w:tc>
                <w:tcPr>
                  <w:tcW w:w="2134" w:type="dxa"/>
                  <w:vAlign w:val="center"/>
                </w:tcPr>
                <w:p w14:paraId="154CF4CB">
                  <w:pPr>
                    <w:jc w:val="center"/>
                    <w:rPr>
                      <w:color w:val="000000"/>
                      <w:kern w:val="0"/>
                      <w:sz w:val="21"/>
                      <w:szCs w:val="21"/>
                    </w:rPr>
                  </w:pPr>
                  <w:r>
                    <w:rPr>
                      <w:color w:val="000000"/>
                      <w:kern w:val="0"/>
                      <w:sz w:val="21"/>
                      <w:szCs w:val="21"/>
                    </w:rPr>
                    <w:t>本项目用电来自园区电网，不配套建设纯凝、抽凝燃煤电站</w:t>
                  </w:r>
                </w:p>
              </w:tc>
              <w:tc>
                <w:tcPr>
                  <w:tcW w:w="438" w:type="dxa"/>
                  <w:vAlign w:val="center"/>
                </w:tcPr>
                <w:p w14:paraId="142A8670">
                  <w:pPr>
                    <w:adjustRightInd w:val="0"/>
                    <w:snapToGrid w:val="0"/>
                    <w:jc w:val="center"/>
                    <w:rPr>
                      <w:color w:val="000000"/>
                      <w:kern w:val="0"/>
                      <w:sz w:val="21"/>
                      <w:szCs w:val="21"/>
                    </w:rPr>
                  </w:pPr>
                  <w:r>
                    <w:rPr>
                      <w:color w:val="000000"/>
                      <w:kern w:val="0"/>
                      <w:sz w:val="21"/>
                      <w:szCs w:val="21"/>
                    </w:rPr>
                    <w:t>符合</w:t>
                  </w:r>
                </w:p>
              </w:tc>
            </w:tr>
            <w:tr w14:paraId="5331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1DF002C9">
                  <w:pPr>
                    <w:adjustRightInd w:val="0"/>
                    <w:snapToGrid w:val="0"/>
                    <w:jc w:val="center"/>
                    <w:rPr>
                      <w:color w:val="000000"/>
                      <w:kern w:val="0"/>
                      <w:sz w:val="21"/>
                      <w:szCs w:val="21"/>
                    </w:rPr>
                  </w:pPr>
                </w:p>
              </w:tc>
              <w:tc>
                <w:tcPr>
                  <w:tcW w:w="416" w:type="dxa"/>
                  <w:vMerge w:val="continue"/>
                  <w:vAlign w:val="center"/>
                </w:tcPr>
                <w:p w14:paraId="653ECEBA">
                  <w:pPr>
                    <w:adjustRightInd w:val="0"/>
                    <w:snapToGrid w:val="0"/>
                    <w:jc w:val="center"/>
                    <w:rPr>
                      <w:color w:val="000000"/>
                      <w:kern w:val="0"/>
                      <w:sz w:val="21"/>
                      <w:szCs w:val="21"/>
                    </w:rPr>
                  </w:pPr>
                </w:p>
              </w:tc>
              <w:tc>
                <w:tcPr>
                  <w:tcW w:w="414" w:type="dxa"/>
                  <w:vMerge w:val="continue"/>
                  <w:vAlign w:val="center"/>
                </w:tcPr>
                <w:p w14:paraId="6E44BEDD">
                  <w:pPr>
                    <w:adjustRightInd w:val="0"/>
                    <w:snapToGrid w:val="0"/>
                    <w:jc w:val="center"/>
                    <w:rPr>
                      <w:color w:val="000000"/>
                      <w:kern w:val="0"/>
                      <w:sz w:val="21"/>
                      <w:szCs w:val="21"/>
                    </w:rPr>
                  </w:pPr>
                </w:p>
              </w:tc>
              <w:tc>
                <w:tcPr>
                  <w:tcW w:w="2031" w:type="dxa"/>
                  <w:vAlign w:val="center"/>
                </w:tcPr>
                <w:p w14:paraId="37367377">
                  <w:pPr>
                    <w:jc w:val="center"/>
                    <w:rPr>
                      <w:color w:val="000000"/>
                      <w:kern w:val="0"/>
                      <w:sz w:val="21"/>
                      <w:szCs w:val="21"/>
                    </w:rPr>
                  </w:pPr>
                  <w:r>
                    <w:rPr>
                      <w:color w:val="000000"/>
                      <w:kern w:val="0"/>
                      <w:sz w:val="21"/>
                      <w:szCs w:val="21"/>
                    </w:rPr>
                    <w:t>在城市建成区及居民区、医院、学校等环境敏感区域，严禁现场露天灰土拌合。</w:t>
                  </w:r>
                </w:p>
              </w:tc>
              <w:tc>
                <w:tcPr>
                  <w:tcW w:w="2134" w:type="dxa"/>
                  <w:vAlign w:val="center"/>
                </w:tcPr>
                <w:p w14:paraId="518A1FC0">
                  <w:pPr>
                    <w:jc w:val="center"/>
                    <w:rPr>
                      <w:color w:val="000000"/>
                      <w:kern w:val="0"/>
                      <w:sz w:val="21"/>
                      <w:szCs w:val="21"/>
                    </w:rPr>
                  </w:pPr>
                  <w:r>
                    <w:rPr>
                      <w:color w:val="000000"/>
                      <w:kern w:val="0"/>
                      <w:sz w:val="21"/>
                      <w:szCs w:val="21"/>
                    </w:rPr>
                    <w:t>项目施工建设时严格执行《安徽省建筑工程施工扬尘污染防治规定》、《宿州市大气污染专项整治工作行动方案》、《关于严格执行全市城区房屋建筑施工现场扬尘治理六个百分之百标准的通知》中相关要求，不涉及露天灰土拌合</w:t>
                  </w:r>
                </w:p>
              </w:tc>
              <w:tc>
                <w:tcPr>
                  <w:tcW w:w="438" w:type="dxa"/>
                  <w:vAlign w:val="center"/>
                </w:tcPr>
                <w:p w14:paraId="67CA4C4F">
                  <w:pPr>
                    <w:adjustRightInd w:val="0"/>
                    <w:snapToGrid w:val="0"/>
                    <w:jc w:val="center"/>
                    <w:rPr>
                      <w:color w:val="000000"/>
                      <w:kern w:val="0"/>
                      <w:sz w:val="21"/>
                      <w:szCs w:val="21"/>
                    </w:rPr>
                  </w:pPr>
                  <w:r>
                    <w:rPr>
                      <w:color w:val="000000"/>
                      <w:kern w:val="0"/>
                      <w:sz w:val="21"/>
                      <w:szCs w:val="21"/>
                    </w:rPr>
                    <w:t>符合</w:t>
                  </w:r>
                </w:p>
              </w:tc>
            </w:tr>
            <w:tr w14:paraId="65CA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A108666">
                  <w:pPr>
                    <w:adjustRightInd w:val="0"/>
                    <w:snapToGrid w:val="0"/>
                    <w:jc w:val="center"/>
                    <w:rPr>
                      <w:color w:val="000000"/>
                      <w:kern w:val="0"/>
                      <w:sz w:val="21"/>
                      <w:szCs w:val="21"/>
                    </w:rPr>
                  </w:pPr>
                </w:p>
              </w:tc>
              <w:tc>
                <w:tcPr>
                  <w:tcW w:w="416" w:type="dxa"/>
                  <w:vMerge w:val="continue"/>
                  <w:vAlign w:val="center"/>
                </w:tcPr>
                <w:p w14:paraId="53D9F3C8">
                  <w:pPr>
                    <w:adjustRightInd w:val="0"/>
                    <w:snapToGrid w:val="0"/>
                    <w:jc w:val="center"/>
                    <w:rPr>
                      <w:color w:val="000000"/>
                      <w:kern w:val="0"/>
                      <w:sz w:val="21"/>
                      <w:szCs w:val="21"/>
                    </w:rPr>
                  </w:pPr>
                </w:p>
              </w:tc>
              <w:tc>
                <w:tcPr>
                  <w:tcW w:w="414" w:type="dxa"/>
                  <w:vMerge w:val="continue"/>
                  <w:vAlign w:val="center"/>
                </w:tcPr>
                <w:p w14:paraId="44DA04F4">
                  <w:pPr>
                    <w:adjustRightInd w:val="0"/>
                    <w:snapToGrid w:val="0"/>
                    <w:jc w:val="center"/>
                    <w:rPr>
                      <w:color w:val="000000"/>
                      <w:kern w:val="0"/>
                      <w:sz w:val="21"/>
                      <w:szCs w:val="21"/>
                    </w:rPr>
                  </w:pPr>
                </w:p>
              </w:tc>
              <w:tc>
                <w:tcPr>
                  <w:tcW w:w="2031" w:type="dxa"/>
                  <w:vAlign w:val="center"/>
                </w:tcPr>
                <w:p w14:paraId="2FDA7968">
                  <w:pPr>
                    <w:jc w:val="center"/>
                    <w:rPr>
                      <w:color w:val="000000"/>
                      <w:kern w:val="0"/>
                      <w:sz w:val="21"/>
                      <w:szCs w:val="21"/>
                    </w:rPr>
                  </w:pPr>
                  <w:r>
                    <w:rPr>
                      <w:color w:val="000000"/>
                      <w:kern w:val="0"/>
                      <w:sz w:val="21"/>
                      <w:szCs w:val="21"/>
                    </w:rPr>
                    <w:t>在城市规划区内禁止新建、扩建大气污染严重的建设项目。</w:t>
                  </w:r>
                </w:p>
              </w:tc>
              <w:tc>
                <w:tcPr>
                  <w:tcW w:w="2134" w:type="dxa"/>
                  <w:vAlign w:val="center"/>
                </w:tcPr>
                <w:p w14:paraId="5D0A0A3D">
                  <w:pPr>
                    <w:jc w:val="center"/>
                    <w:rPr>
                      <w:color w:val="000000"/>
                      <w:kern w:val="0"/>
                      <w:sz w:val="21"/>
                      <w:szCs w:val="21"/>
                    </w:rPr>
                  </w:pPr>
                  <w:r>
                    <w:rPr>
                      <w:color w:val="000000"/>
                      <w:kern w:val="0"/>
                      <w:sz w:val="21"/>
                      <w:szCs w:val="21"/>
                    </w:rPr>
                    <w:t>项目</w:t>
                  </w:r>
                  <w:r>
                    <w:rPr>
                      <w:rFonts w:hint="eastAsia"/>
                      <w:color w:val="000000"/>
                      <w:kern w:val="0"/>
                      <w:sz w:val="21"/>
                      <w:szCs w:val="21"/>
                      <w:lang w:val="en-US" w:eastAsia="zh-CN"/>
                    </w:rPr>
                    <w:t>废气产生量较少，采用无组织排放</w:t>
                  </w:r>
                  <w:r>
                    <w:rPr>
                      <w:color w:val="000000"/>
                      <w:kern w:val="0"/>
                      <w:sz w:val="21"/>
                      <w:szCs w:val="21"/>
                    </w:rPr>
                    <w:t>，不属于废气污染严重的项目</w:t>
                  </w:r>
                </w:p>
              </w:tc>
              <w:tc>
                <w:tcPr>
                  <w:tcW w:w="438" w:type="dxa"/>
                  <w:vAlign w:val="center"/>
                </w:tcPr>
                <w:p w14:paraId="61692ECE">
                  <w:pPr>
                    <w:adjustRightInd w:val="0"/>
                    <w:snapToGrid w:val="0"/>
                    <w:jc w:val="center"/>
                    <w:rPr>
                      <w:color w:val="000000"/>
                      <w:kern w:val="0"/>
                      <w:sz w:val="21"/>
                      <w:szCs w:val="21"/>
                    </w:rPr>
                  </w:pPr>
                  <w:r>
                    <w:rPr>
                      <w:color w:val="000000"/>
                      <w:kern w:val="0"/>
                      <w:sz w:val="21"/>
                      <w:szCs w:val="21"/>
                    </w:rPr>
                    <w:t>符合</w:t>
                  </w:r>
                </w:p>
              </w:tc>
            </w:tr>
            <w:tr w14:paraId="0194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4674749">
                  <w:pPr>
                    <w:adjustRightInd w:val="0"/>
                    <w:snapToGrid w:val="0"/>
                    <w:jc w:val="center"/>
                    <w:rPr>
                      <w:color w:val="000000"/>
                      <w:kern w:val="0"/>
                      <w:sz w:val="21"/>
                      <w:szCs w:val="21"/>
                    </w:rPr>
                  </w:pPr>
                </w:p>
              </w:tc>
              <w:tc>
                <w:tcPr>
                  <w:tcW w:w="416" w:type="dxa"/>
                  <w:vMerge w:val="continue"/>
                  <w:vAlign w:val="center"/>
                </w:tcPr>
                <w:p w14:paraId="0C783942">
                  <w:pPr>
                    <w:adjustRightInd w:val="0"/>
                    <w:snapToGrid w:val="0"/>
                    <w:jc w:val="center"/>
                    <w:rPr>
                      <w:color w:val="000000"/>
                      <w:kern w:val="0"/>
                      <w:sz w:val="21"/>
                      <w:szCs w:val="21"/>
                    </w:rPr>
                  </w:pPr>
                </w:p>
              </w:tc>
              <w:tc>
                <w:tcPr>
                  <w:tcW w:w="414" w:type="dxa"/>
                  <w:vMerge w:val="continue"/>
                  <w:vAlign w:val="center"/>
                </w:tcPr>
                <w:p w14:paraId="7D89C681">
                  <w:pPr>
                    <w:adjustRightInd w:val="0"/>
                    <w:snapToGrid w:val="0"/>
                    <w:jc w:val="center"/>
                    <w:rPr>
                      <w:color w:val="000000"/>
                      <w:kern w:val="0"/>
                      <w:sz w:val="21"/>
                      <w:szCs w:val="21"/>
                    </w:rPr>
                  </w:pPr>
                </w:p>
              </w:tc>
              <w:tc>
                <w:tcPr>
                  <w:tcW w:w="2031" w:type="dxa"/>
                  <w:vAlign w:val="center"/>
                </w:tcPr>
                <w:p w14:paraId="3310D36B">
                  <w:pPr>
                    <w:jc w:val="center"/>
                    <w:rPr>
                      <w:color w:val="000000"/>
                      <w:kern w:val="0"/>
                      <w:sz w:val="21"/>
                      <w:szCs w:val="21"/>
                    </w:rPr>
                  </w:pPr>
                  <w:r>
                    <w:rPr>
                      <w:color w:val="000000"/>
                      <w:kern w:val="0"/>
                      <w:sz w:val="21"/>
                      <w:szCs w:val="21"/>
                    </w:rPr>
                    <w:t>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2134" w:type="dxa"/>
                  <w:vAlign w:val="center"/>
                </w:tcPr>
                <w:p w14:paraId="58CB9A4F">
                  <w:pPr>
                    <w:jc w:val="center"/>
                    <w:rPr>
                      <w:color w:val="000000"/>
                      <w:kern w:val="0"/>
                      <w:sz w:val="21"/>
                      <w:szCs w:val="21"/>
                    </w:rPr>
                  </w:pPr>
                  <w:r>
                    <w:rPr>
                      <w:color w:val="000000"/>
                      <w:kern w:val="0"/>
                      <w:sz w:val="21"/>
                      <w:szCs w:val="21"/>
                    </w:rPr>
                    <w:t>项目</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，不涉及高灰分、高硫分煤炭且不涉及煤炭选洗设施</w:t>
                  </w:r>
                </w:p>
              </w:tc>
              <w:tc>
                <w:tcPr>
                  <w:tcW w:w="438" w:type="dxa"/>
                  <w:vAlign w:val="center"/>
                </w:tcPr>
                <w:p w14:paraId="5BC8BB15">
                  <w:pPr>
                    <w:adjustRightInd w:val="0"/>
                    <w:snapToGrid w:val="0"/>
                    <w:jc w:val="center"/>
                    <w:rPr>
                      <w:color w:val="000000"/>
                      <w:kern w:val="0"/>
                      <w:sz w:val="21"/>
                      <w:szCs w:val="21"/>
                    </w:rPr>
                  </w:pPr>
                  <w:r>
                    <w:rPr>
                      <w:color w:val="000000"/>
                      <w:kern w:val="0"/>
                      <w:sz w:val="21"/>
                      <w:szCs w:val="21"/>
                    </w:rPr>
                    <w:t>符合</w:t>
                  </w:r>
                </w:p>
              </w:tc>
            </w:tr>
            <w:tr w14:paraId="0A69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323AE8D2">
                  <w:pPr>
                    <w:adjustRightInd w:val="0"/>
                    <w:snapToGrid w:val="0"/>
                    <w:jc w:val="center"/>
                    <w:rPr>
                      <w:color w:val="000000"/>
                      <w:kern w:val="0"/>
                      <w:sz w:val="21"/>
                      <w:szCs w:val="21"/>
                    </w:rPr>
                  </w:pPr>
                </w:p>
              </w:tc>
              <w:tc>
                <w:tcPr>
                  <w:tcW w:w="416" w:type="dxa"/>
                  <w:vMerge w:val="continue"/>
                  <w:vAlign w:val="center"/>
                </w:tcPr>
                <w:p w14:paraId="2BB38B2B">
                  <w:pPr>
                    <w:adjustRightInd w:val="0"/>
                    <w:snapToGrid w:val="0"/>
                    <w:jc w:val="center"/>
                    <w:rPr>
                      <w:color w:val="000000"/>
                      <w:kern w:val="0"/>
                      <w:sz w:val="21"/>
                      <w:szCs w:val="21"/>
                    </w:rPr>
                  </w:pPr>
                </w:p>
              </w:tc>
              <w:tc>
                <w:tcPr>
                  <w:tcW w:w="414" w:type="dxa"/>
                  <w:vMerge w:val="continue"/>
                  <w:vAlign w:val="center"/>
                </w:tcPr>
                <w:p w14:paraId="729A5730">
                  <w:pPr>
                    <w:adjustRightInd w:val="0"/>
                    <w:snapToGrid w:val="0"/>
                    <w:jc w:val="center"/>
                    <w:rPr>
                      <w:color w:val="000000"/>
                      <w:kern w:val="0"/>
                      <w:sz w:val="21"/>
                      <w:szCs w:val="21"/>
                    </w:rPr>
                  </w:pPr>
                </w:p>
              </w:tc>
              <w:tc>
                <w:tcPr>
                  <w:tcW w:w="2031" w:type="dxa"/>
                  <w:vAlign w:val="center"/>
                </w:tcPr>
                <w:p w14:paraId="4F5AC775">
                  <w:pPr>
                    <w:jc w:val="center"/>
                    <w:rPr>
                      <w:color w:val="000000"/>
                      <w:kern w:val="0"/>
                      <w:sz w:val="21"/>
                      <w:szCs w:val="21"/>
                    </w:rPr>
                  </w:pPr>
                  <w:r>
                    <w:rPr>
                      <w:color w:val="000000"/>
                      <w:kern w:val="0"/>
                      <w:sz w:val="21"/>
                      <w:szCs w:val="21"/>
                    </w:rPr>
                    <w:t>禁止在人口集中地区、机场周围、交通干线附近以及当地人民政府划定的区域露天焚烧秸秆、落叶、垃圾等产生烟尘污染的物质。</w:t>
                  </w:r>
                </w:p>
              </w:tc>
              <w:tc>
                <w:tcPr>
                  <w:tcW w:w="2134" w:type="dxa"/>
                  <w:vAlign w:val="center"/>
                </w:tcPr>
                <w:p w14:paraId="16CE8357">
                  <w:pPr>
                    <w:jc w:val="center"/>
                    <w:rPr>
                      <w:color w:val="000000"/>
                      <w:kern w:val="0"/>
                      <w:sz w:val="21"/>
                      <w:szCs w:val="21"/>
                    </w:rPr>
                  </w:pPr>
                  <w:r>
                    <w:rPr>
                      <w:color w:val="000000"/>
                      <w:kern w:val="0"/>
                      <w:sz w:val="21"/>
                      <w:szCs w:val="21"/>
                    </w:rPr>
                    <w:t>项目不涉及露天焚烧，且产生的粉尘、有机废气均收集处理后达标排放</w:t>
                  </w:r>
                </w:p>
              </w:tc>
              <w:tc>
                <w:tcPr>
                  <w:tcW w:w="438" w:type="dxa"/>
                  <w:vAlign w:val="center"/>
                </w:tcPr>
                <w:p w14:paraId="3C672FFE">
                  <w:pPr>
                    <w:adjustRightInd w:val="0"/>
                    <w:snapToGrid w:val="0"/>
                    <w:jc w:val="center"/>
                    <w:rPr>
                      <w:color w:val="000000"/>
                      <w:kern w:val="0"/>
                      <w:sz w:val="21"/>
                      <w:szCs w:val="21"/>
                    </w:rPr>
                  </w:pPr>
                  <w:r>
                    <w:rPr>
                      <w:color w:val="000000"/>
                      <w:kern w:val="0"/>
                      <w:sz w:val="21"/>
                      <w:szCs w:val="21"/>
                    </w:rPr>
                    <w:t>符合</w:t>
                  </w:r>
                </w:p>
              </w:tc>
            </w:tr>
            <w:tr w14:paraId="36E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233A783">
                  <w:pPr>
                    <w:adjustRightInd w:val="0"/>
                    <w:snapToGrid w:val="0"/>
                    <w:jc w:val="center"/>
                    <w:rPr>
                      <w:color w:val="000000"/>
                      <w:kern w:val="0"/>
                      <w:sz w:val="21"/>
                      <w:szCs w:val="21"/>
                    </w:rPr>
                  </w:pPr>
                </w:p>
              </w:tc>
              <w:tc>
                <w:tcPr>
                  <w:tcW w:w="416" w:type="dxa"/>
                  <w:vMerge w:val="continue"/>
                  <w:vAlign w:val="center"/>
                </w:tcPr>
                <w:p w14:paraId="51D3D7A8">
                  <w:pPr>
                    <w:adjustRightInd w:val="0"/>
                    <w:snapToGrid w:val="0"/>
                    <w:jc w:val="center"/>
                    <w:rPr>
                      <w:color w:val="000000"/>
                      <w:kern w:val="0"/>
                      <w:sz w:val="21"/>
                      <w:szCs w:val="21"/>
                    </w:rPr>
                  </w:pPr>
                </w:p>
              </w:tc>
              <w:tc>
                <w:tcPr>
                  <w:tcW w:w="414" w:type="dxa"/>
                  <w:vMerge w:val="continue"/>
                  <w:vAlign w:val="center"/>
                </w:tcPr>
                <w:p w14:paraId="5091A16A">
                  <w:pPr>
                    <w:adjustRightInd w:val="0"/>
                    <w:snapToGrid w:val="0"/>
                    <w:jc w:val="center"/>
                    <w:rPr>
                      <w:color w:val="000000"/>
                      <w:kern w:val="0"/>
                      <w:sz w:val="21"/>
                      <w:szCs w:val="21"/>
                    </w:rPr>
                  </w:pPr>
                </w:p>
              </w:tc>
              <w:tc>
                <w:tcPr>
                  <w:tcW w:w="2031" w:type="dxa"/>
                  <w:vAlign w:val="center"/>
                </w:tcPr>
                <w:p w14:paraId="136D61B9">
                  <w:pPr>
                    <w:jc w:val="center"/>
                    <w:rPr>
                      <w:color w:val="000000"/>
                      <w:kern w:val="0"/>
                      <w:sz w:val="21"/>
                      <w:szCs w:val="21"/>
                    </w:rPr>
                  </w:pPr>
                  <w:r>
                    <w:rPr>
                      <w:color w:val="000000"/>
                      <w:kern w:val="0"/>
                      <w:sz w:val="21"/>
                      <w:szCs w:val="21"/>
                    </w:rPr>
                    <w:t>在燃气管网和集中供热管网覆盖的区域，不得新建、扩建、改建燃烧煤炭、重油、渣油的供热设施；原有分散的中小型燃煤供热锅炉应当限期拆除。</w:t>
                  </w:r>
                </w:p>
              </w:tc>
              <w:tc>
                <w:tcPr>
                  <w:tcW w:w="2134" w:type="dxa"/>
                  <w:vAlign w:val="center"/>
                </w:tcPr>
                <w:p w14:paraId="074BB788">
                  <w:pPr>
                    <w:jc w:val="center"/>
                    <w:rPr>
                      <w:color w:val="000000"/>
                      <w:kern w:val="0"/>
                      <w:sz w:val="21"/>
                      <w:szCs w:val="21"/>
                    </w:rPr>
                  </w:pPr>
                  <w:r>
                    <w:rPr>
                      <w:color w:val="000000"/>
                      <w:kern w:val="0"/>
                      <w:sz w:val="21"/>
                      <w:szCs w:val="21"/>
                    </w:rPr>
                    <w:t>项目主要使用能源为电，不涉及煤炭锅炉</w:t>
                  </w:r>
                </w:p>
              </w:tc>
              <w:tc>
                <w:tcPr>
                  <w:tcW w:w="438" w:type="dxa"/>
                  <w:vAlign w:val="center"/>
                </w:tcPr>
                <w:p w14:paraId="4C8BEC71">
                  <w:pPr>
                    <w:adjustRightInd w:val="0"/>
                    <w:snapToGrid w:val="0"/>
                    <w:jc w:val="center"/>
                    <w:rPr>
                      <w:color w:val="000000"/>
                      <w:kern w:val="0"/>
                      <w:sz w:val="21"/>
                      <w:szCs w:val="21"/>
                    </w:rPr>
                  </w:pPr>
                  <w:r>
                    <w:rPr>
                      <w:color w:val="000000"/>
                      <w:kern w:val="0"/>
                      <w:sz w:val="21"/>
                      <w:szCs w:val="21"/>
                    </w:rPr>
                    <w:t>符合</w:t>
                  </w:r>
                </w:p>
              </w:tc>
            </w:tr>
            <w:tr w14:paraId="47F9D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0457428D">
                  <w:pPr>
                    <w:adjustRightInd w:val="0"/>
                    <w:snapToGrid w:val="0"/>
                    <w:jc w:val="center"/>
                    <w:rPr>
                      <w:color w:val="000000"/>
                      <w:kern w:val="0"/>
                      <w:sz w:val="21"/>
                      <w:szCs w:val="21"/>
                    </w:rPr>
                  </w:pPr>
                </w:p>
              </w:tc>
              <w:tc>
                <w:tcPr>
                  <w:tcW w:w="416" w:type="dxa"/>
                  <w:vMerge w:val="continue"/>
                  <w:vAlign w:val="center"/>
                </w:tcPr>
                <w:p w14:paraId="682A0BEE">
                  <w:pPr>
                    <w:adjustRightInd w:val="0"/>
                    <w:snapToGrid w:val="0"/>
                    <w:jc w:val="center"/>
                    <w:rPr>
                      <w:color w:val="000000"/>
                      <w:kern w:val="0"/>
                      <w:sz w:val="21"/>
                      <w:szCs w:val="21"/>
                    </w:rPr>
                  </w:pPr>
                </w:p>
              </w:tc>
              <w:tc>
                <w:tcPr>
                  <w:tcW w:w="414" w:type="dxa"/>
                  <w:vMerge w:val="continue"/>
                  <w:vAlign w:val="center"/>
                </w:tcPr>
                <w:p w14:paraId="2C33B3B2">
                  <w:pPr>
                    <w:adjustRightInd w:val="0"/>
                    <w:snapToGrid w:val="0"/>
                    <w:jc w:val="center"/>
                    <w:rPr>
                      <w:color w:val="000000"/>
                      <w:kern w:val="0"/>
                      <w:sz w:val="21"/>
                      <w:szCs w:val="21"/>
                    </w:rPr>
                  </w:pPr>
                </w:p>
              </w:tc>
              <w:tc>
                <w:tcPr>
                  <w:tcW w:w="2031" w:type="dxa"/>
                  <w:vAlign w:val="center"/>
                </w:tcPr>
                <w:p w14:paraId="63A82713">
                  <w:pPr>
                    <w:jc w:val="center"/>
                    <w:rPr>
                      <w:color w:val="000000"/>
                      <w:kern w:val="0"/>
                      <w:sz w:val="21"/>
                      <w:szCs w:val="21"/>
                    </w:rPr>
                  </w:pPr>
                  <w:r>
                    <w:rPr>
                      <w:color w:val="000000"/>
                      <w:kern w:val="0"/>
                      <w:sz w:val="21"/>
                      <w:szCs w:val="21"/>
                    </w:rPr>
                    <w:t>禁止在居民住宅楼、未配套设立专用烟道的商住综合楼、商住综合楼内与居住层相邻的商业楼层内新建、改建、扩建产生油烟、异味、废气的饮食服务项目。</w:t>
                  </w:r>
                </w:p>
              </w:tc>
              <w:tc>
                <w:tcPr>
                  <w:tcW w:w="2134" w:type="dxa"/>
                  <w:vAlign w:val="center"/>
                </w:tcPr>
                <w:p w14:paraId="72336DDD">
                  <w:pPr>
                    <w:jc w:val="center"/>
                    <w:rPr>
                      <w:color w:val="000000"/>
                      <w:kern w:val="0"/>
                      <w:sz w:val="21"/>
                      <w:szCs w:val="21"/>
                    </w:rPr>
                  </w:pPr>
                  <w:r>
                    <w:rPr>
                      <w:color w:val="000000"/>
                      <w:kern w:val="0"/>
                      <w:sz w:val="21"/>
                      <w:szCs w:val="21"/>
                    </w:rPr>
                    <w:t>项目</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，不属于饮食服务项目</w:t>
                  </w:r>
                </w:p>
              </w:tc>
              <w:tc>
                <w:tcPr>
                  <w:tcW w:w="438" w:type="dxa"/>
                  <w:vAlign w:val="center"/>
                </w:tcPr>
                <w:p w14:paraId="6109C77D">
                  <w:pPr>
                    <w:adjustRightInd w:val="0"/>
                    <w:snapToGrid w:val="0"/>
                    <w:jc w:val="center"/>
                    <w:rPr>
                      <w:color w:val="000000"/>
                      <w:kern w:val="0"/>
                      <w:sz w:val="21"/>
                      <w:szCs w:val="21"/>
                    </w:rPr>
                  </w:pPr>
                  <w:r>
                    <w:rPr>
                      <w:color w:val="000000"/>
                      <w:kern w:val="0"/>
                      <w:sz w:val="21"/>
                      <w:szCs w:val="21"/>
                    </w:rPr>
                    <w:t>符合</w:t>
                  </w:r>
                </w:p>
              </w:tc>
            </w:tr>
            <w:tr w14:paraId="5DD9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491E8F4B">
                  <w:pPr>
                    <w:adjustRightInd w:val="0"/>
                    <w:snapToGrid w:val="0"/>
                    <w:jc w:val="center"/>
                    <w:rPr>
                      <w:color w:val="000000"/>
                      <w:kern w:val="0"/>
                      <w:sz w:val="21"/>
                      <w:szCs w:val="21"/>
                    </w:rPr>
                  </w:pPr>
                </w:p>
              </w:tc>
              <w:tc>
                <w:tcPr>
                  <w:tcW w:w="416" w:type="dxa"/>
                  <w:vMerge w:val="continue"/>
                  <w:vAlign w:val="center"/>
                </w:tcPr>
                <w:p w14:paraId="6E405D5C">
                  <w:pPr>
                    <w:adjustRightInd w:val="0"/>
                    <w:snapToGrid w:val="0"/>
                    <w:jc w:val="center"/>
                    <w:rPr>
                      <w:color w:val="000000"/>
                      <w:kern w:val="0"/>
                      <w:sz w:val="21"/>
                      <w:szCs w:val="21"/>
                    </w:rPr>
                  </w:pPr>
                </w:p>
              </w:tc>
              <w:tc>
                <w:tcPr>
                  <w:tcW w:w="414" w:type="dxa"/>
                  <w:vMerge w:val="continue"/>
                  <w:vAlign w:val="center"/>
                </w:tcPr>
                <w:p w14:paraId="3FB4B29B">
                  <w:pPr>
                    <w:adjustRightInd w:val="0"/>
                    <w:snapToGrid w:val="0"/>
                    <w:jc w:val="center"/>
                    <w:rPr>
                      <w:color w:val="000000"/>
                      <w:kern w:val="0"/>
                      <w:sz w:val="21"/>
                      <w:szCs w:val="21"/>
                    </w:rPr>
                  </w:pPr>
                </w:p>
              </w:tc>
              <w:tc>
                <w:tcPr>
                  <w:tcW w:w="2031" w:type="dxa"/>
                  <w:vAlign w:val="center"/>
                </w:tcPr>
                <w:p w14:paraId="2F6DB6CF">
                  <w:pPr>
                    <w:jc w:val="center"/>
                    <w:rPr>
                      <w:color w:val="000000"/>
                      <w:kern w:val="0"/>
                      <w:sz w:val="21"/>
                      <w:szCs w:val="21"/>
                    </w:rPr>
                  </w:pPr>
                  <w:r>
                    <w:rPr>
                      <w:color w:val="000000"/>
                      <w:kern w:val="0"/>
                      <w:sz w:val="21"/>
                      <w:szCs w:val="21"/>
                    </w:rPr>
                    <w:t>任何单位和个人不得在政府划定的禁止露天烧烤区域内露天烧烤食品或者为露天烧烤食品提供场地。</w:t>
                  </w:r>
                </w:p>
              </w:tc>
              <w:tc>
                <w:tcPr>
                  <w:tcW w:w="2134" w:type="dxa"/>
                  <w:vAlign w:val="center"/>
                </w:tcPr>
                <w:p w14:paraId="11937283">
                  <w:pPr>
                    <w:jc w:val="center"/>
                    <w:rPr>
                      <w:color w:val="000000"/>
                      <w:kern w:val="0"/>
                      <w:sz w:val="21"/>
                      <w:szCs w:val="21"/>
                    </w:rPr>
                  </w:pPr>
                  <w:r>
                    <w:rPr>
                      <w:color w:val="000000"/>
                      <w:kern w:val="0"/>
                      <w:sz w:val="21"/>
                      <w:szCs w:val="21"/>
                    </w:rPr>
                    <w:t>本项目不在政府划定的禁止露天烧烤区域内露天烧烤食品或者为露天烧烤食品提供场地</w:t>
                  </w:r>
                </w:p>
              </w:tc>
              <w:tc>
                <w:tcPr>
                  <w:tcW w:w="438" w:type="dxa"/>
                  <w:vAlign w:val="center"/>
                </w:tcPr>
                <w:p w14:paraId="6BA7E07E">
                  <w:pPr>
                    <w:adjustRightInd w:val="0"/>
                    <w:snapToGrid w:val="0"/>
                    <w:jc w:val="center"/>
                    <w:rPr>
                      <w:color w:val="000000"/>
                      <w:kern w:val="0"/>
                      <w:sz w:val="21"/>
                      <w:szCs w:val="21"/>
                    </w:rPr>
                  </w:pPr>
                  <w:r>
                    <w:rPr>
                      <w:color w:val="000000"/>
                      <w:kern w:val="0"/>
                      <w:sz w:val="21"/>
                      <w:szCs w:val="21"/>
                    </w:rPr>
                    <w:t>符合</w:t>
                  </w:r>
                </w:p>
              </w:tc>
            </w:tr>
            <w:tr w14:paraId="26ED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22AB660">
                  <w:pPr>
                    <w:adjustRightInd w:val="0"/>
                    <w:snapToGrid w:val="0"/>
                    <w:jc w:val="center"/>
                    <w:rPr>
                      <w:color w:val="000000"/>
                      <w:kern w:val="0"/>
                      <w:sz w:val="21"/>
                      <w:szCs w:val="21"/>
                    </w:rPr>
                  </w:pPr>
                </w:p>
              </w:tc>
              <w:tc>
                <w:tcPr>
                  <w:tcW w:w="416" w:type="dxa"/>
                  <w:vMerge w:val="continue"/>
                  <w:vAlign w:val="center"/>
                </w:tcPr>
                <w:p w14:paraId="2335BB32">
                  <w:pPr>
                    <w:adjustRightInd w:val="0"/>
                    <w:snapToGrid w:val="0"/>
                    <w:jc w:val="center"/>
                    <w:rPr>
                      <w:color w:val="000000"/>
                      <w:kern w:val="0"/>
                      <w:sz w:val="21"/>
                      <w:szCs w:val="21"/>
                    </w:rPr>
                  </w:pPr>
                </w:p>
              </w:tc>
              <w:tc>
                <w:tcPr>
                  <w:tcW w:w="414" w:type="dxa"/>
                  <w:vMerge w:val="continue"/>
                  <w:vAlign w:val="center"/>
                </w:tcPr>
                <w:p w14:paraId="4DD8695C">
                  <w:pPr>
                    <w:adjustRightInd w:val="0"/>
                    <w:snapToGrid w:val="0"/>
                    <w:jc w:val="center"/>
                    <w:rPr>
                      <w:color w:val="000000"/>
                      <w:kern w:val="0"/>
                      <w:sz w:val="21"/>
                      <w:szCs w:val="21"/>
                    </w:rPr>
                  </w:pPr>
                </w:p>
              </w:tc>
              <w:tc>
                <w:tcPr>
                  <w:tcW w:w="2031" w:type="dxa"/>
                  <w:vAlign w:val="center"/>
                </w:tcPr>
                <w:p w14:paraId="3B91A38B">
                  <w:pPr>
                    <w:jc w:val="center"/>
                    <w:rPr>
                      <w:color w:val="000000"/>
                      <w:kern w:val="0"/>
                      <w:sz w:val="21"/>
                      <w:szCs w:val="21"/>
                    </w:rPr>
                  </w:pPr>
                  <w:r>
                    <w:rPr>
                      <w:color w:val="000000"/>
                      <w:kern w:val="0"/>
                      <w:sz w:val="21"/>
                      <w:szCs w:val="21"/>
                    </w:rPr>
                    <w:t>在机关、学校、医院、居民住宅区等人口集中地区和其他依法需要特殊保护的区域内，禁止从事下列生产活动：</w:t>
                  </w:r>
                </w:p>
                <w:p w14:paraId="756F9154">
                  <w:pPr>
                    <w:jc w:val="center"/>
                    <w:rPr>
                      <w:color w:val="000000"/>
                      <w:kern w:val="0"/>
                      <w:sz w:val="21"/>
                      <w:szCs w:val="21"/>
                    </w:rPr>
                  </w:pPr>
                  <w:r>
                    <w:rPr>
                      <w:color w:val="000000"/>
                      <w:kern w:val="0"/>
                      <w:sz w:val="21"/>
                      <w:szCs w:val="21"/>
                    </w:rPr>
                    <w:t>（1）橡胶制品生产、经营性喷漆、制骨胶、制骨粉、屠宰、畜禽养殖、生物发酵等产生恶臭、有毒有害气体的生产经营活动；</w:t>
                  </w:r>
                </w:p>
                <w:p w14:paraId="4AF8511C">
                  <w:pPr>
                    <w:jc w:val="center"/>
                    <w:rPr>
                      <w:color w:val="000000"/>
                      <w:kern w:val="0"/>
                      <w:sz w:val="21"/>
                      <w:szCs w:val="21"/>
                    </w:rPr>
                  </w:pPr>
                  <w:r>
                    <w:rPr>
                      <w:color w:val="000000"/>
                      <w:kern w:val="0"/>
                      <w:sz w:val="21"/>
                      <w:szCs w:val="21"/>
                    </w:rPr>
                    <w:t>（2）露天焚烧油毡、沥青、橡胶、塑料、皮革、垃圾或者其他可能产生恶臭、有毒有害气体的活动。</w:t>
                  </w:r>
                </w:p>
              </w:tc>
              <w:tc>
                <w:tcPr>
                  <w:tcW w:w="2134" w:type="dxa"/>
                  <w:vMerge w:val="restart"/>
                  <w:vAlign w:val="center"/>
                </w:tcPr>
                <w:p w14:paraId="0F774394">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，不涉及以上生产活动</w:t>
                  </w:r>
                </w:p>
              </w:tc>
              <w:tc>
                <w:tcPr>
                  <w:tcW w:w="438" w:type="dxa"/>
                  <w:vMerge w:val="restart"/>
                  <w:vAlign w:val="center"/>
                </w:tcPr>
                <w:p w14:paraId="371A62B7">
                  <w:pPr>
                    <w:adjustRightInd w:val="0"/>
                    <w:snapToGrid w:val="0"/>
                    <w:jc w:val="center"/>
                    <w:rPr>
                      <w:color w:val="000000"/>
                      <w:kern w:val="0"/>
                      <w:sz w:val="21"/>
                      <w:szCs w:val="21"/>
                    </w:rPr>
                  </w:pPr>
                  <w:r>
                    <w:rPr>
                      <w:color w:val="000000"/>
                      <w:kern w:val="0"/>
                      <w:sz w:val="21"/>
                      <w:szCs w:val="21"/>
                    </w:rPr>
                    <w:t>符合</w:t>
                  </w:r>
                </w:p>
              </w:tc>
            </w:tr>
            <w:tr w14:paraId="0AE7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77F46647">
                  <w:pPr>
                    <w:adjustRightInd w:val="0"/>
                    <w:snapToGrid w:val="0"/>
                    <w:jc w:val="center"/>
                    <w:rPr>
                      <w:color w:val="000000"/>
                      <w:kern w:val="0"/>
                      <w:sz w:val="21"/>
                      <w:szCs w:val="21"/>
                    </w:rPr>
                  </w:pPr>
                </w:p>
              </w:tc>
              <w:tc>
                <w:tcPr>
                  <w:tcW w:w="416" w:type="dxa"/>
                  <w:vMerge w:val="continue"/>
                  <w:vAlign w:val="center"/>
                </w:tcPr>
                <w:p w14:paraId="3F76337C">
                  <w:pPr>
                    <w:adjustRightInd w:val="0"/>
                    <w:snapToGrid w:val="0"/>
                    <w:jc w:val="center"/>
                    <w:rPr>
                      <w:color w:val="000000"/>
                      <w:kern w:val="0"/>
                      <w:sz w:val="21"/>
                      <w:szCs w:val="21"/>
                    </w:rPr>
                  </w:pPr>
                </w:p>
              </w:tc>
              <w:tc>
                <w:tcPr>
                  <w:tcW w:w="414" w:type="dxa"/>
                  <w:vMerge w:val="continue"/>
                  <w:vAlign w:val="center"/>
                </w:tcPr>
                <w:p w14:paraId="2391F8F4">
                  <w:pPr>
                    <w:adjustRightInd w:val="0"/>
                    <w:snapToGrid w:val="0"/>
                    <w:jc w:val="center"/>
                    <w:rPr>
                      <w:color w:val="000000"/>
                      <w:kern w:val="0"/>
                      <w:sz w:val="21"/>
                      <w:szCs w:val="21"/>
                    </w:rPr>
                  </w:pPr>
                </w:p>
              </w:tc>
              <w:tc>
                <w:tcPr>
                  <w:tcW w:w="2031" w:type="dxa"/>
                  <w:vAlign w:val="center"/>
                </w:tcPr>
                <w:p w14:paraId="047DD8C3">
                  <w:pPr>
                    <w:jc w:val="center"/>
                    <w:rPr>
                      <w:color w:val="000000"/>
                      <w:kern w:val="0"/>
                      <w:sz w:val="21"/>
                      <w:szCs w:val="21"/>
                    </w:rPr>
                  </w:pPr>
                  <w:r>
                    <w:rPr>
                      <w:color w:val="000000"/>
                      <w:kern w:val="0"/>
                      <w:sz w:val="21"/>
                      <w:szCs w:val="21"/>
                    </w:rPr>
                    <w:t>在城市建成区，禁止新建VOCs高污染企业。</w:t>
                  </w:r>
                </w:p>
              </w:tc>
              <w:tc>
                <w:tcPr>
                  <w:tcW w:w="2134" w:type="dxa"/>
                  <w:vMerge w:val="continue"/>
                  <w:vAlign w:val="center"/>
                </w:tcPr>
                <w:p w14:paraId="7739F3E0">
                  <w:pPr>
                    <w:jc w:val="center"/>
                    <w:rPr>
                      <w:color w:val="000000"/>
                      <w:kern w:val="0"/>
                      <w:sz w:val="21"/>
                      <w:szCs w:val="21"/>
                    </w:rPr>
                  </w:pPr>
                </w:p>
              </w:tc>
              <w:tc>
                <w:tcPr>
                  <w:tcW w:w="438" w:type="dxa"/>
                  <w:vMerge w:val="continue"/>
                  <w:vAlign w:val="center"/>
                </w:tcPr>
                <w:p w14:paraId="0645CF53">
                  <w:pPr>
                    <w:adjustRightInd w:val="0"/>
                    <w:snapToGrid w:val="0"/>
                    <w:jc w:val="center"/>
                    <w:rPr>
                      <w:color w:val="000000"/>
                      <w:kern w:val="0"/>
                      <w:sz w:val="21"/>
                      <w:szCs w:val="21"/>
                    </w:rPr>
                  </w:pPr>
                </w:p>
              </w:tc>
            </w:tr>
            <w:tr w14:paraId="25BA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A96DC61">
                  <w:pPr>
                    <w:adjustRightInd w:val="0"/>
                    <w:snapToGrid w:val="0"/>
                    <w:jc w:val="center"/>
                    <w:rPr>
                      <w:color w:val="000000"/>
                      <w:kern w:val="0"/>
                      <w:sz w:val="21"/>
                      <w:szCs w:val="21"/>
                    </w:rPr>
                  </w:pPr>
                </w:p>
              </w:tc>
              <w:tc>
                <w:tcPr>
                  <w:tcW w:w="416" w:type="dxa"/>
                  <w:vMerge w:val="continue"/>
                  <w:vAlign w:val="center"/>
                </w:tcPr>
                <w:p w14:paraId="3578AA64">
                  <w:pPr>
                    <w:adjustRightInd w:val="0"/>
                    <w:snapToGrid w:val="0"/>
                    <w:jc w:val="center"/>
                    <w:rPr>
                      <w:color w:val="000000"/>
                      <w:kern w:val="0"/>
                      <w:sz w:val="21"/>
                      <w:szCs w:val="21"/>
                    </w:rPr>
                  </w:pPr>
                </w:p>
              </w:tc>
              <w:tc>
                <w:tcPr>
                  <w:tcW w:w="414" w:type="dxa"/>
                  <w:vMerge w:val="restart"/>
                  <w:vAlign w:val="center"/>
                </w:tcPr>
                <w:p w14:paraId="40CC3699">
                  <w:pPr>
                    <w:adjustRightInd w:val="0"/>
                    <w:snapToGrid w:val="0"/>
                    <w:jc w:val="center"/>
                    <w:rPr>
                      <w:color w:val="000000"/>
                      <w:kern w:val="0"/>
                      <w:sz w:val="21"/>
                      <w:szCs w:val="21"/>
                    </w:rPr>
                  </w:pPr>
                  <w:r>
                    <w:rPr>
                      <w:color w:val="000000"/>
                      <w:kern w:val="0"/>
                      <w:sz w:val="21"/>
                      <w:szCs w:val="21"/>
                    </w:rPr>
                    <w:t>限值开发建设活动的要求</w:t>
                  </w:r>
                </w:p>
              </w:tc>
              <w:tc>
                <w:tcPr>
                  <w:tcW w:w="2031" w:type="dxa"/>
                  <w:vAlign w:val="center"/>
                </w:tcPr>
                <w:p w14:paraId="32153807">
                  <w:pPr>
                    <w:jc w:val="center"/>
                    <w:rPr>
                      <w:color w:val="000000"/>
                      <w:kern w:val="0"/>
                      <w:sz w:val="21"/>
                      <w:szCs w:val="21"/>
                    </w:rPr>
                  </w:pPr>
                  <w:r>
                    <w:rPr>
                      <w:color w:val="000000"/>
                      <w:kern w:val="0"/>
                      <w:sz w:val="21"/>
                      <w:szCs w:val="21"/>
                    </w:rPr>
                    <w:t>加大钢铁、铸造、炼焦、建材、电解铝等产能压减力度。</w:t>
                  </w:r>
                </w:p>
              </w:tc>
              <w:tc>
                <w:tcPr>
                  <w:tcW w:w="2134" w:type="dxa"/>
                  <w:vAlign w:val="center"/>
                </w:tcPr>
                <w:p w14:paraId="29A4CC5E">
                  <w:pPr>
                    <w:jc w:val="center"/>
                    <w:rPr>
                      <w:color w:val="000000"/>
                      <w:kern w:val="0"/>
                      <w:sz w:val="21"/>
                      <w:szCs w:val="21"/>
                    </w:rPr>
                  </w:pPr>
                  <w:r>
                    <w:rPr>
                      <w:color w:val="000000"/>
                      <w:kern w:val="0"/>
                      <w:sz w:val="21"/>
                      <w:szCs w:val="21"/>
                    </w:rPr>
                    <w:t>项目为</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，不属于其中钢铁、铸造、炼焦、建材、电解铝行业</w:t>
                  </w:r>
                </w:p>
              </w:tc>
              <w:tc>
                <w:tcPr>
                  <w:tcW w:w="438" w:type="dxa"/>
                  <w:vAlign w:val="center"/>
                </w:tcPr>
                <w:p w14:paraId="3FA3A5BD">
                  <w:pPr>
                    <w:adjustRightInd w:val="0"/>
                    <w:snapToGrid w:val="0"/>
                    <w:jc w:val="center"/>
                    <w:rPr>
                      <w:color w:val="000000"/>
                      <w:kern w:val="0"/>
                      <w:sz w:val="21"/>
                      <w:szCs w:val="21"/>
                    </w:rPr>
                  </w:pPr>
                  <w:r>
                    <w:rPr>
                      <w:color w:val="000000"/>
                      <w:kern w:val="0"/>
                      <w:sz w:val="21"/>
                      <w:szCs w:val="21"/>
                    </w:rPr>
                    <w:t>符合</w:t>
                  </w:r>
                </w:p>
              </w:tc>
            </w:tr>
            <w:tr w14:paraId="3CB4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67CC2384">
                  <w:pPr>
                    <w:adjustRightInd w:val="0"/>
                    <w:snapToGrid w:val="0"/>
                    <w:jc w:val="center"/>
                    <w:rPr>
                      <w:color w:val="000000"/>
                      <w:kern w:val="0"/>
                      <w:sz w:val="21"/>
                      <w:szCs w:val="21"/>
                    </w:rPr>
                  </w:pPr>
                </w:p>
              </w:tc>
              <w:tc>
                <w:tcPr>
                  <w:tcW w:w="416" w:type="dxa"/>
                  <w:vMerge w:val="continue"/>
                  <w:vAlign w:val="center"/>
                </w:tcPr>
                <w:p w14:paraId="009033DA">
                  <w:pPr>
                    <w:adjustRightInd w:val="0"/>
                    <w:snapToGrid w:val="0"/>
                    <w:jc w:val="center"/>
                    <w:rPr>
                      <w:color w:val="000000"/>
                      <w:kern w:val="0"/>
                      <w:sz w:val="21"/>
                      <w:szCs w:val="21"/>
                    </w:rPr>
                  </w:pPr>
                </w:p>
              </w:tc>
              <w:tc>
                <w:tcPr>
                  <w:tcW w:w="414" w:type="dxa"/>
                  <w:vMerge w:val="continue"/>
                  <w:vAlign w:val="center"/>
                </w:tcPr>
                <w:p w14:paraId="190B348C">
                  <w:pPr>
                    <w:adjustRightInd w:val="0"/>
                    <w:snapToGrid w:val="0"/>
                    <w:jc w:val="center"/>
                    <w:rPr>
                      <w:color w:val="000000"/>
                      <w:kern w:val="0"/>
                      <w:sz w:val="21"/>
                      <w:szCs w:val="21"/>
                    </w:rPr>
                  </w:pPr>
                </w:p>
              </w:tc>
              <w:tc>
                <w:tcPr>
                  <w:tcW w:w="2031" w:type="dxa"/>
                  <w:vAlign w:val="center"/>
                </w:tcPr>
                <w:p w14:paraId="3EDE8980">
                  <w:pPr>
                    <w:jc w:val="center"/>
                    <w:rPr>
                      <w:color w:val="000000"/>
                      <w:kern w:val="0"/>
                      <w:sz w:val="21"/>
                      <w:szCs w:val="21"/>
                    </w:rPr>
                  </w:pPr>
                  <w:r>
                    <w:rPr>
                      <w:color w:val="000000"/>
                      <w:kern w:val="0"/>
                      <w:sz w:val="21"/>
                      <w:szCs w:val="21"/>
                    </w:rPr>
                    <w:t>严格资源节约和环保准入门槛，转入项目必须符合国家产业政策、资源节约和污染物排放强度要求，避免产业转移中的资源浪费和污染扩散。</w:t>
                  </w:r>
                </w:p>
              </w:tc>
              <w:tc>
                <w:tcPr>
                  <w:tcW w:w="2134" w:type="dxa"/>
                  <w:vAlign w:val="center"/>
                </w:tcPr>
                <w:p w14:paraId="05284517">
                  <w:pPr>
                    <w:jc w:val="center"/>
                    <w:rPr>
                      <w:color w:val="000000"/>
                      <w:kern w:val="0"/>
                      <w:sz w:val="21"/>
                      <w:szCs w:val="21"/>
                    </w:rPr>
                  </w:pPr>
                  <w:r>
                    <w:rPr>
                      <w:color w:val="000000"/>
                      <w:kern w:val="0"/>
                      <w:sz w:val="21"/>
                      <w:szCs w:val="21"/>
                    </w:rPr>
                    <w:t>项目</w:t>
                  </w:r>
                  <w:r>
                    <w:rPr>
                      <w:rFonts w:hint="eastAsia"/>
                      <w:color w:val="000000"/>
                      <w:kern w:val="0"/>
                      <w:sz w:val="21"/>
                      <w:szCs w:val="21"/>
                    </w:rPr>
                    <w:t>为</w:t>
                  </w:r>
                  <w:r>
                    <w:rPr>
                      <w:color w:val="000000"/>
                      <w:kern w:val="0"/>
                      <w:sz w:val="21"/>
                      <w:szCs w:val="21"/>
                    </w:rPr>
                    <w:t>新建项目，项目建设符合国家产业政策、资源节约和污染物排放强度要求</w:t>
                  </w:r>
                </w:p>
              </w:tc>
              <w:tc>
                <w:tcPr>
                  <w:tcW w:w="438" w:type="dxa"/>
                  <w:vAlign w:val="center"/>
                </w:tcPr>
                <w:p w14:paraId="567A0F7D">
                  <w:pPr>
                    <w:adjustRightInd w:val="0"/>
                    <w:snapToGrid w:val="0"/>
                    <w:jc w:val="center"/>
                    <w:rPr>
                      <w:color w:val="000000"/>
                      <w:kern w:val="0"/>
                      <w:sz w:val="21"/>
                      <w:szCs w:val="21"/>
                    </w:rPr>
                  </w:pPr>
                  <w:r>
                    <w:rPr>
                      <w:color w:val="000000"/>
                      <w:kern w:val="0"/>
                      <w:sz w:val="21"/>
                      <w:szCs w:val="21"/>
                    </w:rPr>
                    <w:t>符合</w:t>
                  </w:r>
                </w:p>
              </w:tc>
            </w:tr>
            <w:tr w14:paraId="7A46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7810340">
                  <w:pPr>
                    <w:adjustRightInd w:val="0"/>
                    <w:snapToGrid w:val="0"/>
                    <w:jc w:val="center"/>
                    <w:rPr>
                      <w:color w:val="000000"/>
                      <w:kern w:val="0"/>
                      <w:sz w:val="21"/>
                      <w:szCs w:val="21"/>
                    </w:rPr>
                  </w:pPr>
                </w:p>
              </w:tc>
              <w:tc>
                <w:tcPr>
                  <w:tcW w:w="416" w:type="dxa"/>
                  <w:vMerge w:val="continue"/>
                  <w:vAlign w:val="center"/>
                </w:tcPr>
                <w:p w14:paraId="5AED4142">
                  <w:pPr>
                    <w:adjustRightInd w:val="0"/>
                    <w:snapToGrid w:val="0"/>
                    <w:jc w:val="center"/>
                    <w:rPr>
                      <w:color w:val="000000"/>
                      <w:kern w:val="0"/>
                      <w:sz w:val="21"/>
                      <w:szCs w:val="21"/>
                    </w:rPr>
                  </w:pPr>
                </w:p>
              </w:tc>
              <w:tc>
                <w:tcPr>
                  <w:tcW w:w="414" w:type="dxa"/>
                  <w:vMerge w:val="restart"/>
                  <w:vAlign w:val="center"/>
                </w:tcPr>
                <w:p w14:paraId="2302CF4D">
                  <w:pPr>
                    <w:adjustRightInd w:val="0"/>
                    <w:snapToGrid w:val="0"/>
                    <w:jc w:val="center"/>
                    <w:rPr>
                      <w:color w:val="000000"/>
                      <w:kern w:val="0"/>
                      <w:sz w:val="21"/>
                      <w:szCs w:val="21"/>
                    </w:rPr>
                  </w:pPr>
                  <w:r>
                    <w:rPr>
                      <w:color w:val="000000"/>
                      <w:kern w:val="0"/>
                      <w:sz w:val="21"/>
                      <w:szCs w:val="21"/>
                    </w:rPr>
                    <w:t>不符合空间布局要求活动的退出要求</w:t>
                  </w:r>
                </w:p>
              </w:tc>
              <w:tc>
                <w:tcPr>
                  <w:tcW w:w="2031" w:type="dxa"/>
                  <w:vAlign w:val="center"/>
                </w:tcPr>
                <w:p w14:paraId="79EB2ABC">
                  <w:pPr>
                    <w:jc w:val="center"/>
                    <w:rPr>
                      <w:color w:val="000000"/>
                      <w:kern w:val="0"/>
                      <w:sz w:val="21"/>
                      <w:szCs w:val="21"/>
                    </w:rPr>
                  </w:pPr>
                  <w:r>
                    <w:rPr>
                      <w:color w:val="000000"/>
                      <w:kern w:val="0"/>
                      <w:sz w:val="21"/>
                      <w:szCs w:val="21"/>
                    </w:rPr>
                    <w:t>坚决关停用地、工商手续不全并难以通过改造达标的企业，限期治理可以达标改造的企业，逾期依法一律关停。到2020年，具备改造条件的燃煤电厂全部完成超低排放改造，重点区域不具备改造条件的高污染燃煤电厂逐步关停。</w:t>
                  </w:r>
                </w:p>
              </w:tc>
              <w:tc>
                <w:tcPr>
                  <w:tcW w:w="2134" w:type="dxa"/>
                  <w:vAlign w:val="center"/>
                </w:tcPr>
                <w:p w14:paraId="015D1A08">
                  <w:pPr>
                    <w:jc w:val="center"/>
                    <w:rPr>
                      <w:color w:val="000000"/>
                      <w:kern w:val="0"/>
                      <w:sz w:val="21"/>
                      <w:szCs w:val="21"/>
                    </w:rPr>
                  </w:pPr>
                  <w:r>
                    <w:rPr>
                      <w:color w:val="000000"/>
                      <w:kern w:val="0"/>
                      <w:sz w:val="21"/>
                      <w:szCs w:val="21"/>
                    </w:rPr>
                    <w:t>项目为新建项目，项目建设不涉及以上所述类别</w:t>
                  </w:r>
                </w:p>
              </w:tc>
              <w:tc>
                <w:tcPr>
                  <w:tcW w:w="438" w:type="dxa"/>
                  <w:vAlign w:val="center"/>
                </w:tcPr>
                <w:p w14:paraId="1252C9B4">
                  <w:pPr>
                    <w:adjustRightInd w:val="0"/>
                    <w:snapToGrid w:val="0"/>
                    <w:jc w:val="center"/>
                    <w:rPr>
                      <w:color w:val="000000"/>
                      <w:kern w:val="0"/>
                      <w:sz w:val="21"/>
                      <w:szCs w:val="21"/>
                    </w:rPr>
                  </w:pPr>
                  <w:r>
                    <w:rPr>
                      <w:color w:val="000000"/>
                      <w:kern w:val="0"/>
                      <w:sz w:val="21"/>
                      <w:szCs w:val="21"/>
                    </w:rPr>
                    <w:t>符合</w:t>
                  </w:r>
                </w:p>
              </w:tc>
            </w:tr>
            <w:tr w14:paraId="71CD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721BE636">
                  <w:pPr>
                    <w:adjustRightInd w:val="0"/>
                    <w:snapToGrid w:val="0"/>
                    <w:jc w:val="center"/>
                    <w:rPr>
                      <w:color w:val="000000"/>
                      <w:kern w:val="0"/>
                      <w:sz w:val="21"/>
                      <w:szCs w:val="21"/>
                    </w:rPr>
                  </w:pPr>
                </w:p>
              </w:tc>
              <w:tc>
                <w:tcPr>
                  <w:tcW w:w="416" w:type="dxa"/>
                  <w:vMerge w:val="continue"/>
                  <w:vAlign w:val="center"/>
                </w:tcPr>
                <w:p w14:paraId="316F6D15">
                  <w:pPr>
                    <w:adjustRightInd w:val="0"/>
                    <w:snapToGrid w:val="0"/>
                    <w:jc w:val="center"/>
                    <w:rPr>
                      <w:color w:val="000000"/>
                      <w:kern w:val="0"/>
                      <w:sz w:val="21"/>
                      <w:szCs w:val="21"/>
                    </w:rPr>
                  </w:pPr>
                </w:p>
              </w:tc>
              <w:tc>
                <w:tcPr>
                  <w:tcW w:w="414" w:type="dxa"/>
                  <w:vMerge w:val="continue"/>
                  <w:vAlign w:val="center"/>
                </w:tcPr>
                <w:p w14:paraId="3D2A02B2">
                  <w:pPr>
                    <w:adjustRightInd w:val="0"/>
                    <w:snapToGrid w:val="0"/>
                    <w:jc w:val="center"/>
                    <w:rPr>
                      <w:color w:val="000000"/>
                      <w:kern w:val="0"/>
                      <w:sz w:val="21"/>
                      <w:szCs w:val="21"/>
                    </w:rPr>
                  </w:pPr>
                </w:p>
              </w:tc>
              <w:tc>
                <w:tcPr>
                  <w:tcW w:w="2031" w:type="dxa"/>
                  <w:vAlign w:val="center"/>
                </w:tcPr>
                <w:p w14:paraId="2873AD86">
                  <w:pPr>
                    <w:jc w:val="center"/>
                    <w:rPr>
                      <w:color w:val="000000"/>
                      <w:kern w:val="0"/>
                      <w:sz w:val="21"/>
                      <w:szCs w:val="21"/>
                    </w:rPr>
                  </w:pPr>
                  <w:r>
                    <w:rPr>
                      <w:color w:val="000000"/>
                      <w:kern w:val="0"/>
                      <w:sz w:val="21"/>
                      <w:szCs w:val="21"/>
                    </w:rPr>
                    <w:t>加快城市建成区、重点流域的重污染企业和危险化学品企业搬迁改造，加快推进危险化学品生产企业搬迁改造工程。</w:t>
                  </w:r>
                </w:p>
              </w:tc>
              <w:tc>
                <w:tcPr>
                  <w:tcW w:w="2134" w:type="dxa"/>
                  <w:vAlign w:val="center"/>
                </w:tcPr>
                <w:p w14:paraId="0BE63B5C">
                  <w:pPr>
                    <w:jc w:val="center"/>
                    <w:rPr>
                      <w:color w:val="000000"/>
                      <w:kern w:val="0"/>
                      <w:sz w:val="21"/>
                      <w:szCs w:val="21"/>
                    </w:rPr>
                  </w:pPr>
                  <w:r>
                    <w:rPr>
                      <w:color w:val="000000"/>
                      <w:kern w:val="0"/>
                      <w:sz w:val="21"/>
                      <w:szCs w:val="21"/>
                    </w:rPr>
                    <w:t>本项目不属于重污染企业、危险化学品企业和危险化学品生产企业</w:t>
                  </w:r>
                </w:p>
              </w:tc>
              <w:tc>
                <w:tcPr>
                  <w:tcW w:w="438" w:type="dxa"/>
                  <w:vAlign w:val="center"/>
                </w:tcPr>
                <w:p w14:paraId="564F25EC">
                  <w:pPr>
                    <w:adjustRightInd w:val="0"/>
                    <w:snapToGrid w:val="0"/>
                    <w:jc w:val="center"/>
                    <w:rPr>
                      <w:color w:val="000000"/>
                      <w:kern w:val="0"/>
                      <w:sz w:val="21"/>
                      <w:szCs w:val="21"/>
                    </w:rPr>
                  </w:pPr>
                  <w:r>
                    <w:rPr>
                      <w:color w:val="000000"/>
                      <w:kern w:val="0"/>
                      <w:sz w:val="21"/>
                      <w:szCs w:val="21"/>
                    </w:rPr>
                    <w:t>符合</w:t>
                  </w:r>
                </w:p>
              </w:tc>
            </w:tr>
            <w:tr w14:paraId="3347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2EBC3C4">
                  <w:pPr>
                    <w:adjustRightInd w:val="0"/>
                    <w:snapToGrid w:val="0"/>
                    <w:jc w:val="center"/>
                    <w:rPr>
                      <w:color w:val="000000"/>
                      <w:kern w:val="0"/>
                      <w:sz w:val="21"/>
                      <w:szCs w:val="21"/>
                    </w:rPr>
                  </w:pPr>
                </w:p>
              </w:tc>
              <w:tc>
                <w:tcPr>
                  <w:tcW w:w="416" w:type="dxa"/>
                  <w:vMerge w:val="continue"/>
                  <w:vAlign w:val="center"/>
                </w:tcPr>
                <w:p w14:paraId="1657BF49">
                  <w:pPr>
                    <w:adjustRightInd w:val="0"/>
                    <w:snapToGrid w:val="0"/>
                    <w:jc w:val="center"/>
                    <w:rPr>
                      <w:color w:val="000000"/>
                      <w:kern w:val="0"/>
                      <w:sz w:val="21"/>
                      <w:szCs w:val="21"/>
                    </w:rPr>
                  </w:pPr>
                </w:p>
              </w:tc>
              <w:tc>
                <w:tcPr>
                  <w:tcW w:w="414" w:type="dxa"/>
                  <w:vMerge w:val="continue"/>
                  <w:vAlign w:val="center"/>
                </w:tcPr>
                <w:p w14:paraId="3FFA182C">
                  <w:pPr>
                    <w:adjustRightInd w:val="0"/>
                    <w:snapToGrid w:val="0"/>
                    <w:jc w:val="center"/>
                    <w:rPr>
                      <w:color w:val="000000"/>
                      <w:kern w:val="0"/>
                      <w:sz w:val="21"/>
                      <w:szCs w:val="21"/>
                    </w:rPr>
                  </w:pPr>
                </w:p>
              </w:tc>
              <w:tc>
                <w:tcPr>
                  <w:tcW w:w="2031" w:type="dxa"/>
                  <w:vAlign w:val="center"/>
                </w:tcPr>
                <w:p w14:paraId="13797AAB">
                  <w:pPr>
                    <w:jc w:val="center"/>
                    <w:rPr>
                      <w:color w:val="000000"/>
                      <w:kern w:val="0"/>
                      <w:sz w:val="21"/>
                      <w:szCs w:val="21"/>
                    </w:rPr>
                  </w:pPr>
                  <w:r>
                    <w:rPr>
                      <w:color w:val="000000"/>
                      <w:kern w:val="0"/>
                      <w:sz w:val="21"/>
                      <w:szCs w:val="21"/>
                    </w:rPr>
                    <w:t>城市规划区内已建的大气污染严重的建设项目应当搬迁、改造，城市建成区应当在规定的时间内完成重污染企业搬迁、改造或者关闭退出。</w:t>
                  </w:r>
                </w:p>
              </w:tc>
              <w:tc>
                <w:tcPr>
                  <w:tcW w:w="2134" w:type="dxa"/>
                  <w:vAlign w:val="center"/>
                </w:tcPr>
                <w:p w14:paraId="10F738A9">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rFonts w:hint="eastAsia"/>
                      <w:color w:val="000000"/>
                      <w:kern w:val="0"/>
                      <w:sz w:val="21"/>
                      <w:szCs w:val="21"/>
                    </w:rPr>
                    <w:t>，</w:t>
                  </w:r>
                  <w:r>
                    <w:rPr>
                      <w:color w:val="000000"/>
                      <w:kern w:val="0"/>
                      <w:sz w:val="21"/>
                      <w:szCs w:val="21"/>
                    </w:rPr>
                    <w:t>项目</w:t>
                  </w:r>
                  <w:r>
                    <w:rPr>
                      <w:rFonts w:hint="eastAsia"/>
                      <w:color w:val="000000"/>
                      <w:kern w:val="0"/>
                      <w:sz w:val="21"/>
                      <w:szCs w:val="21"/>
                      <w:lang w:val="en-US" w:eastAsia="zh-CN"/>
                    </w:rPr>
                    <w:t>产生的废气量较少，采用无组织排放</w:t>
                  </w:r>
                  <w:r>
                    <w:rPr>
                      <w:color w:val="000000"/>
                      <w:kern w:val="0"/>
                      <w:sz w:val="21"/>
                      <w:szCs w:val="21"/>
                    </w:rPr>
                    <w:t>，不属于废气污染严重的项目</w:t>
                  </w:r>
                </w:p>
              </w:tc>
              <w:tc>
                <w:tcPr>
                  <w:tcW w:w="438" w:type="dxa"/>
                  <w:vAlign w:val="center"/>
                </w:tcPr>
                <w:p w14:paraId="2D534452">
                  <w:pPr>
                    <w:adjustRightInd w:val="0"/>
                    <w:snapToGrid w:val="0"/>
                    <w:jc w:val="center"/>
                    <w:rPr>
                      <w:color w:val="000000"/>
                      <w:kern w:val="0"/>
                      <w:sz w:val="21"/>
                      <w:szCs w:val="21"/>
                    </w:rPr>
                  </w:pPr>
                  <w:r>
                    <w:rPr>
                      <w:color w:val="000000"/>
                      <w:kern w:val="0"/>
                      <w:sz w:val="21"/>
                      <w:szCs w:val="21"/>
                    </w:rPr>
                    <w:t>符合</w:t>
                  </w:r>
                </w:p>
              </w:tc>
            </w:tr>
            <w:tr w14:paraId="2291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304AAE83">
                  <w:pPr>
                    <w:adjustRightInd w:val="0"/>
                    <w:snapToGrid w:val="0"/>
                    <w:jc w:val="center"/>
                    <w:rPr>
                      <w:color w:val="000000"/>
                      <w:kern w:val="0"/>
                      <w:sz w:val="21"/>
                      <w:szCs w:val="21"/>
                    </w:rPr>
                  </w:pPr>
                </w:p>
              </w:tc>
              <w:tc>
                <w:tcPr>
                  <w:tcW w:w="416" w:type="dxa"/>
                  <w:vMerge w:val="continue"/>
                  <w:vAlign w:val="center"/>
                </w:tcPr>
                <w:p w14:paraId="1F44B1EC">
                  <w:pPr>
                    <w:adjustRightInd w:val="0"/>
                    <w:snapToGrid w:val="0"/>
                    <w:jc w:val="center"/>
                    <w:rPr>
                      <w:color w:val="000000"/>
                      <w:kern w:val="0"/>
                      <w:sz w:val="21"/>
                      <w:szCs w:val="21"/>
                    </w:rPr>
                  </w:pPr>
                </w:p>
              </w:tc>
              <w:tc>
                <w:tcPr>
                  <w:tcW w:w="414" w:type="dxa"/>
                  <w:vMerge w:val="continue"/>
                  <w:vAlign w:val="center"/>
                </w:tcPr>
                <w:p w14:paraId="02A39339">
                  <w:pPr>
                    <w:adjustRightInd w:val="0"/>
                    <w:snapToGrid w:val="0"/>
                    <w:jc w:val="center"/>
                    <w:rPr>
                      <w:color w:val="000000"/>
                      <w:kern w:val="0"/>
                      <w:sz w:val="21"/>
                      <w:szCs w:val="21"/>
                    </w:rPr>
                  </w:pPr>
                </w:p>
              </w:tc>
              <w:tc>
                <w:tcPr>
                  <w:tcW w:w="2031" w:type="dxa"/>
                  <w:vAlign w:val="center"/>
                </w:tcPr>
                <w:p w14:paraId="0A27BDE9">
                  <w:pPr>
                    <w:jc w:val="center"/>
                    <w:rPr>
                      <w:color w:val="000000"/>
                      <w:kern w:val="0"/>
                      <w:sz w:val="21"/>
                      <w:szCs w:val="21"/>
                    </w:rPr>
                  </w:pPr>
                  <w:r>
                    <w:rPr>
                      <w:color w:val="000000"/>
                      <w:kern w:val="0"/>
                      <w:sz w:val="21"/>
                      <w:szCs w:val="21"/>
                    </w:rPr>
                    <w:t>全面开展“散乱污”企业及集群综合整治行动。细化“散乱污”企业及集群整治标准。列入整合搬迁类的，要按照产业发展规模化、现代化的原则，搬迁至合规工业园区并实施升级改造。</w:t>
                  </w:r>
                </w:p>
              </w:tc>
              <w:tc>
                <w:tcPr>
                  <w:tcW w:w="2134" w:type="dxa"/>
                  <w:vAlign w:val="center"/>
                </w:tcPr>
                <w:p w14:paraId="183F2E16">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，不属于</w:t>
                  </w:r>
                  <w:r>
                    <w:rPr>
                      <w:rFonts w:hint="eastAsia"/>
                      <w:color w:val="000000"/>
                      <w:kern w:val="0"/>
                      <w:sz w:val="21"/>
                      <w:szCs w:val="21"/>
                    </w:rPr>
                    <w:t>“</w:t>
                  </w:r>
                  <w:r>
                    <w:rPr>
                      <w:color w:val="000000"/>
                      <w:kern w:val="0"/>
                      <w:sz w:val="21"/>
                      <w:szCs w:val="21"/>
                    </w:rPr>
                    <w:t>散乱污</w:t>
                  </w:r>
                  <w:r>
                    <w:rPr>
                      <w:rFonts w:hint="eastAsia"/>
                      <w:color w:val="000000"/>
                      <w:kern w:val="0"/>
                      <w:sz w:val="21"/>
                      <w:szCs w:val="21"/>
                    </w:rPr>
                    <w:t>”</w:t>
                  </w:r>
                  <w:r>
                    <w:rPr>
                      <w:color w:val="000000"/>
                      <w:kern w:val="0"/>
                      <w:sz w:val="21"/>
                      <w:szCs w:val="21"/>
                    </w:rPr>
                    <w:t>企业</w:t>
                  </w:r>
                </w:p>
              </w:tc>
              <w:tc>
                <w:tcPr>
                  <w:tcW w:w="438" w:type="dxa"/>
                  <w:vAlign w:val="center"/>
                </w:tcPr>
                <w:p w14:paraId="2E9637CA">
                  <w:pPr>
                    <w:adjustRightInd w:val="0"/>
                    <w:snapToGrid w:val="0"/>
                    <w:jc w:val="center"/>
                    <w:rPr>
                      <w:color w:val="000000"/>
                      <w:kern w:val="0"/>
                      <w:sz w:val="21"/>
                      <w:szCs w:val="21"/>
                    </w:rPr>
                  </w:pPr>
                  <w:r>
                    <w:rPr>
                      <w:color w:val="000000"/>
                      <w:kern w:val="0"/>
                      <w:sz w:val="21"/>
                      <w:szCs w:val="21"/>
                    </w:rPr>
                    <w:t>符合</w:t>
                  </w:r>
                </w:p>
              </w:tc>
            </w:tr>
            <w:tr w14:paraId="012D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25D5B9E">
                  <w:pPr>
                    <w:adjustRightInd w:val="0"/>
                    <w:snapToGrid w:val="0"/>
                    <w:jc w:val="center"/>
                    <w:rPr>
                      <w:color w:val="000000"/>
                      <w:kern w:val="0"/>
                      <w:sz w:val="21"/>
                      <w:szCs w:val="21"/>
                    </w:rPr>
                  </w:pPr>
                </w:p>
              </w:tc>
              <w:tc>
                <w:tcPr>
                  <w:tcW w:w="416" w:type="dxa"/>
                  <w:vMerge w:val="continue"/>
                  <w:vAlign w:val="center"/>
                </w:tcPr>
                <w:p w14:paraId="21C46605">
                  <w:pPr>
                    <w:adjustRightInd w:val="0"/>
                    <w:snapToGrid w:val="0"/>
                    <w:jc w:val="center"/>
                    <w:rPr>
                      <w:color w:val="000000"/>
                      <w:kern w:val="0"/>
                      <w:sz w:val="21"/>
                      <w:szCs w:val="21"/>
                    </w:rPr>
                  </w:pPr>
                </w:p>
              </w:tc>
              <w:tc>
                <w:tcPr>
                  <w:tcW w:w="414" w:type="dxa"/>
                  <w:vMerge w:val="continue"/>
                  <w:vAlign w:val="center"/>
                </w:tcPr>
                <w:p w14:paraId="699EE646">
                  <w:pPr>
                    <w:adjustRightInd w:val="0"/>
                    <w:snapToGrid w:val="0"/>
                    <w:jc w:val="center"/>
                    <w:rPr>
                      <w:color w:val="000000"/>
                      <w:kern w:val="0"/>
                      <w:sz w:val="21"/>
                      <w:szCs w:val="21"/>
                    </w:rPr>
                  </w:pPr>
                </w:p>
              </w:tc>
              <w:tc>
                <w:tcPr>
                  <w:tcW w:w="2031" w:type="dxa"/>
                  <w:vAlign w:val="center"/>
                </w:tcPr>
                <w:p w14:paraId="5A845BCA">
                  <w:pPr>
                    <w:jc w:val="center"/>
                    <w:rPr>
                      <w:color w:val="000000"/>
                      <w:kern w:val="0"/>
                      <w:sz w:val="21"/>
                      <w:szCs w:val="21"/>
                    </w:rPr>
                  </w:pPr>
                  <w:r>
                    <w:rPr>
                      <w:color w:val="000000"/>
                      <w:kern w:val="0"/>
                      <w:sz w:val="21"/>
                      <w:szCs w:val="21"/>
                    </w:rPr>
                    <w:t>对城市建成区和重要生态功能区内现有重污染企业结合产业布局调整实施搬迁或改造，积极推动VOCs排放重点行业企业向园区集中。</w:t>
                  </w:r>
                </w:p>
              </w:tc>
              <w:tc>
                <w:tcPr>
                  <w:tcW w:w="2134" w:type="dxa"/>
                  <w:vAlign w:val="center"/>
                </w:tcPr>
                <w:p w14:paraId="7BF5AE68">
                  <w:pPr>
                    <w:jc w:val="center"/>
                    <w:rPr>
                      <w:color w:val="000000"/>
                      <w:kern w:val="0"/>
                      <w:sz w:val="21"/>
                      <w:szCs w:val="21"/>
                    </w:rPr>
                  </w:pPr>
                  <w:r>
                    <w:rPr>
                      <w:color w:val="000000"/>
                      <w:kern w:val="0"/>
                      <w:sz w:val="21"/>
                      <w:szCs w:val="21"/>
                    </w:rPr>
                    <w:t>项目为新建项目，位于</w:t>
                  </w:r>
                  <w:r>
                    <w:rPr>
                      <w:sz w:val="21"/>
                      <w:szCs w:val="21"/>
                      <w:lang w:bidi="ar"/>
                    </w:rPr>
                    <w:t>宿州市高新技术产业开发区</w:t>
                  </w:r>
                  <w:r>
                    <w:rPr>
                      <w:rFonts w:hint="eastAsia"/>
                      <w:sz w:val="21"/>
                      <w:szCs w:val="21"/>
                      <w:lang w:bidi="ar"/>
                    </w:rPr>
                    <w:t>内</w:t>
                  </w:r>
                  <w:r>
                    <w:rPr>
                      <w:color w:val="000000"/>
                      <w:kern w:val="0"/>
                      <w:sz w:val="21"/>
                      <w:szCs w:val="21"/>
                    </w:rPr>
                    <w:t>，项目的建设符合经济开发区规划要求</w:t>
                  </w:r>
                </w:p>
              </w:tc>
              <w:tc>
                <w:tcPr>
                  <w:tcW w:w="438" w:type="dxa"/>
                  <w:vAlign w:val="center"/>
                </w:tcPr>
                <w:p w14:paraId="7FBEB713">
                  <w:pPr>
                    <w:adjustRightInd w:val="0"/>
                    <w:snapToGrid w:val="0"/>
                    <w:jc w:val="center"/>
                    <w:rPr>
                      <w:color w:val="000000"/>
                      <w:kern w:val="0"/>
                      <w:sz w:val="21"/>
                      <w:szCs w:val="21"/>
                    </w:rPr>
                  </w:pPr>
                  <w:r>
                    <w:rPr>
                      <w:color w:val="000000"/>
                      <w:kern w:val="0"/>
                      <w:sz w:val="21"/>
                      <w:szCs w:val="21"/>
                    </w:rPr>
                    <w:t>符合</w:t>
                  </w:r>
                </w:p>
              </w:tc>
            </w:tr>
            <w:tr w14:paraId="12D1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7DAAFB01">
                  <w:pPr>
                    <w:adjustRightInd w:val="0"/>
                    <w:snapToGrid w:val="0"/>
                    <w:jc w:val="center"/>
                    <w:rPr>
                      <w:color w:val="000000"/>
                      <w:kern w:val="0"/>
                      <w:sz w:val="21"/>
                      <w:szCs w:val="21"/>
                    </w:rPr>
                  </w:pPr>
                </w:p>
              </w:tc>
              <w:tc>
                <w:tcPr>
                  <w:tcW w:w="416" w:type="dxa"/>
                  <w:vMerge w:val="continue"/>
                  <w:vAlign w:val="center"/>
                </w:tcPr>
                <w:p w14:paraId="7EEBAF98">
                  <w:pPr>
                    <w:adjustRightInd w:val="0"/>
                    <w:snapToGrid w:val="0"/>
                    <w:jc w:val="center"/>
                    <w:rPr>
                      <w:color w:val="000000"/>
                      <w:kern w:val="0"/>
                      <w:sz w:val="21"/>
                      <w:szCs w:val="21"/>
                    </w:rPr>
                  </w:pPr>
                </w:p>
              </w:tc>
              <w:tc>
                <w:tcPr>
                  <w:tcW w:w="414" w:type="dxa"/>
                  <w:vMerge w:val="restart"/>
                  <w:vAlign w:val="center"/>
                </w:tcPr>
                <w:p w14:paraId="349D4F19">
                  <w:pPr>
                    <w:adjustRightInd w:val="0"/>
                    <w:snapToGrid w:val="0"/>
                    <w:jc w:val="center"/>
                    <w:rPr>
                      <w:color w:val="000000"/>
                      <w:kern w:val="0"/>
                      <w:sz w:val="21"/>
                      <w:szCs w:val="21"/>
                    </w:rPr>
                  </w:pPr>
                  <w:r>
                    <w:rPr>
                      <w:color w:val="000000"/>
                      <w:kern w:val="0"/>
                      <w:sz w:val="21"/>
                      <w:szCs w:val="21"/>
                    </w:rPr>
                    <w:t>其他空间布局约束要求</w:t>
                  </w:r>
                </w:p>
              </w:tc>
              <w:tc>
                <w:tcPr>
                  <w:tcW w:w="2031" w:type="dxa"/>
                  <w:vAlign w:val="center"/>
                </w:tcPr>
                <w:p w14:paraId="43C5E5C3">
                  <w:pPr>
                    <w:jc w:val="center"/>
                    <w:rPr>
                      <w:color w:val="000000"/>
                      <w:kern w:val="0"/>
                      <w:sz w:val="21"/>
                      <w:szCs w:val="21"/>
                    </w:rPr>
                  </w:pPr>
                  <w:r>
                    <w:rPr>
                      <w:color w:val="000000"/>
                      <w:kern w:val="0"/>
                      <w:sz w:val="21"/>
                      <w:szCs w:val="21"/>
                    </w:rPr>
                    <w:t>强化“散乱污”企业综合整治。全面开展“散乱污”企业及集群综合整治行动。根据产业政策、产业布局规划，以及土地、环保、质量、安全、能耗等要求，制定“散乱污”企业及集群整治标准。按照“先停后治”的原则，实施分类处置。</w:t>
                  </w:r>
                </w:p>
              </w:tc>
              <w:tc>
                <w:tcPr>
                  <w:tcW w:w="2134" w:type="dxa"/>
                  <w:vAlign w:val="center"/>
                </w:tcPr>
                <w:p w14:paraId="5FCAE411">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，不属于</w:t>
                  </w:r>
                  <w:r>
                    <w:rPr>
                      <w:rFonts w:hint="eastAsia"/>
                      <w:color w:val="000000"/>
                      <w:kern w:val="0"/>
                      <w:sz w:val="21"/>
                      <w:szCs w:val="21"/>
                    </w:rPr>
                    <w:t>“</w:t>
                  </w:r>
                  <w:r>
                    <w:rPr>
                      <w:color w:val="000000"/>
                      <w:kern w:val="0"/>
                      <w:sz w:val="21"/>
                      <w:szCs w:val="21"/>
                    </w:rPr>
                    <w:t>散乱污</w:t>
                  </w:r>
                  <w:r>
                    <w:rPr>
                      <w:rFonts w:hint="eastAsia"/>
                      <w:color w:val="000000"/>
                      <w:kern w:val="0"/>
                      <w:sz w:val="21"/>
                      <w:szCs w:val="21"/>
                    </w:rPr>
                    <w:t>”</w:t>
                  </w:r>
                  <w:r>
                    <w:rPr>
                      <w:color w:val="000000"/>
                      <w:kern w:val="0"/>
                      <w:sz w:val="21"/>
                      <w:szCs w:val="21"/>
                    </w:rPr>
                    <w:t>企业</w:t>
                  </w:r>
                </w:p>
              </w:tc>
              <w:tc>
                <w:tcPr>
                  <w:tcW w:w="438" w:type="dxa"/>
                  <w:vAlign w:val="center"/>
                </w:tcPr>
                <w:p w14:paraId="329CE4AF">
                  <w:pPr>
                    <w:adjustRightInd w:val="0"/>
                    <w:snapToGrid w:val="0"/>
                    <w:jc w:val="center"/>
                    <w:rPr>
                      <w:color w:val="000000"/>
                      <w:kern w:val="0"/>
                      <w:sz w:val="21"/>
                      <w:szCs w:val="21"/>
                    </w:rPr>
                  </w:pPr>
                  <w:r>
                    <w:rPr>
                      <w:color w:val="000000"/>
                      <w:kern w:val="0"/>
                      <w:sz w:val="21"/>
                      <w:szCs w:val="21"/>
                    </w:rPr>
                    <w:t>符合</w:t>
                  </w:r>
                </w:p>
              </w:tc>
            </w:tr>
            <w:tr w14:paraId="3047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4E6E29B8">
                  <w:pPr>
                    <w:adjustRightInd w:val="0"/>
                    <w:snapToGrid w:val="0"/>
                    <w:jc w:val="center"/>
                    <w:rPr>
                      <w:color w:val="000000"/>
                      <w:kern w:val="0"/>
                      <w:sz w:val="21"/>
                      <w:szCs w:val="21"/>
                    </w:rPr>
                  </w:pPr>
                </w:p>
              </w:tc>
              <w:tc>
                <w:tcPr>
                  <w:tcW w:w="416" w:type="dxa"/>
                  <w:vMerge w:val="continue"/>
                  <w:vAlign w:val="center"/>
                </w:tcPr>
                <w:p w14:paraId="59C95685">
                  <w:pPr>
                    <w:adjustRightInd w:val="0"/>
                    <w:snapToGrid w:val="0"/>
                    <w:jc w:val="center"/>
                    <w:rPr>
                      <w:color w:val="000000"/>
                      <w:kern w:val="0"/>
                      <w:sz w:val="21"/>
                      <w:szCs w:val="21"/>
                    </w:rPr>
                  </w:pPr>
                </w:p>
              </w:tc>
              <w:tc>
                <w:tcPr>
                  <w:tcW w:w="414" w:type="dxa"/>
                  <w:vMerge w:val="continue"/>
                  <w:vAlign w:val="center"/>
                </w:tcPr>
                <w:p w14:paraId="177FCF4F">
                  <w:pPr>
                    <w:adjustRightInd w:val="0"/>
                    <w:snapToGrid w:val="0"/>
                    <w:jc w:val="center"/>
                    <w:rPr>
                      <w:color w:val="000000"/>
                      <w:kern w:val="0"/>
                      <w:sz w:val="21"/>
                      <w:szCs w:val="21"/>
                    </w:rPr>
                  </w:pPr>
                </w:p>
              </w:tc>
              <w:tc>
                <w:tcPr>
                  <w:tcW w:w="2031" w:type="dxa"/>
                  <w:vAlign w:val="center"/>
                </w:tcPr>
                <w:p w14:paraId="3AFB3059">
                  <w:pPr>
                    <w:jc w:val="center"/>
                    <w:rPr>
                      <w:color w:val="000000"/>
                      <w:kern w:val="0"/>
                      <w:sz w:val="21"/>
                      <w:szCs w:val="21"/>
                    </w:rPr>
                  </w:pPr>
                  <w:r>
                    <w:rPr>
                      <w:color w:val="000000"/>
                      <w:kern w:val="0"/>
                      <w:sz w:val="21"/>
                      <w:szCs w:val="21"/>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2134" w:type="dxa"/>
                  <w:vAlign w:val="center"/>
                </w:tcPr>
                <w:p w14:paraId="23621D6D">
                  <w:pPr>
                    <w:jc w:val="center"/>
                    <w:rPr>
                      <w:color w:val="000000"/>
                      <w:kern w:val="0"/>
                      <w:sz w:val="21"/>
                      <w:szCs w:val="21"/>
                    </w:rPr>
                  </w:pPr>
                  <w:r>
                    <w:rPr>
                      <w:color w:val="000000"/>
                      <w:kern w:val="0"/>
                      <w:sz w:val="21"/>
                      <w:szCs w:val="21"/>
                    </w:rPr>
                    <w:t>项目使用先进的生产设备，使用电能源，属于清洁能源，项目产品不属于严重污染大气环境质量的产品，且污染物经处理后达标排放</w:t>
                  </w:r>
                </w:p>
              </w:tc>
              <w:tc>
                <w:tcPr>
                  <w:tcW w:w="438" w:type="dxa"/>
                  <w:vAlign w:val="center"/>
                </w:tcPr>
                <w:p w14:paraId="6172AF37">
                  <w:pPr>
                    <w:adjustRightInd w:val="0"/>
                    <w:snapToGrid w:val="0"/>
                    <w:jc w:val="center"/>
                    <w:rPr>
                      <w:color w:val="000000"/>
                      <w:kern w:val="0"/>
                      <w:sz w:val="21"/>
                      <w:szCs w:val="21"/>
                    </w:rPr>
                  </w:pPr>
                  <w:r>
                    <w:rPr>
                      <w:color w:val="000000"/>
                      <w:kern w:val="0"/>
                      <w:sz w:val="21"/>
                      <w:szCs w:val="21"/>
                    </w:rPr>
                    <w:t>符合</w:t>
                  </w:r>
                </w:p>
              </w:tc>
            </w:tr>
            <w:tr w14:paraId="26D9F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4F37C0C">
                  <w:pPr>
                    <w:adjustRightInd w:val="0"/>
                    <w:snapToGrid w:val="0"/>
                    <w:jc w:val="center"/>
                    <w:rPr>
                      <w:color w:val="000000"/>
                      <w:kern w:val="0"/>
                      <w:sz w:val="21"/>
                      <w:szCs w:val="21"/>
                    </w:rPr>
                  </w:pPr>
                </w:p>
              </w:tc>
              <w:tc>
                <w:tcPr>
                  <w:tcW w:w="416" w:type="dxa"/>
                  <w:vMerge w:val="continue"/>
                  <w:vAlign w:val="center"/>
                </w:tcPr>
                <w:p w14:paraId="42ED0869">
                  <w:pPr>
                    <w:adjustRightInd w:val="0"/>
                    <w:snapToGrid w:val="0"/>
                    <w:jc w:val="center"/>
                    <w:rPr>
                      <w:color w:val="000000"/>
                      <w:kern w:val="0"/>
                      <w:sz w:val="21"/>
                      <w:szCs w:val="21"/>
                    </w:rPr>
                  </w:pPr>
                </w:p>
              </w:tc>
              <w:tc>
                <w:tcPr>
                  <w:tcW w:w="414" w:type="dxa"/>
                  <w:vMerge w:val="continue"/>
                  <w:vAlign w:val="center"/>
                </w:tcPr>
                <w:p w14:paraId="2F24A3B1">
                  <w:pPr>
                    <w:adjustRightInd w:val="0"/>
                    <w:snapToGrid w:val="0"/>
                    <w:jc w:val="center"/>
                    <w:rPr>
                      <w:color w:val="000000"/>
                      <w:kern w:val="0"/>
                      <w:sz w:val="21"/>
                      <w:szCs w:val="21"/>
                    </w:rPr>
                  </w:pPr>
                </w:p>
              </w:tc>
              <w:tc>
                <w:tcPr>
                  <w:tcW w:w="2031" w:type="dxa"/>
                  <w:vAlign w:val="center"/>
                </w:tcPr>
                <w:p w14:paraId="402B5D37">
                  <w:pPr>
                    <w:jc w:val="center"/>
                    <w:rPr>
                      <w:color w:val="000000"/>
                      <w:kern w:val="0"/>
                      <w:sz w:val="21"/>
                      <w:szCs w:val="21"/>
                    </w:rPr>
                  </w:pPr>
                  <w:r>
                    <w:rPr>
                      <w:color w:val="000000"/>
                      <w:kern w:val="0"/>
                      <w:sz w:val="21"/>
                      <w:szCs w:val="21"/>
                    </w:rPr>
                    <w:t>全面开展“散乱污”企业及集群综合整治行动。细化“散乱污”企业及集群整治标准。列入升级改造类的，树立行业标杆，实施清洁生产技术改造，全面提升污染治理水平。</w:t>
                  </w:r>
                </w:p>
              </w:tc>
              <w:tc>
                <w:tcPr>
                  <w:tcW w:w="2134" w:type="dxa"/>
                  <w:vAlign w:val="center"/>
                </w:tcPr>
                <w:p w14:paraId="7C4DD7AD">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，不属于</w:t>
                  </w:r>
                  <w:r>
                    <w:rPr>
                      <w:rFonts w:hint="eastAsia"/>
                      <w:color w:val="000000"/>
                      <w:kern w:val="0"/>
                      <w:sz w:val="21"/>
                      <w:szCs w:val="21"/>
                    </w:rPr>
                    <w:t>“</w:t>
                  </w:r>
                  <w:r>
                    <w:rPr>
                      <w:color w:val="000000"/>
                      <w:kern w:val="0"/>
                      <w:sz w:val="21"/>
                      <w:szCs w:val="21"/>
                    </w:rPr>
                    <w:t>散乱污</w:t>
                  </w:r>
                  <w:r>
                    <w:rPr>
                      <w:rFonts w:hint="eastAsia"/>
                      <w:color w:val="000000"/>
                      <w:kern w:val="0"/>
                      <w:sz w:val="21"/>
                      <w:szCs w:val="21"/>
                    </w:rPr>
                    <w:t>”</w:t>
                  </w:r>
                  <w:r>
                    <w:rPr>
                      <w:color w:val="000000"/>
                      <w:kern w:val="0"/>
                      <w:sz w:val="21"/>
                      <w:szCs w:val="21"/>
                    </w:rPr>
                    <w:t>企业</w:t>
                  </w:r>
                </w:p>
              </w:tc>
              <w:tc>
                <w:tcPr>
                  <w:tcW w:w="438" w:type="dxa"/>
                  <w:vAlign w:val="center"/>
                </w:tcPr>
                <w:p w14:paraId="7FD0DB38">
                  <w:pPr>
                    <w:adjustRightInd w:val="0"/>
                    <w:snapToGrid w:val="0"/>
                    <w:jc w:val="center"/>
                    <w:rPr>
                      <w:color w:val="000000"/>
                      <w:kern w:val="0"/>
                      <w:sz w:val="21"/>
                      <w:szCs w:val="21"/>
                    </w:rPr>
                  </w:pPr>
                  <w:r>
                    <w:rPr>
                      <w:color w:val="000000"/>
                      <w:kern w:val="0"/>
                      <w:sz w:val="21"/>
                      <w:szCs w:val="21"/>
                    </w:rPr>
                    <w:t>符合</w:t>
                  </w:r>
                </w:p>
              </w:tc>
            </w:tr>
            <w:tr w14:paraId="4C78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65EFEE04">
                  <w:pPr>
                    <w:adjustRightInd w:val="0"/>
                    <w:snapToGrid w:val="0"/>
                    <w:jc w:val="center"/>
                    <w:rPr>
                      <w:color w:val="000000"/>
                      <w:kern w:val="0"/>
                      <w:sz w:val="21"/>
                      <w:szCs w:val="21"/>
                    </w:rPr>
                  </w:pPr>
                </w:p>
              </w:tc>
              <w:tc>
                <w:tcPr>
                  <w:tcW w:w="416" w:type="dxa"/>
                  <w:vMerge w:val="restart"/>
                  <w:vAlign w:val="center"/>
                </w:tcPr>
                <w:p w14:paraId="586057CC">
                  <w:pPr>
                    <w:adjustRightInd w:val="0"/>
                    <w:snapToGrid w:val="0"/>
                    <w:jc w:val="center"/>
                    <w:rPr>
                      <w:color w:val="000000"/>
                      <w:kern w:val="0"/>
                      <w:sz w:val="21"/>
                      <w:szCs w:val="21"/>
                    </w:rPr>
                  </w:pPr>
                  <w:r>
                    <w:rPr>
                      <w:color w:val="000000"/>
                      <w:kern w:val="0"/>
                      <w:sz w:val="21"/>
                      <w:szCs w:val="21"/>
                    </w:rPr>
                    <w:t>污染物排放管控</w:t>
                  </w:r>
                </w:p>
              </w:tc>
              <w:tc>
                <w:tcPr>
                  <w:tcW w:w="414" w:type="dxa"/>
                  <w:vAlign w:val="center"/>
                </w:tcPr>
                <w:p w14:paraId="619B8B0A">
                  <w:pPr>
                    <w:adjustRightInd w:val="0"/>
                    <w:snapToGrid w:val="0"/>
                    <w:jc w:val="center"/>
                    <w:rPr>
                      <w:color w:val="000000"/>
                      <w:kern w:val="0"/>
                      <w:sz w:val="21"/>
                      <w:szCs w:val="21"/>
                    </w:rPr>
                  </w:pPr>
                  <w:r>
                    <w:rPr>
                      <w:color w:val="000000"/>
                      <w:kern w:val="0"/>
                      <w:sz w:val="21"/>
                      <w:szCs w:val="21"/>
                    </w:rPr>
                    <w:t>允许排放量要求</w:t>
                  </w:r>
                </w:p>
              </w:tc>
              <w:tc>
                <w:tcPr>
                  <w:tcW w:w="2031" w:type="dxa"/>
                  <w:vAlign w:val="center"/>
                </w:tcPr>
                <w:p w14:paraId="24B374B7">
                  <w:pPr>
                    <w:jc w:val="center"/>
                    <w:rPr>
                      <w:color w:val="000000"/>
                      <w:kern w:val="0"/>
                      <w:sz w:val="21"/>
                      <w:szCs w:val="21"/>
                    </w:rPr>
                  </w:pPr>
                  <w:r>
                    <w:rPr>
                      <w:color w:val="000000"/>
                      <w:kern w:val="0"/>
                      <w:sz w:val="21"/>
                      <w:szCs w:val="21"/>
                    </w:rPr>
                    <w:t>新建、改建、扩建排放重点大气污染物的项目不符合总量控制要求的，不得通过环境影响评价。</w:t>
                  </w:r>
                </w:p>
              </w:tc>
              <w:tc>
                <w:tcPr>
                  <w:tcW w:w="2134" w:type="dxa"/>
                  <w:vAlign w:val="center"/>
                </w:tcPr>
                <w:p w14:paraId="2CB19C02">
                  <w:pPr>
                    <w:jc w:val="center"/>
                    <w:rPr>
                      <w:rFonts w:hint="default" w:eastAsia="宋体"/>
                      <w:color w:val="000000"/>
                      <w:kern w:val="0"/>
                      <w:sz w:val="21"/>
                      <w:szCs w:val="21"/>
                      <w:lang w:val="en-US" w:eastAsia="zh-CN"/>
                    </w:rPr>
                  </w:pPr>
                  <w:r>
                    <w:rPr>
                      <w:rFonts w:hint="eastAsia"/>
                      <w:kern w:val="0"/>
                      <w:sz w:val="21"/>
                      <w:szCs w:val="21"/>
                    </w:rPr>
                    <w:t>本项目废气</w:t>
                  </w:r>
                  <w:r>
                    <w:rPr>
                      <w:rFonts w:hint="eastAsia"/>
                      <w:kern w:val="0"/>
                      <w:sz w:val="21"/>
                      <w:szCs w:val="21"/>
                      <w:lang w:val="en-US" w:eastAsia="zh-CN"/>
                    </w:rPr>
                    <w:t>产生量较少，采用无组织排放</w:t>
                  </w:r>
                </w:p>
              </w:tc>
              <w:tc>
                <w:tcPr>
                  <w:tcW w:w="438" w:type="dxa"/>
                  <w:vAlign w:val="center"/>
                </w:tcPr>
                <w:p w14:paraId="0B21805A">
                  <w:pPr>
                    <w:adjustRightInd w:val="0"/>
                    <w:snapToGrid w:val="0"/>
                    <w:jc w:val="center"/>
                    <w:rPr>
                      <w:color w:val="000000"/>
                      <w:kern w:val="0"/>
                      <w:sz w:val="21"/>
                      <w:szCs w:val="21"/>
                    </w:rPr>
                  </w:pPr>
                  <w:r>
                    <w:rPr>
                      <w:color w:val="000000"/>
                      <w:kern w:val="0"/>
                      <w:sz w:val="21"/>
                      <w:szCs w:val="21"/>
                    </w:rPr>
                    <w:t>符合</w:t>
                  </w:r>
                </w:p>
              </w:tc>
            </w:tr>
            <w:tr w14:paraId="17E7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1E848D33">
                  <w:pPr>
                    <w:adjustRightInd w:val="0"/>
                    <w:snapToGrid w:val="0"/>
                    <w:jc w:val="center"/>
                    <w:rPr>
                      <w:color w:val="000000"/>
                      <w:kern w:val="0"/>
                      <w:sz w:val="21"/>
                      <w:szCs w:val="21"/>
                    </w:rPr>
                  </w:pPr>
                </w:p>
              </w:tc>
              <w:tc>
                <w:tcPr>
                  <w:tcW w:w="416" w:type="dxa"/>
                  <w:vMerge w:val="continue"/>
                  <w:vAlign w:val="center"/>
                </w:tcPr>
                <w:p w14:paraId="09DD0195">
                  <w:pPr>
                    <w:adjustRightInd w:val="0"/>
                    <w:snapToGrid w:val="0"/>
                    <w:jc w:val="center"/>
                    <w:rPr>
                      <w:color w:val="000000"/>
                      <w:kern w:val="0"/>
                      <w:sz w:val="21"/>
                      <w:szCs w:val="21"/>
                    </w:rPr>
                  </w:pPr>
                </w:p>
              </w:tc>
              <w:tc>
                <w:tcPr>
                  <w:tcW w:w="414" w:type="dxa"/>
                  <w:vMerge w:val="restart"/>
                  <w:vAlign w:val="center"/>
                </w:tcPr>
                <w:p w14:paraId="0326B0B9">
                  <w:pPr>
                    <w:adjustRightInd w:val="0"/>
                    <w:snapToGrid w:val="0"/>
                    <w:jc w:val="center"/>
                    <w:rPr>
                      <w:color w:val="000000"/>
                      <w:kern w:val="0"/>
                      <w:sz w:val="21"/>
                      <w:szCs w:val="21"/>
                    </w:rPr>
                  </w:pPr>
                  <w:r>
                    <w:rPr>
                      <w:color w:val="000000"/>
                      <w:kern w:val="0"/>
                      <w:sz w:val="21"/>
                      <w:szCs w:val="21"/>
                    </w:rPr>
                    <w:t>区域大气污染物削减/替代要求</w:t>
                  </w:r>
                </w:p>
              </w:tc>
              <w:tc>
                <w:tcPr>
                  <w:tcW w:w="2031" w:type="dxa"/>
                  <w:vAlign w:val="center"/>
                </w:tcPr>
                <w:p w14:paraId="6E22F2DE">
                  <w:pPr>
                    <w:jc w:val="center"/>
                    <w:rPr>
                      <w:color w:val="000000"/>
                      <w:kern w:val="0"/>
                      <w:sz w:val="21"/>
                      <w:szCs w:val="21"/>
                    </w:rPr>
                  </w:pPr>
                  <w:r>
                    <w:rPr>
                      <w:color w:val="000000"/>
                      <w:kern w:val="0"/>
                      <w:sz w:val="21"/>
                      <w:szCs w:val="21"/>
                    </w:rPr>
                    <w:t>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134" w:type="dxa"/>
                  <w:vAlign w:val="center"/>
                </w:tcPr>
                <w:p w14:paraId="2C3F7A22">
                  <w:pPr>
                    <w:jc w:val="center"/>
                    <w:rPr>
                      <w:rFonts w:hint="default" w:eastAsia="宋体"/>
                      <w:color w:val="000000"/>
                      <w:kern w:val="0"/>
                      <w:sz w:val="21"/>
                      <w:szCs w:val="21"/>
                      <w:lang w:val="en-US" w:eastAsia="zh-CN"/>
                    </w:rPr>
                  </w:pPr>
                  <w:r>
                    <w:rPr>
                      <w:rFonts w:hint="eastAsia"/>
                      <w:color w:val="000000"/>
                      <w:kern w:val="0"/>
                      <w:sz w:val="21"/>
                      <w:szCs w:val="21"/>
                      <w:lang w:val="en-US" w:eastAsia="zh-CN"/>
                    </w:rPr>
                    <w:t>项目不使用含VOCs的原辅料</w:t>
                  </w:r>
                </w:p>
              </w:tc>
              <w:tc>
                <w:tcPr>
                  <w:tcW w:w="438" w:type="dxa"/>
                  <w:vAlign w:val="center"/>
                </w:tcPr>
                <w:p w14:paraId="0A7542C8">
                  <w:pPr>
                    <w:adjustRightInd w:val="0"/>
                    <w:snapToGrid w:val="0"/>
                    <w:jc w:val="center"/>
                    <w:rPr>
                      <w:color w:val="000000"/>
                      <w:kern w:val="0"/>
                      <w:sz w:val="21"/>
                      <w:szCs w:val="21"/>
                    </w:rPr>
                  </w:pPr>
                  <w:r>
                    <w:rPr>
                      <w:color w:val="000000"/>
                      <w:kern w:val="0"/>
                      <w:sz w:val="21"/>
                      <w:szCs w:val="21"/>
                    </w:rPr>
                    <w:t>符合</w:t>
                  </w:r>
                </w:p>
              </w:tc>
            </w:tr>
            <w:tr w14:paraId="4167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5DF7E2CD">
                  <w:pPr>
                    <w:adjustRightInd w:val="0"/>
                    <w:snapToGrid w:val="0"/>
                    <w:jc w:val="center"/>
                    <w:rPr>
                      <w:color w:val="000000"/>
                      <w:kern w:val="0"/>
                      <w:sz w:val="21"/>
                      <w:szCs w:val="21"/>
                    </w:rPr>
                  </w:pPr>
                </w:p>
              </w:tc>
              <w:tc>
                <w:tcPr>
                  <w:tcW w:w="416" w:type="dxa"/>
                  <w:vMerge w:val="continue"/>
                  <w:vAlign w:val="center"/>
                </w:tcPr>
                <w:p w14:paraId="0448AB1A">
                  <w:pPr>
                    <w:adjustRightInd w:val="0"/>
                    <w:snapToGrid w:val="0"/>
                    <w:jc w:val="center"/>
                    <w:rPr>
                      <w:color w:val="000000"/>
                      <w:kern w:val="0"/>
                      <w:sz w:val="21"/>
                      <w:szCs w:val="21"/>
                    </w:rPr>
                  </w:pPr>
                </w:p>
              </w:tc>
              <w:tc>
                <w:tcPr>
                  <w:tcW w:w="414" w:type="dxa"/>
                  <w:vMerge w:val="continue"/>
                  <w:vAlign w:val="center"/>
                </w:tcPr>
                <w:p w14:paraId="6BAC4445">
                  <w:pPr>
                    <w:adjustRightInd w:val="0"/>
                    <w:snapToGrid w:val="0"/>
                    <w:jc w:val="center"/>
                    <w:rPr>
                      <w:color w:val="000000"/>
                      <w:kern w:val="0"/>
                      <w:sz w:val="21"/>
                      <w:szCs w:val="21"/>
                    </w:rPr>
                  </w:pPr>
                </w:p>
              </w:tc>
              <w:tc>
                <w:tcPr>
                  <w:tcW w:w="2031" w:type="dxa"/>
                  <w:vAlign w:val="center"/>
                </w:tcPr>
                <w:p w14:paraId="71CA1B1C">
                  <w:pPr>
                    <w:jc w:val="center"/>
                    <w:rPr>
                      <w:color w:val="000000"/>
                      <w:kern w:val="0"/>
                      <w:sz w:val="21"/>
                      <w:szCs w:val="21"/>
                    </w:rPr>
                  </w:pPr>
                  <w:r>
                    <w:rPr>
                      <w:color w:val="000000"/>
                      <w:kern w:val="0"/>
                      <w:sz w:val="21"/>
                      <w:szCs w:val="21"/>
                    </w:rPr>
                    <w:t>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2134" w:type="dxa"/>
                  <w:vAlign w:val="center"/>
                </w:tcPr>
                <w:p w14:paraId="115A57A9">
                  <w:pPr>
                    <w:jc w:val="center"/>
                    <w:rPr>
                      <w:color w:val="000000"/>
                      <w:kern w:val="0"/>
                      <w:sz w:val="21"/>
                      <w:szCs w:val="21"/>
                    </w:rPr>
                  </w:pPr>
                  <w:r>
                    <w:rPr>
                      <w:rFonts w:hint="eastAsia"/>
                      <w:color w:val="000000"/>
                      <w:kern w:val="0"/>
                      <w:sz w:val="21"/>
                      <w:szCs w:val="21"/>
                      <w:lang w:val="en-US" w:eastAsia="zh-CN"/>
                    </w:rPr>
                    <w:t>项目不使用含VOCs的原辅料</w:t>
                  </w:r>
                </w:p>
              </w:tc>
              <w:tc>
                <w:tcPr>
                  <w:tcW w:w="438" w:type="dxa"/>
                  <w:vAlign w:val="center"/>
                </w:tcPr>
                <w:p w14:paraId="48F13BB6">
                  <w:pPr>
                    <w:adjustRightInd w:val="0"/>
                    <w:snapToGrid w:val="0"/>
                    <w:jc w:val="center"/>
                    <w:rPr>
                      <w:color w:val="000000"/>
                      <w:kern w:val="0"/>
                      <w:sz w:val="21"/>
                      <w:szCs w:val="21"/>
                    </w:rPr>
                  </w:pPr>
                  <w:r>
                    <w:rPr>
                      <w:color w:val="000000"/>
                      <w:kern w:val="0"/>
                      <w:sz w:val="21"/>
                      <w:szCs w:val="21"/>
                    </w:rPr>
                    <w:t>符合</w:t>
                  </w:r>
                </w:p>
              </w:tc>
            </w:tr>
            <w:tr w14:paraId="66A6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0A1E6CB">
                  <w:pPr>
                    <w:adjustRightInd w:val="0"/>
                    <w:snapToGrid w:val="0"/>
                    <w:jc w:val="center"/>
                    <w:rPr>
                      <w:color w:val="000000"/>
                      <w:kern w:val="0"/>
                      <w:sz w:val="21"/>
                      <w:szCs w:val="21"/>
                    </w:rPr>
                  </w:pPr>
                </w:p>
              </w:tc>
              <w:tc>
                <w:tcPr>
                  <w:tcW w:w="416" w:type="dxa"/>
                  <w:vMerge w:val="continue"/>
                  <w:vAlign w:val="center"/>
                </w:tcPr>
                <w:p w14:paraId="7046290E">
                  <w:pPr>
                    <w:adjustRightInd w:val="0"/>
                    <w:snapToGrid w:val="0"/>
                    <w:jc w:val="center"/>
                    <w:rPr>
                      <w:color w:val="000000"/>
                      <w:kern w:val="0"/>
                      <w:sz w:val="21"/>
                      <w:szCs w:val="21"/>
                    </w:rPr>
                  </w:pPr>
                </w:p>
              </w:tc>
              <w:tc>
                <w:tcPr>
                  <w:tcW w:w="414" w:type="dxa"/>
                  <w:vMerge w:val="continue"/>
                  <w:vAlign w:val="center"/>
                </w:tcPr>
                <w:p w14:paraId="7B0C9C26">
                  <w:pPr>
                    <w:adjustRightInd w:val="0"/>
                    <w:snapToGrid w:val="0"/>
                    <w:jc w:val="center"/>
                    <w:rPr>
                      <w:color w:val="000000"/>
                      <w:kern w:val="0"/>
                      <w:sz w:val="21"/>
                      <w:szCs w:val="21"/>
                    </w:rPr>
                  </w:pPr>
                </w:p>
              </w:tc>
              <w:tc>
                <w:tcPr>
                  <w:tcW w:w="2031" w:type="dxa"/>
                  <w:vAlign w:val="center"/>
                </w:tcPr>
                <w:p w14:paraId="42BF68A6">
                  <w:pPr>
                    <w:jc w:val="center"/>
                    <w:rPr>
                      <w:color w:val="000000"/>
                      <w:kern w:val="0"/>
                      <w:sz w:val="21"/>
                      <w:szCs w:val="21"/>
                    </w:rPr>
                  </w:pPr>
                  <w:r>
                    <w:rPr>
                      <w:color w:val="000000"/>
                      <w:kern w:val="0"/>
                      <w:sz w:val="21"/>
                      <w:szCs w:val="21"/>
                    </w:rPr>
                    <w:t>将控制挥发性有机物排放列入建设项目环境影响评价重要内容，严格环境准入，严控“两高”行业新增产能。建立VOCs排放总量控制制度。重点行业建设项目报批环评文件时应附VOCs等量替代的来源说明，并落实相应的有机废气治理措施。</w:t>
                  </w:r>
                </w:p>
              </w:tc>
              <w:tc>
                <w:tcPr>
                  <w:tcW w:w="2134" w:type="dxa"/>
                  <w:vAlign w:val="center"/>
                </w:tcPr>
                <w:p w14:paraId="251307CA">
                  <w:pPr>
                    <w:jc w:val="center"/>
                    <w:rPr>
                      <w:color w:val="000000"/>
                      <w:kern w:val="0"/>
                      <w:sz w:val="21"/>
                      <w:szCs w:val="21"/>
                    </w:rPr>
                  </w:pPr>
                  <w:r>
                    <w:rPr>
                      <w:color w:val="000000"/>
                      <w:kern w:val="0"/>
                      <w:sz w:val="21"/>
                      <w:szCs w:val="21"/>
                    </w:rPr>
                    <w:t>根据《安徽省“两高”项目管理目录（试行）》，</w:t>
                  </w:r>
                  <w:r>
                    <w:rPr>
                      <w:color w:val="000000"/>
                      <w:sz w:val="21"/>
                      <w:szCs w:val="21"/>
                    </w:rPr>
                    <w:t>本项目行业类别</w:t>
                  </w:r>
                  <w:r>
                    <w:rPr>
                      <w:rFonts w:hint="eastAsia"/>
                      <w:color w:val="000000"/>
                      <w:sz w:val="21"/>
                      <w:szCs w:val="21"/>
                      <w:lang w:eastAsia="zh-CN"/>
                    </w:rPr>
                    <w:t>C1491营养食品制造</w:t>
                  </w:r>
                  <w:r>
                    <w:rPr>
                      <w:color w:val="000000"/>
                      <w:sz w:val="21"/>
                      <w:szCs w:val="21"/>
                    </w:rPr>
                    <w:t>，不属于其中“两高”行业</w:t>
                  </w:r>
                </w:p>
              </w:tc>
              <w:tc>
                <w:tcPr>
                  <w:tcW w:w="438" w:type="dxa"/>
                  <w:vAlign w:val="center"/>
                </w:tcPr>
                <w:p w14:paraId="07E96C0A">
                  <w:pPr>
                    <w:adjustRightInd w:val="0"/>
                    <w:snapToGrid w:val="0"/>
                    <w:jc w:val="center"/>
                    <w:rPr>
                      <w:color w:val="000000"/>
                      <w:kern w:val="0"/>
                      <w:sz w:val="21"/>
                      <w:szCs w:val="21"/>
                    </w:rPr>
                  </w:pPr>
                  <w:r>
                    <w:rPr>
                      <w:color w:val="000000"/>
                      <w:kern w:val="0"/>
                      <w:sz w:val="21"/>
                      <w:szCs w:val="21"/>
                    </w:rPr>
                    <w:t>符合</w:t>
                  </w:r>
                </w:p>
              </w:tc>
            </w:tr>
            <w:tr w14:paraId="5161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2A40ECC9">
                  <w:pPr>
                    <w:adjustRightInd w:val="0"/>
                    <w:snapToGrid w:val="0"/>
                    <w:jc w:val="center"/>
                    <w:rPr>
                      <w:color w:val="000000"/>
                      <w:kern w:val="0"/>
                      <w:sz w:val="21"/>
                      <w:szCs w:val="21"/>
                    </w:rPr>
                  </w:pPr>
                </w:p>
              </w:tc>
              <w:tc>
                <w:tcPr>
                  <w:tcW w:w="416" w:type="dxa"/>
                  <w:vMerge w:val="continue"/>
                  <w:vAlign w:val="center"/>
                </w:tcPr>
                <w:p w14:paraId="59877626">
                  <w:pPr>
                    <w:adjustRightInd w:val="0"/>
                    <w:snapToGrid w:val="0"/>
                    <w:jc w:val="center"/>
                    <w:rPr>
                      <w:color w:val="000000"/>
                      <w:kern w:val="0"/>
                      <w:sz w:val="21"/>
                      <w:szCs w:val="21"/>
                    </w:rPr>
                  </w:pPr>
                </w:p>
              </w:tc>
              <w:tc>
                <w:tcPr>
                  <w:tcW w:w="414" w:type="dxa"/>
                  <w:vMerge w:val="continue"/>
                  <w:vAlign w:val="center"/>
                </w:tcPr>
                <w:p w14:paraId="5BFE492F">
                  <w:pPr>
                    <w:adjustRightInd w:val="0"/>
                    <w:snapToGrid w:val="0"/>
                    <w:jc w:val="center"/>
                    <w:rPr>
                      <w:color w:val="000000"/>
                      <w:kern w:val="0"/>
                      <w:sz w:val="21"/>
                      <w:szCs w:val="21"/>
                    </w:rPr>
                  </w:pPr>
                </w:p>
              </w:tc>
              <w:tc>
                <w:tcPr>
                  <w:tcW w:w="2031" w:type="dxa"/>
                  <w:vAlign w:val="center"/>
                </w:tcPr>
                <w:p w14:paraId="12F2DE02">
                  <w:pPr>
                    <w:jc w:val="center"/>
                    <w:rPr>
                      <w:color w:val="000000"/>
                      <w:kern w:val="0"/>
                      <w:sz w:val="21"/>
                      <w:szCs w:val="21"/>
                    </w:rPr>
                  </w:pPr>
                  <w:r>
                    <w:rPr>
                      <w:color w:val="000000"/>
                      <w:kern w:val="0"/>
                      <w:sz w:val="21"/>
                      <w:szCs w:val="21"/>
                    </w:rPr>
                    <w:t>新建、迁建 VOCs 排放量大的企业应入工业园区并符合规划要求，必须建设挥发性有机物污染治理施，安装废气收集、回收或净化装置，原则上总净化效率不得低于90%。</w:t>
                  </w:r>
                </w:p>
              </w:tc>
              <w:tc>
                <w:tcPr>
                  <w:tcW w:w="2134" w:type="dxa"/>
                  <w:vAlign w:val="center"/>
                </w:tcPr>
                <w:p w14:paraId="45230987">
                  <w:pPr>
                    <w:jc w:val="center"/>
                    <w:rPr>
                      <w:rFonts w:hint="default"/>
                      <w:color w:val="000000"/>
                      <w:kern w:val="0"/>
                      <w:sz w:val="21"/>
                      <w:szCs w:val="21"/>
                      <w:lang w:val="en-US"/>
                    </w:rPr>
                  </w:pPr>
                  <w:r>
                    <w:rPr>
                      <w:color w:val="000000"/>
                      <w:kern w:val="0"/>
                      <w:sz w:val="21"/>
                      <w:szCs w:val="21"/>
                    </w:rPr>
                    <w:t>项目为新建项目，位于</w:t>
                  </w:r>
                  <w:r>
                    <w:rPr>
                      <w:sz w:val="21"/>
                      <w:szCs w:val="21"/>
                      <w:lang w:bidi="ar"/>
                    </w:rPr>
                    <w:t>宿州市高新技术产业开发区</w:t>
                  </w:r>
                  <w:r>
                    <w:rPr>
                      <w:rFonts w:hint="eastAsia"/>
                      <w:sz w:val="21"/>
                      <w:szCs w:val="21"/>
                      <w:lang w:bidi="ar"/>
                    </w:rPr>
                    <w:t>内</w:t>
                  </w:r>
                  <w:r>
                    <w:rPr>
                      <w:color w:val="000000"/>
                      <w:kern w:val="0"/>
                      <w:sz w:val="21"/>
                      <w:szCs w:val="21"/>
                    </w:rPr>
                    <w:t>，项目</w:t>
                  </w:r>
                  <w:r>
                    <w:rPr>
                      <w:rFonts w:hint="eastAsia"/>
                      <w:color w:val="000000"/>
                      <w:kern w:val="0"/>
                      <w:sz w:val="21"/>
                      <w:szCs w:val="21"/>
                      <w:lang w:val="en-US" w:eastAsia="zh-CN"/>
                    </w:rPr>
                    <w:t>产生的废气量较少，采用无组织排放</w:t>
                  </w:r>
                </w:p>
              </w:tc>
              <w:tc>
                <w:tcPr>
                  <w:tcW w:w="438" w:type="dxa"/>
                  <w:vAlign w:val="center"/>
                </w:tcPr>
                <w:p w14:paraId="6EF2A5EC">
                  <w:pPr>
                    <w:adjustRightInd w:val="0"/>
                    <w:snapToGrid w:val="0"/>
                    <w:jc w:val="center"/>
                    <w:rPr>
                      <w:color w:val="000000"/>
                      <w:kern w:val="0"/>
                      <w:sz w:val="21"/>
                      <w:szCs w:val="21"/>
                    </w:rPr>
                  </w:pPr>
                  <w:r>
                    <w:rPr>
                      <w:color w:val="000000"/>
                      <w:kern w:val="0"/>
                      <w:sz w:val="21"/>
                      <w:szCs w:val="21"/>
                    </w:rPr>
                    <w:t>符合</w:t>
                  </w:r>
                </w:p>
              </w:tc>
            </w:tr>
            <w:tr w14:paraId="28E07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793A2E97">
                  <w:pPr>
                    <w:adjustRightInd w:val="0"/>
                    <w:snapToGrid w:val="0"/>
                    <w:jc w:val="center"/>
                    <w:rPr>
                      <w:color w:val="000000"/>
                      <w:kern w:val="0"/>
                      <w:sz w:val="21"/>
                      <w:szCs w:val="21"/>
                    </w:rPr>
                  </w:pPr>
                </w:p>
              </w:tc>
              <w:tc>
                <w:tcPr>
                  <w:tcW w:w="416" w:type="dxa"/>
                  <w:vMerge w:val="continue"/>
                  <w:vAlign w:val="center"/>
                </w:tcPr>
                <w:p w14:paraId="4D7FF48E">
                  <w:pPr>
                    <w:adjustRightInd w:val="0"/>
                    <w:snapToGrid w:val="0"/>
                    <w:jc w:val="center"/>
                    <w:rPr>
                      <w:color w:val="000000"/>
                      <w:kern w:val="0"/>
                      <w:sz w:val="21"/>
                      <w:szCs w:val="21"/>
                    </w:rPr>
                  </w:pPr>
                </w:p>
              </w:tc>
              <w:tc>
                <w:tcPr>
                  <w:tcW w:w="414" w:type="dxa"/>
                  <w:vMerge w:val="restart"/>
                  <w:vAlign w:val="center"/>
                </w:tcPr>
                <w:p w14:paraId="4211A6F1">
                  <w:pPr>
                    <w:adjustRightInd w:val="0"/>
                    <w:snapToGrid w:val="0"/>
                    <w:jc w:val="center"/>
                    <w:rPr>
                      <w:color w:val="000000"/>
                      <w:kern w:val="0"/>
                      <w:sz w:val="21"/>
                      <w:szCs w:val="21"/>
                    </w:rPr>
                  </w:pPr>
                  <w:r>
                    <w:rPr>
                      <w:color w:val="000000"/>
                      <w:kern w:val="0"/>
                      <w:sz w:val="21"/>
                      <w:szCs w:val="21"/>
                    </w:rPr>
                    <w:t>其他污染物排放管控要求</w:t>
                  </w:r>
                </w:p>
              </w:tc>
              <w:tc>
                <w:tcPr>
                  <w:tcW w:w="2031" w:type="dxa"/>
                  <w:vAlign w:val="center"/>
                </w:tcPr>
                <w:p w14:paraId="2EED4EE7">
                  <w:pPr>
                    <w:jc w:val="center"/>
                    <w:rPr>
                      <w:color w:val="000000"/>
                      <w:kern w:val="0"/>
                      <w:sz w:val="21"/>
                      <w:szCs w:val="21"/>
                    </w:rPr>
                  </w:pPr>
                  <w:r>
                    <w:rPr>
                      <w:color w:val="000000"/>
                      <w:kern w:val="0"/>
                      <w:sz w:val="21"/>
                      <w:szCs w:val="21"/>
                    </w:rPr>
                    <w:t>强化工业企业无组织排放管理，推进挥发性有机物排放综合整治，开展大气氨排放控制试点。</w:t>
                  </w:r>
                </w:p>
              </w:tc>
              <w:tc>
                <w:tcPr>
                  <w:tcW w:w="2134" w:type="dxa"/>
                  <w:vAlign w:val="center"/>
                </w:tcPr>
                <w:p w14:paraId="5ADB086A">
                  <w:pPr>
                    <w:jc w:val="center"/>
                    <w:rPr>
                      <w:color w:val="000000"/>
                      <w:kern w:val="0"/>
                      <w:sz w:val="21"/>
                      <w:szCs w:val="21"/>
                    </w:rPr>
                  </w:pPr>
                  <w:r>
                    <w:rPr>
                      <w:color w:val="000000"/>
                      <w:kern w:val="0"/>
                      <w:sz w:val="21"/>
                      <w:szCs w:val="21"/>
                    </w:rPr>
                    <w:t>项目不涉及氨的排放，且加强通风管理</w:t>
                  </w:r>
                </w:p>
              </w:tc>
              <w:tc>
                <w:tcPr>
                  <w:tcW w:w="438" w:type="dxa"/>
                  <w:vAlign w:val="center"/>
                </w:tcPr>
                <w:p w14:paraId="2591AE9D">
                  <w:pPr>
                    <w:adjustRightInd w:val="0"/>
                    <w:snapToGrid w:val="0"/>
                    <w:jc w:val="center"/>
                    <w:rPr>
                      <w:color w:val="000000"/>
                      <w:kern w:val="0"/>
                      <w:sz w:val="21"/>
                      <w:szCs w:val="21"/>
                    </w:rPr>
                  </w:pPr>
                  <w:r>
                    <w:rPr>
                      <w:color w:val="000000"/>
                      <w:kern w:val="0"/>
                      <w:sz w:val="21"/>
                      <w:szCs w:val="21"/>
                    </w:rPr>
                    <w:t>符合</w:t>
                  </w:r>
                </w:p>
              </w:tc>
            </w:tr>
            <w:tr w14:paraId="0E86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gridSpan w:val="2"/>
                  <w:vMerge w:val="continue"/>
                  <w:vAlign w:val="center"/>
                </w:tcPr>
                <w:p w14:paraId="03E5C8CF">
                  <w:pPr>
                    <w:adjustRightInd w:val="0"/>
                    <w:snapToGrid w:val="0"/>
                    <w:jc w:val="center"/>
                    <w:rPr>
                      <w:color w:val="000000"/>
                      <w:kern w:val="0"/>
                      <w:sz w:val="21"/>
                      <w:szCs w:val="21"/>
                    </w:rPr>
                  </w:pPr>
                </w:p>
              </w:tc>
              <w:tc>
                <w:tcPr>
                  <w:tcW w:w="416" w:type="dxa"/>
                  <w:vMerge w:val="continue"/>
                  <w:vAlign w:val="center"/>
                </w:tcPr>
                <w:p w14:paraId="68FD122A">
                  <w:pPr>
                    <w:adjustRightInd w:val="0"/>
                    <w:snapToGrid w:val="0"/>
                    <w:jc w:val="center"/>
                    <w:rPr>
                      <w:color w:val="000000"/>
                      <w:kern w:val="0"/>
                      <w:sz w:val="21"/>
                      <w:szCs w:val="21"/>
                    </w:rPr>
                  </w:pPr>
                </w:p>
              </w:tc>
              <w:tc>
                <w:tcPr>
                  <w:tcW w:w="414" w:type="dxa"/>
                  <w:vMerge w:val="continue"/>
                  <w:vAlign w:val="center"/>
                </w:tcPr>
                <w:p w14:paraId="70C4F0D3">
                  <w:pPr>
                    <w:adjustRightInd w:val="0"/>
                    <w:snapToGrid w:val="0"/>
                    <w:jc w:val="center"/>
                    <w:rPr>
                      <w:color w:val="000000"/>
                      <w:kern w:val="0"/>
                      <w:sz w:val="21"/>
                      <w:szCs w:val="21"/>
                    </w:rPr>
                  </w:pPr>
                </w:p>
              </w:tc>
              <w:tc>
                <w:tcPr>
                  <w:tcW w:w="2031" w:type="dxa"/>
                  <w:vAlign w:val="center"/>
                </w:tcPr>
                <w:p w14:paraId="6BC768CB">
                  <w:pPr>
                    <w:jc w:val="center"/>
                    <w:rPr>
                      <w:color w:val="000000"/>
                      <w:kern w:val="0"/>
                      <w:sz w:val="21"/>
                      <w:szCs w:val="21"/>
                    </w:rPr>
                  </w:pPr>
                  <w:r>
                    <w:rPr>
                      <w:color w:val="000000"/>
                      <w:kern w:val="0"/>
                      <w:sz w:val="21"/>
                      <w:szCs w:val="21"/>
                    </w:rPr>
                    <w:t>深化工业污染治理，工业污染源全面达标排放，未达标排放的企业一律依法停产整治。</w:t>
                  </w:r>
                </w:p>
              </w:tc>
              <w:tc>
                <w:tcPr>
                  <w:tcW w:w="2134" w:type="dxa"/>
                  <w:vAlign w:val="center"/>
                </w:tcPr>
                <w:p w14:paraId="7A0149DD">
                  <w:pPr>
                    <w:jc w:val="center"/>
                    <w:rPr>
                      <w:color w:val="000000"/>
                      <w:kern w:val="0"/>
                      <w:sz w:val="21"/>
                      <w:szCs w:val="21"/>
                    </w:rPr>
                  </w:pPr>
                  <w:r>
                    <w:rPr>
                      <w:color w:val="000000"/>
                      <w:kern w:val="0"/>
                      <w:sz w:val="21"/>
                      <w:szCs w:val="21"/>
                    </w:rPr>
                    <w:t>项目采取的污染防治措施均可使污染物稳定达标排放</w:t>
                  </w:r>
                </w:p>
              </w:tc>
              <w:tc>
                <w:tcPr>
                  <w:tcW w:w="438" w:type="dxa"/>
                  <w:vAlign w:val="center"/>
                </w:tcPr>
                <w:p w14:paraId="6628784D">
                  <w:pPr>
                    <w:adjustRightInd w:val="0"/>
                    <w:snapToGrid w:val="0"/>
                    <w:jc w:val="center"/>
                    <w:rPr>
                      <w:color w:val="000000"/>
                      <w:kern w:val="0"/>
                      <w:sz w:val="21"/>
                      <w:szCs w:val="21"/>
                    </w:rPr>
                  </w:pPr>
                  <w:r>
                    <w:rPr>
                      <w:color w:val="000000"/>
                      <w:kern w:val="0"/>
                      <w:sz w:val="21"/>
                      <w:szCs w:val="21"/>
                    </w:rPr>
                    <w:t>符合</w:t>
                  </w:r>
                </w:p>
              </w:tc>
            </w:tr>
            <w:tr w14:paraId="7F71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28" w:type="dxa"/>
                  <w:gridSpan w:val="2"/>
                  <w:vMerge w:val="continue"/>
                  <w:vAlign w:val="center"/>
                </w:tcPr>
                <w:p w14:paraId="02CA2F58">
                  <w:pPr>
                    <w:adjustRightInd w:val="0"/>
                    <w:snapToGrid w:val="0"/>
                    <w:jc w:val="center"/>
                    <w:rPr>
                      <w:color w:val="000000"/>
                      <w:kern w:val="0"/>
                      <w:sz w:val="21"/>
                      <w:szCs w:val="21"/>
                    </w:rPr>
                  </w:pPr>
                </w:p>
              </w:tc>
              <w:tc>
                <w:tcPr>
                  <w:tcW w:w="416" w:type="dxa"/>
                  <w:vMerge w:val="continue"/>
                  <w:vAlign w:val="center"/>
                </w:tcPr>
                <w:p w14:paraId="26B9258B">
                  <w:pPr>
                    <w:adjustRightInd w:val="0"/>
                    <w:snapToGrid w:val="0"/>
                    <w:jc w:val="center"/>
                    <w:rPr>
                      <w:color w:val="000000"/>
                      <w:kern w:val="0"/>
                      <w:sz w:val="21"/>
                      <w:szCs w:val="21"/>
                    </w:rPr>
                  </w:pPr>
                </w:p>
              </w:tc>
              <w:tc>
                <w:tcPr>
                  <w:tcW w:w="414" w:type="dxa"/>
                  <w:vMerge w:val="continue"/>
                  <w:vAlign w:val="center"/>
                </w:tcPr>
                <w:p w14:paraId="33F02C91">
                  <w:pPr>
                    <w:adjustRightInd w:val="0"/>
                    <w:snapToGrid w:val="0"/>
                    <w:jc w:val="center"/>
                    <w:rPr>
                      <w:color w:val="000000"/>
                      <w:kern w:val="0"/>
                      <w:sz w:val="21"/>
                      <w:szCs w:val="21"/>
                    </w:rPr>
                  </w:pPr>
                </w:p>
              </w:tc>
              <w:tc>
                <w:tcPr>
                  <w:tcW w:w="2031" w:type="dxa"/>
                  <w:vAlign w:val="center"/>
                </w:tcPr>
                <w:p w14:paraId="7B5C1719">
                  <w:pPr>
                    <w:jc w:val="center"/>
                    <w:rPr>
                      <w:color w:val="000000"/>
                      <w:kern w:val="0"/>
                      <w:sz w:val="21"/>
                      <w:szCs w:val="21"/>
                    </w:rPr>
                  </w:pPr>
                  <w:r>
                    <w:rPr>
                      <w:color w:val="000000"/>
                      <w:kern w:val="0"/>
                      <w:sz w:val="21"/>
                      <w:szCs w:val="21"/>
                    </w:rPr>
                    <w:t>工业生产中产生的可燃性气体应当回收利用。不具备回收利用条件而向大气排放的，应当进行污染防治处理。</w:t>
                  </w:r>
                </w:p>
              </w:tc>
              <w:tc>
                <w:tcPr>
                  <w:tcW w:w="2134" w:type="dxa"/>
                  <w:vAlign w:val="center"/>
                </w:tcPr>
                <w:p w14:paraId="65B58B21">
                  <w:pPr>
                    <w:jc w:val="center"/>
                    <w:rPr>
                      <w:color w:val="000000"/>
                      <w:kern w:val="0"/>
                      <w:sz w:val="21"/>
                      <w:szCs w:val="21"/>
                    </w:rPr>
                  </w:pPr>
                  <w:r>
                    <w:rPr>
                      <w:rStyle w:val="34"/>
                      <w:color w:val="000000"/>
                      <w:kern w:val="0"/>
                      <w:szCs w:val="21"/>
                    </w:rPr>
                    <w:t>项目生产中不产生可燃性气体</w:t>
                  </w:r>
                </w:p>
              </w:tc>
              <w:tc>
                <w:tcPr>
                  <w:tcW w:w="438" w:type="dxa"/>
                  <w:vAlign w:val="center"/>
                </w:tcPr>
                <w:p w14:paraId="3B041433">
                  <w:pPr>
                    <w:adjustRightInd w:val="0"/>
                    <w:snapToGrid w:val="0"/>
                    <w:jc w:val="center"/>
                    <w:rPr>
                      <w:color w:val="000000"/>
                      <w:kern w:val="0"/>
                      <w:sz w:val="21"/>
                      <w:szCs w:val="21"/>
                    </w:rPr>
                  </w:pPr>
                  <w:r>
                    <w:rPr>
                      <w:color w:val="000000"/>
                      <w:kern w:val="0"/>
                      <w:sz w:val="21"/>
                      <w:szCs w:val="21"/>
                    </w:rPr>
                    <w:t>符合</w:t>
                  </w:r>
                </w:p>
              </w:tc>
            </w:tr>
            <w:tr w14:paraId="6D930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restart"/>
                  <w:vAlign w:val="center"/>
                </w:tcPr>
                <w:p w14:paraId="610E102F">
                  <w:pPr>
                    <w:adjustRightInd w:val="0"/>
                    <w:snapToGrid w:val="0"/>
                    <w:jc w:val="center"/>
                    <w:rPr>
                      <w:color w:val="000000"/>
                      <w:kern w:val="0"/>
                      <w:sz w:val="21"/>
                      <w:szCs w:val="21"/>
                    </w:rPr>
                  </w:pPr>
                  <w:r>
                    <w:rPr>
                      <w:color w:val="000000"/>
                      <w:kern w:val="0"/>
                      <w:sz w:val="21"/>
                      <w:szCs w:val="21"/>
                    </w:rPr>
                    <w:t>水重点管控区</w:t>
                  </w:r>
                </w:p>
              </w:tc>
              <w:tc>
                <w:tcPr>
                  <w:tcW w:w="414" w:type="dxa"/>
                  <w:vMerge w:val="restart"/>
                  <w:vAlign w:val="center"/>
                </w:tcPr>
                <w:p w14:paraId="76464C98">
                  <w:pPr>
                    <w:adjustRightInd w:val="0"/>
                    <w:snapToGrid w:val="0"/>
                    <w:jc w:val="center"/>
                    <w:rPr>
                      <w:color w:val="000000"/>
                      <w:kern w:val="0"/>
                      <w:sz w:val="21"/>
                      <w:szCs w:val="21"/>
                    </w:rPr>
                  </w:pPr>
                  <w:r>
                    <w:rPr>
                      <w:color w:val="000000"/>
                      <w:kern w:val="0"/>
                      <w:sz w:val="21"/>
                      <w:szCs w:val="21"/>
                    </w:rPr>
                    <w:t>工业重点管控区</w:t>
                  </w:r>
                </w:p>
              </w:tc>
              <w:tc>
                <w:tcPr>
                  <w:tcW w:w="416" w:type="dxa"/>
                  <w:vMerge w:val="restart"/>
                  <w:vAlign w:val="center"/>
                </w:tcPr>
                <w:p w14:paraId="18DB7797">
                  <w:pPr>
                    <w:adjustRightInd w:val="0"/>
                    <w:snapToGrid w:val="0"/>
                    <w:jc w:val="center"/>
                    <w:rPr>
                      <w:color w:val="000000"/>
                      <w:kern w:val="0"/>
                      <w:sz w:val="21"/>
                      <w:szCs w:val="21"/>
                    </w:rPr>
                  </w:pPr>
                  <w:r>
                    <w:rPr>
                      <w:color w:val="000000"/>
                      <w:kern w:val="0"/>
                      <w:sz w:val="21"/>
                      <w:szCs w:val="21"/>
                    </w:rPr>
                    <w:t>空间布局约束</w:t>
                  </w:r>
                </w:p>
              </w:tc>
              <w:tc>
                <w:tcPr>
                  <w:tcW w:w="414" w:type="dxa"/>
                  <w:vMerge w:val="restart"/>
                  <w:vAlign w:val="center"/>
                </w:tcPr>
                <w:p w14:paraId="21986B0E">
                  <w:pPr>
                    <w:adjustRightInd w:val="0"/>
                    <w:snapToGrid w:val="0"/>
                    <w:jc w:val="center"/>
                    <w:rPr>
                      <w:color w:val="000000"/>
                      <w:kern w:val="0"/>
                      <w:sz w:val="21"/>
                      <w:szCs w:val="21"/>
                    </w:rPr>
                  </w:pPr>
                  <w:r>
                    <w:rPr>
                      <w:color w:val="000000"/>
                      <w:kern w:val="0"/>
                      <w:sz w:val="21"/>
                      <w:szCs w:val="21"/>
                    </w:rPr>
                    <w:t>禁止开发建设活动的要求</w:t>
                  </w:r>
                </w:p>
              </w:tc>
              <w:tc>
                <w:tcPr>
                  <w:tcW w:w="2031" w:type="dxa"/>
                  <w:vAlign w:val="center"/>
                </w:tcPr>
                <w:p w14:paraId="47CD9A39">
                  <w:pPr>
                    <w:jc w:val="center"/>
                    <w:rPr>
                      <w:color w:val="000000"/>
                      <w:kern w:val="0"/>
                      <w:sz w:val="21"/>
                      <w:szCs w:val="21"/>
                    </w:rPr>
                  </w:pPr>
                  <w:r>
                    <w:rPr>
                      <w:color w:val="000000"/>
                      <w:kern w:val="0"/>
                      <w:sz w:val="21"/>
                      <w:szCs w:val="21"/>
                    </w:rPr>
                    <w:t>取缔“十小”企业。全面排查装备水平低、环保设施差的小型工业企业。按照水污染防治法律法规要求，全面排查和取缔不符合国家产业政策的小型造纸、制革、印染、染料、炼焦、炼硫、炼砷、炼油、电镀、农药等严重污染水环境的生产项目。</w:t>
                  </w:r>
                </w:p>
              </w:tc>
              <w:tc>
                <w:tcPr>
                  <w:tcW w:w="2134" w:type="dxa"/>
                  <w:vAlign w:val="center"/>
                </w:tcPr>
                <w:p w14:paraId="21635003">
                  <w:pPr>
                    <w:jc w:val="center"/>
                    <w:rPr>
                      <w:color w:val="000000"/>
                      <w:kern w:val="0"/>
                      <w:sz w:val="21"/>
                      <w:szCs w:val="21"/>
                    </w:rPr>
                  </w:pPr>
                  <w:r>
                    <w:rPr>
                      <w:color w:val="000000"/>
                      <w:kern w:val="0"/>
                      <w:sz w:val="21"/>
                      <w:szCs w:val="21"/>
                    </w:rPr>
                    <w:t>项目</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，不属于小型造纸、制革、印染、染料、炼焦、炼硫、炼砷、炼油、电镀、农药等生产项目</w:t>
                  </w:r>
                </w:p>
              </w:tc>
              <w:tc>
                <w:tcPr>
                  <w:tcW w:w="438" w:type="dxa"/>
                  <w:vAlign w:val="center"/>
                </w:tcPr>
                <w:p w14:paraId="1B3AE5A9">
                  <w:pPr>
                    <w:adjustRightInd w:val="0"/>
                    <w:snapToGrid w:val="0"/>
                    <w:jc w:val="center"/>
                    <w:rPr>
                      <w:color w:val="000000"/>
                      <w:kern w:val="0"/>
                      <w:sz w:val="21"/>
                      <w:szCs w:val="21"/>
                    </w:rPr>
                  </w:pPr>
                  <w:r>
                    <w:rPr>
                      <w:color w:val="000000"/>
                      <w:kern w:val="0"/>
                      <w:sz w:val="21"/>
                      <w:szCs w:val="21"/>
                    </w:rPr>
                    <w:t>符合</w:t>
                  </w:r>
                </w:p>
              </w:tc>
            </w:tr>
            <w:tr w14:paraId="6958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45C896E5">
                  <w:pPr>
                    <w:adjustRightInd w:val="0"/>
                    <w:snapToGrid w:val="0"/>
                    <w:jc w:val="center"/>
                    <w:rPr>
                      <w:color w:val="000000"/>
                      <w:kern w:val="0"/>
                      <w:sz w:val="21"/>
                      <w:szCs w:val="21"/>
                    </w:rPr>
                  </w:pPr>
                </w:p>
              </w:tc>
              <w:tc>
                <w:tcPr>
                  <w:tcW w:w="414" w:type="dxa"/>
                  <w:vMerge w:val="continue"/>
                  <w:vAlign w:val="center"/>
                </w:tcPr>
                <w:p w14:paraId="27669834">
                  <w:pPr>
                    <w:adjustRightInd w:val="0"/>
                    <w:snapToGrid w:val="0"/>
                    <w:jc w:val="center"/>
                    <w:rPr>
                      <w:color w:val="000000"/>
                      <w:kern w:val="0"/>
                      <w:sz w:val="21"/>
                      <w:szCs w:val="21"/>
                    </w:rPr>
                  </w:pPr>
                </w:p>
              </w:tc>
              <w:tc>
                <w:tcPr>
                  <w:tcW w:w="416" w:type="dxa"/>
                  <w:vMerge w:val="continue"/>
                  <w:vAlign w:val="center"/>
                </w:tcPr>
                <w:p w14:paraId="664DAE83">
                  <w:pPr>
                    <w:adjustRightInd w:val="0"/>
                    <w:snapToGrid w:val="0"/>
                    <w:jc w:val="center"/>
                    <w:rPr>
                      <w:color w:val="000000"/>
                      <w:kern w:val="0"/>
                      <w:sz w:val="21"/>
                      <w:szCs w:val="21"/>
                    </w:rPr>
                  </w:pPr>
                </w:p>
              </w:tc>
              <w:tc>
                <w:tcPr>
                  <w:tcW w:w="414" w:type="dxa"/>
                  <w:vMerge w:val="continue"/>
                  <w:vAlign w:val="center"/>
                </w:tcPr>
                <w:p w14:paraId="42C8A884">
                  <w:pPr>
                    <w:adjustRightInd w:val="0"/>
                    <w:snapToGrid w:val="0"/>
                    <w:jc w:val="center"/>
                    <w:rPr>
                      <w:color w:val="000000"/>
                      <w:kern w:val="0"/>
                      <w:sz w:val="21"/>
                      <w:szCs w:val="21"/>
                    </w:rPr>
                  </w:pPr>
                </w:p>
              </w:tc>
              <w:tc>
                <w:tcPr>
                  <w:tcW w:w="2031" w:type="dxa"/>
                  <w:vAlign w:val="center"/>
                </w:tcPr>
                <w:p w14:paraId="2EEC569A">
                  <w:pPr>
                    <w:jc w:val="center"/>
                    <w:rPr>
                      <w:color w:val="000000"/>
                      <w:kern w:val="0"/>
                      <w:sz w:val="21"/>
                      <w:szCs w:val="21"/>
                    </w:rPr>
                  </w:pPr>
                  <w:r>
                    <w:rPr>
                      <w:color w:val="000000"/>
                      <w:kern w:val="0"/>
                      <w:sz w:val="21"/>
                      <w:szCs w:val="21"/>
                    </w:rPr>
                    <w:t>严格城市规划蓝线管理，城市规划区范围内应保留一定比例的水域面积，现有水域面积不得减少。新建项目一律不得违规占用水域。</w:t>
                  </w:r>
                </w:p>
              </w:tc>
              <w:tc>
                <w:tcPr>
                  <w:tcW w:w="2134" w:type="dxa"/>
                  <w:vAlign w:val="center"/>
                </w:tcPr>
                <w:p w14:paraId="4F017E76">
                  <w:pPr>
                    <w:jc w:val="center"/>
                    <w:rPr>
                      <w:color w:val="000000"/>
                      <w:kern w:val="0"/>
                      <w:sz w:val="21"/>
                      <w:szCs w:val="21"/>
                    </w:rPr>
                  </w:pPr>
                  <w:r>
                    <w:rPr>
                      <w:color w:val="000000"/>
                      <w:kern w:val="0"/>
                      <w:sz w:val="21"/>
                      <w:szCs w:val="21"/>
                    </w:rPr>
                    <w:t>项目于</w:t>
                  </w:r>
                  <w:r>
                    <w:rPr>
                      <w:sz w:val="21"/>
                      <w:szCs w:val="21"/>
                      <w:lang w:bidi="ar"/>
                    </w:rPr>
                    <w:t>宿州市高新技术产业开发区</w:t>
                  </w:r>
                  <w:r>
                    <w:rPr>
                      <w:rFonts w:hint="eastAsia"/>
                      <w:sz w:val="21"/>
                      <w:szCs w:val="21"/>
                      <w:lang w:bidi="ar"/>
                    </w:rPr>
                    <w:t>内</w:t>
                  </w:r>
                  <w:r>
                    <w:rPr>
                      <w:color w:val="000000"/>
                      <w:kern w:val="0"/>
                      <w:sz w:val="21"/>
                      <w:szCs w:val="21"/>
                    </w:rPr>
                    <w:t>，不涉及水域面积的违规占用</w:t>
                  </w:r>
                </w:p>
              </w:tc>
              <w:tc>
                <w:tcPr>
                  <w:tcW w:w="438" w:type="dxa"/>
                  <w:vAlign w:val="center"/>
                </w:tcPr>
                <w:p w14:paraId="0A309911">
                  <w:pPr>
                    <w:adjustRightInd w:val="0"/>
                    <w:snapToGrid w:val="0"/>
                    <w:jc w:val="center"/>
                    <w:rPr>
                      <w:color w:val="000000"/>
                      <w:kern w:val="0"/>
                      <w:sz w:val="21"/>
                      <w:szCs w:val="21"/>
                    </w:rPr>
                  </w:pPr>
                  <w:r>
                    <w:rPr>
                      <w:color w:val="000000"/>
                      <w:kern w:val="0"/>
                      <w:sz w:val="21"/>
                      <w:szCs w:val="21"/>
                    </w:rPr>
                    <w:t>符合</w:t>
                  </w:r>
                </w:p>
              </w:tc>
            </w:tr>
            <w:tr w14:paraId="2D3C8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409BB443">
                  <w:pPr>
                    <w:adjustRightInd w:val="0"/>
                    <w:snapToGrid w:val="0"/>
                    <w:jc w:val="center"/>
                    <w:rPr>
                      <w:color w:val="000000"/>
                      <w:kern w:val="0"/>
                      <w:sz w:val="21"/>
                      <w:szCs w:val="21"/>
                    </w:rPr>
                  </w:pPr>
                </w:p>
              </w:tc>
              <w:tc>
                <w:tcPr>
                  <w:tcW w:w="414" w:type="dxa"/>
                  <w:vMerge w:val="continue"/>
                  <w:vAlign w:val="center"/>
                </w:tcPr>
                <w:p w14:paraId="0B6B8558">
                  <w:pPr>
                    <w:adjustRightInd w:val="0"/>
                    <w:snapToGrid w:val="0"/>
                    <w:jc w:val="center"/>
                    <w:rPr>
                      <w:color w:val="000000"/>
                      <w:kern w:val="0"/>
                      <w:sz w:val="21"/>
                      <w:szCs w:val="21"/>
                    </w:rPr>
                  </w:pPr>
                </w:p>
              </w:tc>
              <w:tc>
                <w:tcPr>
                  <w:tcW w:w="416" w:type="dxa"/>
                  <w:vMerge w:val="continue"/>
                  <w:vAlign w:val="center"/>
                </w:tcPr>
                <w:p w14:paraId="0845A59C">
                  <w:pPr>
                    <w:adjustRightInd w:val="0"/>
                    <w:snapToGrid w:val="0"/>
                    <w:jc w:val="center"/>
                    <w:rPr>
                      <w:color w:val="000000"/>
                      <w:kern w:val="0"/>
                      <w:sz w:val="21"/>
                      <w:szCs w:val="21"/>
                    </w:rPr>
                  </w:pPr>
                </w:p>
              </w:tc>
              <w:tc>
                <w:tcPr>
                  <w:tcW w:w="414" w:type="dxa"/>
                  <w:vAlign w:val="center"/>
                </w:tcPr>
                <w:p w14:paraId="234096EB">
                  <w:pPr>
                    <w:adjustRightInd w:val="0"/>
                    <w:snapToGrid w:val="0"/>
                    <w:jc w:val="center"/>
                    <w:rPr>
                      <w:color w:val="000000"/>
                      <w:kern w:val="0"/>
                      <w:sz w:val="21"/>
                      <w:szCs w:val="21"/>
                    </w:rPr>
                  </w:pPr>
                  <w:r>
                    <w:rPr>
                      <w:color w:val="000000"/>
                      <w:kern w:val="0"/>
                      <w:sz w:val="21"/>
                      <w:szCs w:val="21"/>
                    </w:rPr>
                    <w:t>允许开发建设活动的特殊要求</w:t>
                  </w:r>
                </w:p>
              </w:tc>
              <w:tc>
                <w:tcPr>
                  <w:tcW w:w="2031" w:type="dxa"/>
                  <w:vAlign w:val="center"/>
                </w:tcPr>
                <w:p w14:paraId="7E3F9E1A">
                  <w:pPr>
                    <w:jc w:val="center"/>
                    <w:rPr>
                      <w:color w:val="000000"/>
                      <w:kern w:val="0"/>
                      <w:sz w:val="21"/>
                      <w:szCs w:val="21"/>
                    </w:rPr>
                  </w:pPr>
                  <w:r>
                    <w:rPr>
                      <w:color w:val="000000"/>
                      <w:kern w:val="0"/>
                      <w:sz w:val="21"/>
                      <w:szCs w:val="21"/>
                    </w:rPr>
                    <w:t>合理确定发展布局、结构和规模。充分考虑水环境承载能力和水资源开发利用效率，以水定城、以水定地、以水定人、以水定产。重大项目原则上布局在优化开发区和重点开发区，并符合城乡规划和土地利用总体规划。</w:t>
                  </w:r>
                </w:p>
              </w:tc>
              <w:tc>
                <w:tcPr>
                  <w:tcW w:w="2134" w:type="dxa"/>
                  <w:vAlign w:val="center"/>
                </w:tcPr>
                <w:p w14:paraId="75A14947">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，项目的建设符合园区发展规划和土地总体利用规划</w:t>
                  </w:r>
                </w:p>
              </w:tc>
              <w:tc>
                <w:tcPr>
                  <w:tcW w:w="438" w:type="dxa"/>
                  <w:vAlign w:val="center"/>
                </w:tcPr>
                <w:p w14:paraId="42DF4B46">
                  <w:pPr>
                    <w:adjustRightInd w:val="0"/>
                    <w:snapToGrid w:val="0"/>
                    <w:jc w:val="center"/>
                    <w:rPr>
                      <w:color w:val="000000"/>
                      <w:kern w:val="0"/>
                      <w:sz w:val="21"/>
                      <w:szCs w:val="21"/>
                    </w:rPr>
                  </w:pPr>
                  <w:r>
                    <w:rPr>
                      <w:color w:val="000000"/>
                      <w:kern w:val="0"/>
                      <w:sz w:val="21"/>
                      <w:szCs w:val="21"/>
                    </w:rPr>
                    <w:t>符合</w:t>
                  </w:r>
                </w:p>
              </w:tc>
            </w:tr>
            <w:tr w14:paraId="77E2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4B1F6F0F">
                  <w:pPr>
                    <w:adjustRightInd w:val="0"/>
                    <w:snapToGrid w:val="0"/>
                    <w:jc w:val="center"/>
                    <w:rPr>
                      <w:color w:val="000000"/>
                      <w:kern w:val="0"/>
                      <w:sz w:val="21"/>
                      <w:szCs w:val="21"/>
                    </w:rPr>
                  </w:pPr>
                </w:p>
              </w:tc>
              <w:tc>
                <w:tcPr>
                  <w:tcW w:w="414" w:type="dxa"/>
                  <w:vMerge w:val="continue"/>
                  <w:vAlign w:val="center"/>
                </w:tcPr>
                <w:p w14:paraId="08774CC5">
                  <w:pPr>
                    <w:adjustRightInd w:val="0"/>
                    <w:snapToGrid w:val="0"/>
                    <w:jc w:val="center"/>
                    <w:rPr>
                      <w:color w:val="000000"/>
                      <w:kern w:val="0"/>
                      <w:sz w:val="21"/>
                      <w:szCs w:val="21"/>
                    </w:rPr>
                  </w:pPr>
                </w:p>
              </w:tc>
              <w:tc>
                <w:tcPr>
                  <w:tcW w:w="416" w:type="dxa"/>
                  <w:vMerge w:val="continue"/>
                  <w:vAlign w:val="center"/>
                </w:tcPr>
                <w:p w14:paraId="48231F25">
                  <w:pPr>
                    <w:adjustRightInd w:val="0"/>
                    <w:snapToGrid w:val="0"/>
                    <w:jc w:val="center"/>
                    <w:rPr>
                      <w:color w:val="000000"/>
                      <w:kern w:val="0"/>
                      <w:sz w:val="21"/>
                      <w:szCs w:val="21"/>
                    </w:rPr>
                  </w:pPr>
                </w:p>
              </w:tc>
              <w:tc>
                <w:tcPr>
                  <w:tcW w:w="414" w:type="dxa"/>
                  <w:vMerge w:val="restart"/>
                  <w:vAlign w:val="center"/>
                </w:tcPr>
                <w:p w14:paraId="36D5C441">
                  <w:pPr>
                    <w:adjustRightInd w:val="0"/>
                    <w:snapToGrid w:val="0"/>
                    <w:jc w:val="center"/>
                    <w:rPr>
                      <w:color w:val="000000"/>
                      <w:kern w:val="0"/>
                      <w:sz w:val="21"/>
                      <w:szCs w:val="21"/>
                    </w:rPr>
                  </w:pPr>
                  <w:r>
                    <w:rPr>
                      <w:color w:val="000000"/>
                      <w:kern w:val="0"/>
                      <w:sz w:val="21"/>
                      <w:szCs w:val="21"/>
                    </w:rPr>
                    <w:t>不符合空间布局要求活动的退出要求</w:t>
                  </w:r>
                </w:p>
              </w:tc>
              <w:tc>
                <w:tcPr>
                  <w:tcW w:w="2031" w:type="dxa"/>
                  <w:vAlign w:val="center"/>
                </w:tcPr>
                <w:p w14:paraId="3395A8DE">
                  <w:pPr>
                    <w:jc w:val="center"/>
                    <w:rPr>
                      <w:color w:val="000000"/>
                      <w:kern w:val="0"/>
                      <w:sz w:val="21"/>
                      <w:szCs w:val="21"/>
                    </w:rPr>
                  </w:pPr>
                  <w:r>
                    <w:rPr>
                      <w:color w:val="000000"/>
                      <w:kern w:val="0"/>
                      <w:sz w:val="21"/>
                      <w:szCs w:val="21"/>
                    </w:rPr>
                    <w:t>调整产业结构。依法淘汰落后产能。各地要制定实施分年度的落后产能淘汰方案，未完成淘汰任务的地区，暂停审批和核准其相关行业新建项目。</w:t>
                  </w:r>
                </w:p>
              </w:tc>
              <w:tc>
                <w:tcPr>
                  <w:tcW w:w="2134" w:type="dxa"/>
                  <w:vAlign w:val="center"/>
                </w:tcPr>
                <w:p w14:paraId="3040030D">
                  <w:pPr>
                    <w:jc w:val="center"/>
                    <w:rPr>
                      <w:color w:val="000000"/>
                      <w:kern w:val="0"/>
                      <w:sz w:val="21"/>
                      <w:szCs w:val="21"/>
                    </w:rPr>
                  </w:pPr>
                  <w:r>
                    <w:rPr>
                      <w:color w:val="000000"/>
                      <w:kern w:val="0"/>
                      <w:sz w:val="21"/>
                      <w:szCs w:val="21"/>
                    </w:rPr>
                    <w:t>项目</w:t>
                  </w:r>
                  <w:r>
                    <w:rPr>
                      <w:color w:val="000000"/>
                      <w:sz w:val="21"/>
                      <w:szCs w:val="21"/>
                    </w:rPr>
                    <w:t>行业类别</w:t>
                  </w:r>
                  <w:r>
                    <w:rPr>
                      <w:rFonts w:hint="eastAsia"/>
                      <w:color w:val="000000"/>
                      <w:sz w:val="21"/>
                      <w:szCs w:val="21"/>
                      <w:lang w:eastAsia="zh-CN"/>
                    </w:rPr>
                    <w:t>C1491营养食品制造</w:t>
                  </w:r>
                  <w:r>
                    <w:rPr>
                      <w:color w:val="000000"/>
                      <w:sz w:val="21"/>
                      <w:szCs w:val="21"/>
                    </w:rPr>
                    <w:t>，</w:t>
                  </w:r>
                  <w:r>
                    <w:rPr>
                      <w:color w:val="000000"/>
                      <w:kern w:val="0"/>
                      <w:sz w:val="21"/>
                      <w:szCs w:val="21"/>
                    </w:rPr>
                    <w:t>不属于落后产能淘汰行业</w:t>
                  </w:r>
                </w:p>
              </w:tc>
              <w:tc>
                <w:tcPr>
                  <w:tcW w:w="438" w:type="dxa"/>
                  <w:vAlign w:val="center"/>
                </w:tcPr>
                <w:p w14:paraId="5BD96311">
                  <w:pPr>
                    <w:adjustRightInd w:val="0"/>
                    <w:snapToGrid w:val="0"/>
                    <w:jc w:val="center"/>
                    <w:rPr>
                      <w:color w:val="000000"/>
                      <w:kern w:val="0"/>
                      <w:sz w:val="21"/>
                      <w:szCs w:val="21"/>
                    </w:rPr>
                  </w:pPr>
                  <w:r>
                    <w:rPr>
                      <w:color w:val="000000"/>
                      <w:kern w:val="0"/>
                      <w:sz w:val="21"/>
                      <w:szCs w:val="21"/>
                    </w:rPr>
                    <w:t>符合</w:t>
                  </w:r>
                </w:p>
              </w:tc>
            </w:tr>
            <w:tr w14:paraId="11493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043BE086">
                  <w:pPr>
                    <w:adjustRightInd w:val="0"/>
                    <w:snapToGrid w:val="0"/>
                    <w:jc w:val="center"/>
                    <w:rPr>
                      <w:color w:val="000000"/>
                      <w:kern w:val="0"/>
                      <w:sz w:val="21"/>
                      <w:szCs w:val="21"/>
                    </w:rPr>
                  </w:pPr>
                </w:p>
              </w:tc>
              <w:tc>
                <w:tcPr>
                  <w:tcW w:w="414" w:type="dxa"/>
                  <w:vMerge w:val="continue"/>
                  <w:vAlign w:val="center"/>
                </w:tcPr>
                <w:p w14:paraId="3E568994">
                  <w:pPr>
                    <w:adjustRightInd w:val="0"/>
                    <w:snapToGrid w:val="0"/>
                    <w:jc w:val="center"/>
                    <w:rPr>
                      <w:color w:val="000000"/>
                      <w:kern w:val="0"/>
                      <w:sz w:val="21"/>
                      <w:szCs w:val="21"/>
                    </w:rPr>
                  </w:pPr>
                </w:p>
              </w:tc>
              <w:tc>
                <w:tcPr>
                  <w:tcW w:w="416" w:type="dxa"/>
                  <w:vMerge w:val="continue"/>
                  <w:vAlign w:val="center"/>
                </w:tcPr>
                <w:p w14:paraId="73AE441A">
                  <w:pPr>
                    <w:adjustRightInd w:val="0"/>
                    <w:snapToGrid w:val="0"/>
                    <w:jc w:val="center"/>
                    <w:rPr>
                      <w:color w:val="000000"/>
                      <w:kern w:val="0"/>
                      <w:sz w:val="21"/>
                      <w:szCs w:val="21"/>
                    </w:rPr>
                  </w:pPr>
                </w:p>
              </w:tc>
              <w:tc>
                <w:tcPr>
                  <w:tcW w:w="414" w:type="dxa"/>
                  <w:vMerge w:val="continue"/>
                  <w:vAlign w:val="center"/>
                </w:tcPr>
                <w:p w14:paraId="5C79CECC">
                  <w:pPr>
                    <w:adjustRightInd w:val="0"/>
                    <w:snapToGrid w:val="0"/>
                    <w:jc w:val="center"/>
                    <w:rPr>
                      <w:color w:val="000000"/>
                      <w:kern w:val="0"/>
                      <w:sz w:val="21"/>
                      <w:szCs w:val="21"/>
                    </w:rPr>
                  </w:pPr>
                </w:p>
              </w:tc>
              <w:tc>
                <w:tcPr>
                  <w:tcW w:w="2031" w:type="dxa"/>
                  <w:vAlign w:val="center"/>
                </w:tcPr>
                <w:p w14:paraId="2201FF60">
                  <w:pPr>
                    <w:jc w:val="center"/>
                    <w:rPr>
                      <w:color w:val="000000"/>
                      <w:kern w:val="0"/>
                      <w:sz w:val="21"/>
                      <w:szCs w:val="21"/>
                    </w:rPr>
                  </w:pPr>
                  <w:r>
                    <w:rPr>
                      <w:color w:val="000000"/>
                      <w:kern w:val="0"/>
                      <w:sz w:val="21"/>
                      <w:szCs w:val="21"/>
                    </w:rPr>
                    <w:t>推动污染企业退出。城市建成区内现有钢铁、有色金属、造纸、印染、原料药制造、化工等污染较重的企业应有序搬迁改造或依法关闭。</w:t>
                  </w:r>
                </w:p>
              </w:tc>
              <w:tc>
                <w:tcPr>
                  <w:tcW w:w="2134" w:type="dxa"/>
                  <w:vAlign w:val="center"/>
                </w:tcPr>
                <w:p w14:paraId="3612E767">
                  <w:pPr>
                    <w:jc w:val="center"/>
                    <w:rPr>
                      <w:color w:val="000000"/>
                      <w:kern w:val="0"/>
                      <w:sz w:val="21"/>
                      <w:szCs w:val="21"/>
                    </w:rPr>
                  </w:pPr>
                  <w:r>
                    <w:rPr>
                      <w:color w:val="000000"/>
                      <w:kern w:val="0"/>
                      <w:sz w:val="21"/>
                      <w:szCs w:val="21"/>
                    </w:rPr>
                    <w:t>项目</w:t>
                  </w:r>
                  <w:r>
                    <w:rPr>
                      <w:color w:val="000000"/>
                      <w:sz w:val="21"/>
                      <w:szCs w:val="21"/>
                    </w:rPr>
                    <w:t>行业类别</w:t>
                  </w:r>
                  <w:r>
                    <w:rPr>
                      <w:rFonts w:hint="eastAsia"/>
                      <w:color w:val="000000"/>
                      <w:sz w:val="21"/>
                      <w:szCs w:val="21"/>
                      <w:lang w:eastAsia="zh-CN"/>
                    </w:rPr>
                    <w:t>C1491营养食品制造</w:t>
                  </w:r>
                  <w:r>
                    <w:rPr>
                      <w:color w:val="000000"/>
                      <w:kern w:val="0"/>
                      <w:sz w:val="21"/>
                      <w:szCs w:val="21"/>
                    </w:rPr>
                    <w:t>，不涉及钢铁、有色金属、造纸、印染、原料药制造、化工等</w:t>
                  </w:r>
                </w:p>
              </w:tc>
              <w:tc>
                <w:tcPr>
                  <w:tcW w:w="438" w:type="dxa"/>
                  <w:vAlign w:val="center"/>
                </w:tcPr>
                <w:p w14:paraId="078766B0">
                  <w:pPr>
                    <w:adjustRightInd w:val="0"/>
                    <w:snapToGrid w:val="0"/>
                    <w:jc w:val="center"/>
                    <w:rPr>
                      <w:color w:val="000000"/>
                      <w:kern w:val="0"/>
                      <w:sz w:val="21"/>
                      <w:szCs w:val="21"/>
                    </w:rPr>
                  </w:pPr>
                  <w:r>
                    <w:rPr>
                      <w:color w:val="000000"/>
                      <w:kern w:val="0"/>
                      <w:sz w:val="21"/>
                      <w:szCs w:val="21"/>
                    </w:rPr>
                    <w:t>符合</w:t>
                  </w:r>
                </w:p>
              </w:tc>
            </w:tr>
            <w:tr w14:paraId="2729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54C54794">
                  <w:pPr>
                    <w:adjustRightInd w:val="0"/>
                    <w:snapToGrid w:val="0"/>
                    <w:jc w:val="center"/>
                    <w:rPr>
                      <w:color w:val="000000"/>
                      <w:kern w:val="0"/>
                      <w:sz w:val="21"/>
                      <w:szCs w:val="21"/>
                    </w:rPr>
                  </w:pPr>
                </w:p>
              </w:tc>
              <w:tc>
                <w:tcPr>
                  <w:tcW w:w="414" w:type="dxa"/>
                  <w:vMerge w:val="continue"/>
                  <w:vAlign w:val="center"/>
                </w:tcPr>
                <w:p w14:paraId="5FA3D69A">
                  <w:pPr>
                    <w:adjustRightInd w:val="0"/>
                    <w:snapToGrid w:val="0"/>
                    <w:jc w:val="center"/>
                    <w:rPr>
                      <w:color w:val="000000"/>
                      <w:kern w:val="0"/>
                      <w:sz w:val="21"/>
                      <w:szCs w:val="21"/>
                    </w:rPr>
                  </w:pPr>
                </w:p>
              </w:tc>
              <w:tc>
                <w:tcPr>
                  <w:tcW w:w="416" w:type="dxa"/>
                  <w:vMerge w:val="continue"/>
                  <w:vAlign w:val="center"/>
                </w:tcPr>
                <w:p w14:paraId="1E7586A5">
                  <w:pPr>
                    <w:adjustRightInd w:val="0"/>
                    <w:snapToGrid w:val="0"/>
                    <w:jc w:val="center"/>
                    <w:rPr>
                      <w:color w:val="000000"/>
                      <w:kern w:val="0"/>
                      <w:sz w:val="21"/>
                      <w:szCs w:val="21"/>
                    </w:rPr>
                  </w:pPr>
                </w:p>
              </w:tc>
              <w:tc>
                <w:tcPr>
                  <w:tcW w:w="414" w:type="dxa"/>
                  <w:vMerge w:val="continue"/>
                  <w:vAlign w:val="center"/>
                </w:tcPr>
                <w:p w14:paraId="4E8505C6">
                  <w:pPr>
                    <w:adjustRightInd w:val="0"/>
                    <w:snapToGrid w:val="0"/>
                    <w:jc w:val="center"/>
                    <w:rPr>
                      <w:color w:val="000000"/>
                      <w:kern w:val="0"/>
                      <w:sz w:val="21"/>
                      <w:szCs w:val="21"/>
                    </w:rPr>
                  </w:pPr>
                </w:p>
              </w:tc>
              <w:tc>
                <w:tcPr>
                  <w:tcW w:w="2031" w:type="dxa"/>
                  <w:vAlign w:val="center"/>
                </w:tcPr>
                <w:p w14:paraId="6FE41977">
                  <w:pPr>
                    <w:jc w:val="center"/>
                    <w:rPr>
                      <w:color w:val="000000"/>
                      <w:kern w:val="0"/>
                      <w:sz w:val="21"/>
                      <w:szCs w:val="21"/>
                    </w:rPr>
                  </w:pPr>
                  <w:r>
                    <w:rPr>
                      <w:color w:val="000000"/>
                      <w:kern w:val="0"/>
                      <w:sz w:val="21"/>
                      <w:szCs w:val="21"/>
                    </w:rPr>
                    <w:t>严格水域岸线用途管制，土地开发利用应按照有关法律法规和技术标准要求，留足河道、湖泊的管理和保护范围，非法挤占的应限期退出。</w:t>
                  </w:r>
                </w:p>
              </w:tc>
              <w:tc>
                <w:tcPr>
                  <w:tcW w:w="2134" w:type="dxa"/>
                  <w:vAlign w:val="center"/>
                </w:tcPr>
                <w:p w14:paraId="363171F8">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，不占用水域岸线</w:t>
                  </w:r>
                </w:p>
              </w:tc>
              <w:tc>
                <w:tcPr>
                  <w:tcW w:w="438" w:type="dxa"/>
                  <w:vAlign w:val="center"/>
                </w:tcPr>
                <w:p w14:paraId="0212DE98">
                  <w:pPr>
                    <w:adjustRightInd w:val="0"/>
                    <w:snapToGrid w:val="0"/>
                    <w:jc w:val="center"/>
                    <w:rPr>
                      <w:color w:val="000000"/>
                      <w:kern w:val="0"/>
                      <w:sz w:val="21"/>
                      <w:szCs w:val="21"/>
                    </w:rPr>
                  </w:pPr>
                  <w:r>
                    <w:rPr>
                      <w:color w:val="000000"/>
                      <w:kern w:val="0"/>
                      <w:sz w:val="21"/>
                      <w:szCs w:val="21"/>
                    </w:rPr>
                    <w:t>符合</w:t>
                  </w:r>
                </w:p>
              </w:tc>
            </w:tr>
            <w:tr w14:paraId="1F101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5F6651ED">
                  <w:pPr>
                    <w:adjustRightInd w:val="0"/>
                    <w:snapToGrid w:val="0"/>
                    <w:jc w:val="center"/>
                    <w:rPr>
                      <w:color w:val="000000"/>
                      <w:kern w:val="0"/>
                      <w:sz w:val="21"/>
                      <w:szCs w:val="21"/>
                    </w:rPr>
                  </w:pPr>
                </w:p>
              </w:tc>
              <w:tc>
                <w:tcPr>
                  <w:tcW w:w="414" w:type="dxa"/>
                  <w:vMerge w:val="continue"/>
                  <w:vAlign w:val="center"/>
                </w:tcPr>
                <w:p w14:paraId="58810C42">
                  <w:pPr>
                    <w:adjustRightInd w:val="0"/>
                    <w:snapToGrid w:val="0"/>
                    <w:jc w:val="center"/>
                    <w:rPr>
                      <w:color w:val="000000"/>
                      <w:kern w:val="0"/>
                      <w:sz w:val="21"/>
                      <w:szCs w:val="21"/>
                    </w:rPr>
                  </w:pPr>
                </w:p>
              </w:tc>
              <w:tc>
                <w:tcPr>
                  <w:tcW w:w="416" w:type="dxa"/>
                  <w:vMerge w:val="continue"/>
                  <w:vAlign w:val="center"/>
                </w:tcPr>
                <w:p w14:paraId="76667F94">
                  <w:pPr>
                    <w:adjustRightInd w:val="0"/>
                    <w:snapToGrid w:val="0"/>
                    <w:jc w:val="center"/>
                    <w:rPr>
                      <w:color w:val="000000"/>
                      <w:kern w:val="0"/>
                      <w:sz w:val="21"/>
                      <w:szCs w:val="21"/>
                    </w:rPr>
                  </w:pPr>
                </w:p>
              </w:tc>
              <w:tc>
                <w:tcPr>
                  <w:tcW w:w="414" w:type="dxa"/>
                  <w:vMerge w:val="continue"/>
                  <w:vAlign w:val="center"/>
                </w:tcPr>
                <w:p w14:paraId="5937F76D">
                  <w:pPr>
                    <w:adjustRightInd w:val="0"/>
                    <w:snapToGrid w:val="0"/>
                    <w:jc w:val="center"/>
                    <w:rPr>
                      <w:color w:val="000000"/>
                      <w:kern w:val="0"/>
                      <w:sz w:val="21"/>
                      <w:szCs w:val="21"/>
                    </w:rPr>
                  </w:pPr>
                </w:p>
              </w:tc>
              <w:tc>
                <w:tcPr>
                  <w:tcW w:w="2031" w:type="dxa"/>
                  <w:vAlign w:val="center"/>
                </w:tcPr>
                <w:p w14:paraId="1D4F201F">
                  <w:pPr>
                    <w:jc w:val="center"/>
                    <w:rPr>
                      <w:color w:val="000000"/>
                      <w:kern w:val="0"/>
                      <w:sz w:val="21"/>
                      <w:szCs w:val="21"/>
                    </w:rPr>
                  </w:pPr>
                  <w:r>
                    <w:rPr>
                      <w:color w:val="000000"/>
                      <w:kern w:val="0"/>
                      <w:sz w:val="21"/>
                      <w:szCs w:val="21"/>
                    </w:rPr>
                    <w:t>国家禁止新建不符合国家产业政策的小型造纸、制革、印染、染料、炼焦、炼硫、炼砷、炼汞、炼油、电镀、农药、石棉、水泥、玻璃、钢铁、火电以及其他严重污染水环境的生产项目。</w:t>
                  </w:r>
                </w:p>
              </w:tc>
              <w:tc>
                <w:tcPr>
                  <w:tcW w:w="2134" w:type="dxa"/>
                  <w:vAlign w:val="center"/>
                </w:tcPr>
                <w:p w14:paraId="69195978">
                  <w:pPr>
                    <w:jc w:val="center"/>
                    <w:rPr>
                      <w:color w:val="000000"/>
                      <w:kern w:val="0"/>
                      <w:sz w:val="21"/>
                      <w:szCs w:val="21"/>
                    </w:rPr>
                  </w:pPr>
                  <w:r>
                    <w:rPr>
                      <w:color w:val="000000"/>
                      <w:kern w:val="0"/>
                      <w:sz w:val="21"/>
                      <w:szCs w:val="21"/>
                    </w:rPr>
                    <w:t>项目</w:t>
                  </w:r>
                  <w:r>
                    <w:rPr>
                      <w:color w:val="000000"/>
                      <w:sz w:val="21"/>
                      <w:szCs w:val="21"/>
                    </w:rPr>
                    <w:t>行业类别</w:t>
                  </w:r>
                  <w:r>
                    <w:rPr>
                      <w:rFonts w:hint="eastAsia"/>
                      <w:color w:val="000000"/>
                      <w:sz w:val="21"/>
                      <w:szCs w:val="21"/>
                      <w:lang w:eastAsia="zh-CN"/>
                    </w:rPr>
                    <w:t>C1491营养食品制造</w:t>
                  </w:r>
                  <w:r>
                    <w:rPr>
                      <w:color w:val="000000"/>
                      <w:sz w:val="21"/>
                      <w:szCs w:val="21"/>
                    </w:rPr>
                    <w:t>，不属于以上严重污染水环境的生产项目</w:t>
                  </w:r>
                </w:p>
              </w:tc>
              <w:tc>
                <w:tcPr>
                  <w:tcW w:w="438" w:type="dxa"/>
                  <w:vAlign w:val="center"/>
                </w:tcPr>
                <w:p w14:paraId="57A9AD3A">
                  <w:pPr>
                    <w:adjustRightInd w:val="0"/>
                    <w:snapToGrid w:val="0"/>
                    <w:jc w:val="center"/>
                    <w:rPr>
                      <w:color w:val="000000"/>
                      <w:kern w:val="0"/>
                      <w:sz w:val="21"/>
                      <w:szCs w:val="21"/>
                    </w:rPr>
                  </w:pPr>
                  <w:r>
                    <w:rPr>
                      <w:color w:val="000000"/>
                      <w:kern w:val="0"/>
                      <w:sz w:val="21"/>
                      <w:szCs w:val="21"/>
                    </w:rPr>
                    <w:t>符合</w:t>
                  </w:r>
                </w:p>
              </w:tc>
            </w:tr>
            <w:tr w14:paraId="710C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7F772C42">
                  <w:pPr>
                    <w:adjustRightInd w:val="0"/>
                    <w:snapToGrid w:val="0"/>
                    <w:jc w:val="center"/>
                    <w:rPr>
                      <w:color w:val="000000"/>
                      <w:kern w:val="0"/>
                      <w:sz w:val="21"/>
                      <w:szCs w:val="21"/>
                    </w:rPr>
                  </w:pPr>
                </w:p>
              </w:tc>
              <w:tc>
                <w:tcPr>
                  <w:tcW w:w="414" w:type="dxa"/>
                  <w:vMerge w:val="continue"/>
                  <w:vAlign w:val="center"/>
                </w:tcPr>
                <w:p w14:paraId="0800BB30">
                  <w:pPr>
                    <w:adjustRightInd w:val="0"/>
                    <w:snapToGrid w:val="0"/>
                    <w:jc w:val="center"/>
                    <w:rPr>
                      <w:color w:val="000000"/>
                      <w:kern w:val="0"/>
                      <w:sz w:val="21"/>
                      <w:szCs w:val="21"/>
                    </w:rPr>
                  </w:pPr>
                </w:p>
              </w:tc>
              <w:tc>
                <w:tcPr>
                  <w:tcW w:w="416" w:type="dxa"/>
                  <w:vMerge w:val="restart"/>
                  <w:vAlign w:val="center"/>
                </w:tcPr>
                <w:p w14:paraId="531D7D37">
                  <w:pPr>
                    <w:adjustRightInd w:val="0"/>
                    <w:snapToGrid w:val="0"/>
                    <w:jc w:val="center"/>
                    <w:rPr>
                      <w:color w:val="000000"/>
                      <w:kern w:val="0"/>
                      <w:sz w:val="21"/>
                      <w:szCs w:val="21"/>
                    </w:rPr>
                  </w:pPr>
                  <w:r>
                    <w:rPr>
                      <w:color w:val="000000"/>
                      <w:kern w:val="0"/>
                      <w:sz w:val="21"/>
                      <w:szCs w:val="21"/>
                    </w:rPr>
                    <w:t>污染物排放管控</w:t>
                  </w:r>
                </w:p>
              </w:tc>
              <w:tc>
                <w:tcPr>
                  <w:tcW w:w="414" w:type="dxa"/>
                  <w:vMerge w:val="restart"/>
                  <w:vAlign w:val="center"/>
                </w:tcPr>
                <w:p w14:paraId="26081310">
                  <w:pPr>
                    <w:adjustRightInd w:val="0"/>
                    <w:snapToGrid w:val="0"/>
                    <w:jc w:val="center"/>
                    <w:rPr>
                      <w:color w:val="000000"/>
                      <w:kern w:val="0"/>
                      <w:sz w:val="21"/>
                      <w:szCs w:val="21"/>
                    </w:rPr>
                  </w:pPr>
                  <w:r>
                    <w:rPr>
                      <w:color w:val="000000"/>
                      <w:kern w:val="0"/>
                      <w:sz w:val="21"/>
                      <w:szCs w:val="21"/>
                    </w:rPr>
                    <w:t>区域水污染物削减/替代要求</w:t>
                  </w:r>
                </w:p>
              </w:tc>
              <w:tc>
                <w:tcPr>
                  <w:tcW w:w="2031" w:type="dxa"/>
                  <w:vAlign w:val="center"/>
                </w:tcPr>
                <w:p w14:paraId="01D8BF7D">
                  <w:pPr>
                    <w:jc w:val="center"/>
                    <w:rPr>
                      <w:color w:val="000000"/>
                      <w:kern w:val="0"/>
                      <w:sz w:val="21"/>
                      <w:szCs w:val="21"/>
                    </w:rPr>
                  </w:pPr>
                  <w:r>
                    <w:rPr>
                      <w:color w:val="000000"/>
                      <w:kern w:val="0"/>
                      <w:sz w:val="21"/>
                      <w:szCs w:val="21"/>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2134" w:type="dxa"/>
                  <w:vAlign w:val="center"/>
                </w:tcPr>
                <w:p w14:paraId="56B18EF2">
                  <w:pPr>
                    <w:jc w:val="center"/>
                    <w:rPr>
                      <w:color w:val="000000"/>
                      <w:kern w:val="0"/>
                      <w:sz w:val="21"/>
                      <w:szCs w:val="21"/>
                    </w:rPr>
                  </w:pPr>
                  <w:r>
                    <w:rPr>
                      <w:color w:val="000000"/>
                      <w:kern w:val="0"/>
                      <w:sz w:val="21"/>
                      <w:szCs w:val="21"/>
                    </w:rPr>
                    <w:t>项目水污染物排放满足《污水综合排放标准》（GB8978-1996）三级标准并满足</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接管标准，且排放总量纳入</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总量指标</w:t>
                  </w:r>
                </w:p>
              </w:tc>
              <w:tc>
                <w:tcPr>
                  <w:tcW w:w="438" w:type="dxa"/>
                  <w:vAlign w:val="center"/>
                </w:tcPr>
                <w:p w14:paraId="382F3F7B">
                  <w:pPr>
                    <w:adjustRightInd w:val="0"/>
                    <w:snapToGrid w:val="0"/>
                    <w:jc w:val="center"/>
                    <w:rPr>
                      <w:color w:val="000000"/>
                      <w:kern w:val="0"/>
                      <w:sz w:val="21"/>
                      <w:szCs w:val="21"/>
                    </w:rPr>
                  </w:pPr>
                  <w:r>
                    <w:rPr>
                      <w:color w:val="000000"/>
                      <w:kern w:val="0"/>
                      <w:sz w:val="21"/>
                      <w:szCs w:val="21"/>
                    </w:rPr>
                    <w:t>符合</w:t>
                  </w:r>
                </w:p>
              </w:tc>
            </w:tr>
            <w:tr w14:paraId="738F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64E8D91B">
                  <w:pPr>
                    <w:adjustRightInd w:val="0"/>
                    <w:snapToGrid w:val="0"/>
                    <w:jc w:val="center"/>
                    <w:rPr>
                      <w:color w:val="000000"/>
                      <w:kern w:val="0"/>
                      <w:sz w:val="21"/>
                      <w:szCs w:val="21"/>
                    </w:rPr>
                  </w:pPr>
                </w:p>
              </w:tc>
              <w:tc>
                <w:tcPr>
                  <w:tcW w:w="414" w:type="dxa"/>
                  <w:vMerge w:val="continue"/>
                  <w:vAlign w:val="center"/>
                </w:tcPr>
                <w:p w14:paraId="7C1A3D32">
                  <w:pPr>
                    <w:adjustRightInd w:val="0"/>
                    <w:snapToGrid w:val="0"/>
                    <w:jc w:val="center"/>
                    <w:rPr>
                      <w:color w:val="000000"/>
                      <w:kern w:val="0"/>
                      <w:sz w:val="21"/>
                      <w:szCs w:val="21"/>
                    </w:rPr>
                  </w:pPr>
                </w:p>
              </w:tc>
              <w:tc>
                <w:tcPr>
                  <w:tcW w:w="416" w:type="dxa"/>
                  <w:vMerge w:val="continue"/>
                  <w:vAlign w:val="center"/>
                </w:tcPr>
                <w:p w14:paraId="5E04276D">
                  <w:pPr>
                    <w:adjustRightInd w:val="0"/>
                    <w:snapToGrid w:val="0"/>
                    <w:jc w:val="center"/>
                    <w:rPr>
                      <w:color w:val="000000"/>
                      <w:kern w:val="0"/>
                      <w:sz w:val="21"/>
                      <w:szCs w:val="21"/>
                    </w:rPr>
                  </w:pPr>
                </w:p>
              </w:tc>
              <w:tc>
                <w:tcPr>
                  <w:tcW w:w="414" w:type="dxa"/>
                  <w:vMerge w:val="continue"/>
                  <w:vAlign w:val="center"/>
                </w:tcPr>
                <w:p w14:paraId="0822187A">
                  <w:pPr>
                    <w:adjustRightInd w:val="0"/>
                    <w:snapToGrid w:val="0"/>
                    <w:jc w:val="center"/>
                    <w:rPr>
                      <w:color w:val="000000"/>
                      <w:kern w:val="0"/>
                      <w:sz w:val="21"/>
                      <w:szCs w:val="21"/>
                    </w:rPr>
                  </w:pPr>
                </w:p>
              </w:tc>
              <w:tc>
                <w:tcPr>
                  <w:tcW w:w="2031" w:type="dxa"/>
                  <w:vAlign w:val="center"/>
                </w:tcPr>
                <w:p w14:paraId="7AD09B30">
                  <w:pPr>
                    <w:jc w:val="center"/>
                    <w:rPr>
                      <w:color w:val="000000"/>
                      <w:kern w:val="0"/>
                      <w:sz w:val="21"/>
                      <w:szCs w:val="21"/>
                    </w:rPr>
                  </w:pPr>
                  <w:r>
                    <w:rPr>
                      <w:color w:val="000000"/>
                      <w:kern w:val="0"/>
                      <w:sz w:val="21"/>
                      <w:szCs w:val="21"/>
                    </w:rPr>
                    <w:t>严格控制缺水地区、水污染严重地区和敏感区域高耗水、高污染行业发展，新建、改建、扩建重点行业建设项目实行主要污染物排放减量置换。</w:t>
                  </w:r>
                </w:p>
              </w:tc>
              <w:tc>
                <w:tcPr>
                  <w:tcW w:w="2134" w:type="dxa"/>
                  <w:vAlign w:val="center"/>
                </w:tcPr>
                <w:p w14:paraId="33669A3F">
                  <w:pPr>
                    <w:jc w:val="center"/>
                    <w:rPr>
                      <w:color w:val="000000"/>
                      <w:kern w:val="0"/>
                      <w:sz w:val="21"/>
                      <w:szCs w:val="21"/>
                    </w:rPr>
                  </w:pPr>
                  <w:r>
                    <w:rPr>
                      <w:color w:val="000000"/>
                      <w:kern w:val="0"/>
                      <w:sz w:val="21"/>
                      <w:szCs w:val="21"/>
                    </w:rPr>
                    <w:t>项目水污染物排放已计入</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总量控制指标</w:t>
                  </w:r>
                </w:p>
              </w:tc>
              <w:tc>
                <w:tcPr>
                  <w:tcW w:w="438" w:type="dxa"/>
                  <w:vAlign w:val="center"/>
                </w:tcPr>
                <w:p w14:paraId="1A89A302">
                  <w:pPr>
                    <w:adjustRightInd w:val="0"/>
                    <w:snapToGrid w:val="0"/>
                    <w:jc w:val="center"/>
                    <w:rPr>
                      <w:color w:val="000000"/>
                      <w:kern w:val="0"/>
                      <w:sz w:val="21"/>
                      <w:szCs w:val="21"/>
                    </w:rPr>
                  </w:pPr>
                  <w:r>
                    <w:rPr>
                      <w:color w:val="000000"/>
                      <w:kern w:val="0"/>
                      <w:sz w:val="21"/>
                      <w:szCs w:val="21"/>
                    </w:rPr>
                    <w:t>符合</w:t>
                  </w:r>
                </w:p>
              </w:tc>
            </w:tr>
            <w:tr w14:paraId="2D3C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2DC4CF27">
                  <w:pPr>
                    <w:adjustRightInd w:val="0"/>
                    <w:snapToGrid w:val="0"/>
                    <w:jc w:val="center"/>
                    <w:rPr>
                      <w:color w:val="000000"/>
                      <w:kern w:val="0"/>
                      <w:sz w:val="21"/>
                      <w:szCs w:val="21"/>
                    </w:rPr>
                  </w:pPr>
                </w:p>
              </w:tc>
              <w:tc>
                <w:tcPr>
                  <w:tcW w:w="414" w:type="dxa"/>
                  <w:vMerge w:val="continue"/>
                  <w:vAlign w:val="center"/>
                </w:tcPr>
                <w:p w14:paraId="58330264">
                  <w:pPr>
                    <w:adjustRightInd w:val="0"/>
                    <w:snapToGrid w:val="0"/>
                    <w:jc w:val="center"/>
                    <w:rPr>
                      <w:color w:val="000000"/>
                      <w:kern w:val="0"/>
                      <w:sz w:val="21"/>
                      <w:szCs w:val="21"/>
                    </w:rPr>
                  </w:pPr>
                </w:p>
              </w:tc>
              <w:tc>
                <w:tcPr>
                  <w:tcW w:w="416" w:type="dxa"/>
                  <w:vMerge w:val="continue"/>
                  <w:vAlign w:val="center"/>
                </w:tcPr>
                <w:p w14:paraId="55D3F703">
                  <w:pPr>
                    <w:adjustRightInd w:val="0"/>
                    <w:snapToGrid w:val="0"/>
                    <w:jc w:val="center"/>
                    <w:rPr>
                      <w:color w:val="000000"/>
                      <w:kern w:val="0"/>
                      <w:sz w:val="21"/>
                      <w:szCs w:val="21"/>
                    </w:rPr>
                  </w:pPr>
                </w:p>
              </w:tc>
              <w:tc>
                <w:tcPr>
                  <w:tcW w:w="414" w:type="dxa"/>
                  <w:vMerge w:val="continue"/>
                  <w:vAlign w:val="center"/>
                </w:tcPr>
                <w:p w14:paraId="7B9D1033">
                  <w:pPr>
                    <w:adjustRightInd w:val="0"/>
                    <w:snapToGrid w:val="0"/>
                    <w:jc w:val="center"/>
                    <w:rPr>
                      <w:color w:val="000000"/>
                      <w:kern w:val="0"/>
                      <w:sz w:val="21"/>
                      <w:szCs w:val="21"/>
                    </w:rPr>
                  </w:pPr>
                </w:p>
              </w:tc>
              <w:tc>
                <w:tcPr>
                  <w:tcW w:w="2031" w:type="dxa"/>
                  <w:vAlign w:val="center"/>
                </w:tcPr>
                <w:p w14:paraId="58DD87F3">
                  <w:pPr>
                    <w:jc w:val="center"/>
                    <w:rPr>
                      <w:color w:val="000000"/>
                      <w:kern w:val="0"/>
                      <w:sz w:val="21"/>
                      <w:szCs w:val="21"/>
                    </w:rPr>
                  </w:pPr>
                  <w:r>
                    <w:rPr>
                      <w:color w:val="000000"/>
                      <w:kern w:val="0"/>
                      <w:sz w:val="21"/>
                      <w:szCs w:val="21"/>
                    </w:rPr>
                    <w:t>新建、改建、扩建造纸、焦化、氮肥、有色金属、印染、农副食品加工、原料药制造、制革、农药、电镀等行业建设项目实行主要污染物排放等量或减量置换。</w:t>
                  </w:r>
                </w:p>
              </w:tc>
              <w:tc>
                <w:tcPr>
                  <w:tcW w:w="2134" w:type="dxa"/>
                  <w:vAlign w:val="center"/>
                </w:tcPr>
                <w:p w14:paraId="750E4FA9">
                  <w:pPr>
                    <w:jc w:val="center"/>
                    <w:rPr>
                      <w:color w:val="000000"/>
                      <w:kern w:val="0"/>
                      <w:sz w:val="21"/>
                      <w:szCs w:val="21"/>
                    </w:rPr>
                  </w:pPr>
                  <w:r>
                    <w:rPr>
                      <w:color w:val="000000"/>
                      <w:kern w:val="0"/>
                      <w:sz w:val="21"/>
                      <w:szCs w:val="21"/>
                    </w:rPr>
                    <w:t>项目新建，水污染物排放总量纳入</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总量指标</w:t>
                  </w:r>
                </w:p>
              </w:tc>
              <w:tc>
                <w:tcPr>
                  <w:tcW w:w="438" w:type="dxa"/>
                  <w:vAlign w:val="center"/>
                </w:tcPr>
                <w:p w14:paraId="44F2BA0A">
                  <w:pPr>
                    <w:adjustRightInd w:val="0"/>
                    <w:snapToGrid w:val="0"/>
                    <w:jc w:val="center"/>
                    <w:rPr>
                      <w:color w:val="000000"/>
                      <w:kern w:val="0"/>
                      <w:sz w:val="21"/>
                      <w:szCs w:val="21"/>
                    </w:rPr>
                  </w:pPr>
                  <w:r>
                    <w:rPr>
                      <w:color w:val="000000"/>
                      <w:kern w:val="0"/>
                      <w:sz w:val="21"/>
                      <w:szCs w:val="21"/>
                    </w:rPr>
                    <w:t>符合</w:t>
                  </w:r>
                </w:p>
              </w:tc>
            </w:tr>
            <w:tr w14:paraId="176E4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411C5DA2">
                  <w:pPr>
                    <w:adjustRightInd w:val="0"/>
                    <w:snapToGrid w:val="0"/>
                    <w:jc w:val="center"/>
                    <w:rPr>
                      <w:color w:val="000000"/>
                      <w:kern w:val="0"/>
                      <w:sz w:val="21"/>
                      <w:szCs w:val="21"/>
                    </w:rPr>
                  </w:pPr>
                </w:p>
              </w:tc>
              <w:tc>
                <w:tcPr>
                  <w:tcW w:w="414" w:type="dxa"/>
                  <w:vMerge w:val="continue"/>
                  <w:vAlign w:val="center"/>
                </w:tcPr>
                <w:p w14:paraId="59541EFA">
                  <w:pPr>
                    <w:adjustRightInd w:val="0"/>
                    <w:snapToGrid w:val="0"/>
                    <w:jc w:val="center"/>
                    <w:rPr>
                      <w:color w:val="000000"/>
                      <w:kern w:val="0"/>
                      <w:sz w:val="21"/>
                      <w:szCs w:val="21"/>
                    </w:rPr>
                  </w:pPr>
                </w:p>
              </w:tc>
              <w:tc>
                <w:tcPr>
                  <w:tcW w:w="416" w:type="dxa"/>
                  <w:vMerge w:val="continue"/>
                  <w:vAlign w:val="center"/>
                </w:tcPr>
                <w:p w14:paraId="0448F06D">
                  <w:pPr>
                    <w:adjustRightInd w:val="0"/>
                    <w:snapToGrid w:val="0"/>
                    <w:jc w:val="center"/>
                    <w:rPr>
                      <w:color w:val="000000"/>
                      <w:kern w:val="0"/>
                      <w:sz w:val="21"/>
                      <w:szCs w:val="21"/>
                    </w:rPr>
                  </w:pPr>
                </w:p>
              </w:tc>
              <w:tc>
                <w:tcPr>
                  <w:tcW w:w="414" w:type="dxa"/>
                  <w:vMerge w:val="restart"/>
                  <w:vAlign w:val="center"/>
                </w:tcPr>
                <w:p w14:paraId="01135D30">
                  <w:pPr>
                    <w:adjustRightInd w:val="0"/>
                    <w:snapToGrid w:val="0"/>
                    <w:jc w:val="center"/>
                    <w:rPr>
                      <w:color w:val="000000"/>
                      <w:kern w:val="0"/>
                      <w:sz w:val="21"/>
                      <w:szCs w:val="21"/>
                    </w:rPr>
                  </w:pPr>
                  <w:r>
                    <w:rPr>
                      <w:color w:val="000000"/>
                      <w:kern w:val="0"/>
                      <w:sz w:val="21"/>
                      <w:szCs w:val="21"/>
                    </w:rPr>
                    <w:t>水污染控制措施要求</w:t>
                  </w:r>
                </w:p>
              </w:tc>
              <w:tc>
                <w:tcPr>
                  <w:tcW w:w="2031" w:type="dxa"/>
                  <w:vAlign w:val="center"/>
                </w:tcPr>
                <w:p w14:paraId="327BC478">
                  <w:pPr>
                    <w:jc w:val="center"/>
                    <w:rPr>
                      <w:color w:val="000000"/>
                      <w:kern w:val="0"/>
                      <w:sz w:val="21"/>
                      <w:szCs w:val="21"/>
                    </w:rPr>
                  </w:pPr>
                  <w:r>
                    <w:rPr>
                      <w:color w:val="000000"/>
                      <w:kern w:val="0"/>
                      <w:sz w:val="21"/>
                      <w:szCs w:val="21"/>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2134" w:type="dxa"/>
                  <w:vAlign w:val="center"/>
                </w:tcPr>
                <w:p w14:paraId="4D97C77D">
                  <w:pPr>
                    <w:jc w:val="center"/>
                    <w:rPr>
                      <w:color w:val="000000"/>
                      <w:kern w:val="0"/>
                      <w:sz w:val="21"/>
                      <w:szCs w:val="21"/>
                    </w:rPr>
                  </w:pPr>
                  <w:r>
                    <w:rPr>
                      <w:color w:val="000000"/>
                      <w:kern w:val="0"/>
                      <w:sz w:val="21"/>
                      <w:szCs w:val="21"/>
                    </w:rPr>
                    <w:t>项目生活污水经化粪池处理</w:t>
                  </w:r>
                  <w:r>
                    <w:rPr>
                      <w:rFonts w:hint="eastAsia"/>
                      <w:color w:val="000000"/>
                      <w:kern w:val="0"/>
                      <w:sz w:val="21"/>
                      <w:szCs w:val="21"/>
                    </w:rPr>
                    <w:t>后</w:t>
                  </w:r>
                  <w:r>
                    <w:rPr>
                      <w:color w:val="000000"/>
                      <w:kern w:val="0"/>
                      <w:sz w:val="21"/>
                      <w:szCs w:val="21"/>
                    </w:rPr>
                    <w:t>经管道排入</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，废水排放浓度满足《污水综合排放标准》（GB8978-1996）三级标准和</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接管要求</w:t>
                  </w:r>
                </w:p>
              </w:tc>
              <w:tc>
                <w:tcPr>
                  <w:tcW w:w="438" w:type="dxa"/>
                  <w:vAlign w:val="center"/>
                </w:tcPr>
                <w:p w14:paraId="4DED9554">
                  <w:pPr>
                    <w:adjustRightInd w:val="0"/>
                    <w:snapToGrid w:val="0"/>
                    <w:jc w:val="center"/>
                    <w:rPr>
                      <w:color w:val="000000"/>
                      <w:kern w:val="0"/>
                      <w:sz w:val="21"/>
                      <w:szCs w:val="21"/>
                    </w:rPr>
                  </w:pPr>
                  <w:r>
                    <w:rPr>
                      <w:color w:val="000000"/>
                      <w:kern w:val="0"/>
                      <w:sz w:val="21"/>
                      <w:szCs w:val="21"/>
                    </w:rPr>
                    <w:t>符合</w:t>
                  </w:r>
                </w:p>
              </w:tc>
            </w:tr>
            <w:tr w14:paraId="3F92E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dxa"/>
                  <w:vMerge w:val="continue"/>
                  <w:vAlign w:val="center"/>
                </w:tcPr>
                <w:p w14:paraId="17275211">
                  <w:pPr>
                    <w:adjustRightInd w:val="0"/>
                    <w:snapToGrid w:val="0"/>
                    <w:jc w:val="center"/>
                    <w:rPr>
                      <w:color w:val="000000"/>
                      <w:kern w:val="0"/>
                      <w:sz w:val="21"/>
                      <w:szCs w:val="21"/>
                    </w:rPr>
                  </w:pPr>
                </w:p>
              </w:tc>
              <w:tc>
                <w:tcPr>
                  <w:tcW w:w="414" w:type="dxa"/>
                  <w:vMerge w:val="continue"/>
                  <w:vAlign w:val="center"/>
                </w:tcPr>
                <w:p w14:paraId="6E5A6375">
                  <w:pPr>
                    <w:adjustRightInd w:val="0"/>
                    <w:snapToGrid w:val="0"/>
                    <w:jc w:val="center"/>
                    <w:rPr>
                      <w:color w:val="000000"/>
                      <w:kern w:val="0"/>
                      <w:sz w:val="21"/>
                      <w:szCs w:val="21"/>
                    </w:rPr>
                  </w:pPr>
                </w:p>
              </w:tc>
              <w:tc>
                <w:tcPr>
                  <w:tcW w:w="416" w:type="dxa"/>
                  <w:vMerge w:val="continue"/>
                  <w:vAlign w:val="center"/>
                </w:tcPr>
                <w:p w14:paraId="5194BCBA">
                  <w:pPr>
                    <w:adjustRightInd w:val="0"/>
                    <w:snapToGrid w:val="0"/>
                    <w:jc w:val="center"/>
                    <w:rPr>
                      <w:color w:val="000000"/>
                      <w:kern w:val="0"/>
                      <w:sz w:val="21"/>
                      <w:szCs w:val="21"/>
                    </w:rPr>
                  </w:pPr>
                </w:p>
              </w:tc>
              <w:tc>
                <w:tcPr>
                  <w:tcW w:w="414" w:type="dxa"/>
                  <w:vMerge w:val="continue"/>
                  <w:vAlign w:val="center"/>
                </w:tcPr>
                <w:p w14:paraId="2455E5DF">
                  <w:pPr>
                    <w:adjustRightInd w:val="0"/>
                    <w:snapToGrid w:val="0"/>
                    <w:jc w:val="center"/>
                    <w:rPr>
                      <w:color w:val="000000"/>
                      <w:kern w:val="0"/>
                      <w:sz w:val="21"/>
                      <w:szCs w:val="21"/>
                    </w:rPr>
                  </w:pPr>
                </w:p>
              </w:tc>
              <w:tc>
                <w:tcPr>
                  <w:tcW w:w="2031" w:type="dxa"/>
                  <w:vAlign w:val="center"/>
                </w:tcPr>
                <w:p w14:paraId="6CC33647">
                  <w:pPr>
                    <w:jc w:val="center"/>
                    <w:rPr>
                      <w:color w:val="000000"/>
                      <w:kern w:val="0"/>
                      <w:sz w:val="21"/>
                      <w:szCs w:val="21"/>
                    </w:rPr>
                  </w:pPr>
                  <w:r>
                    <w:rPr>
                      <w:color w:val="000000"/>
                      <w:kern w:val="0"/>
                      <w:sz w:val="21"/>
                      <w:szCs w:val="21"/>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2134" w:type="dxa"/>
                  <w:vAlign w:val="center"/>
                </w:tcPr>
                <w:p w14:paraId="08CAA4B5">
                  <w:pPr>
                    <w:jc w:val="center"/>
                    <w:rPr>
                      <w:color w:val="000000"/>
                      <w:kern w:val="0"/>
                      <w:sz w:val="21"/>
                      <w:szCs w:val="21"/>
                    </w:rPr>
                  </w:pPr>
                  <w:r>
                    <w:rPr>
                      <w:color w:val="000000"/>
                      <w:kern w:val="0"/>
                      <w:sz w:val="21"/>
                      <w:szCs w:val="21"/>
                    </w:rPr>
                    <w:t>项目位于</w:t>
                  </w:r>
                  <w:r>
                    <w:rPr>
                      <w:sz w:val="21"/>
                      <w:szCs w:val="21"/>
                      <w:lang w:bidi="ar"/>
                    </w:rPr>
                    <w:t>宿州市高新技术产业开发区</w:t>
                  </w:r>
                  <w:r>
                    <w:rPr>
                      <w:rFonts w:hint="eastAsia"/>
                      <w:sz w:val="21"/>
                      <w:szCs w:val="21"/>
                      <w:lang w:bidi="ar"/>
                    </w:rPr>
                    <w:t>内</w:t>
                  </w:r>
                  <w:r>
                    <w:rPr>
                      <w:color w:val="000000"/>
                      <w:kern w:val="0"/>
                      <w:sz w:val="21"/>
                      <w:szCs w:val="21"/>
                    </w:rPr>
                    <w:t>，项目生活污水经化粪池处理</w:t>
                  </w:r>
                  <w:r>
                    <w:rPr>
                      <w:rFonts w:hint="eastAsia"/>
                      <w:color w:val="000000"/>
                      <w:kern w:val="0"/>
                      <w:sz w:val="21"/>
                      <w:szCs w:val="21"/>
                    </w:rPr>
                    <w:t>后</w:t>
                  </w:r>
                  <w:r>
                    <w:rPr>
                      <w:color w:val="000000"/>
                      <w:kern w:val="0"/>
                      <w:sz w:val="21"/>
                      <w:szCs w:val="21"/>
                    </w:rPr>
                    <w:t>经管道排入</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，废水排放浓度满足《污水综合排放标准》（GB8978-1996）三级标准和</w:t>
                  </w:r>
                  <w:r>
                    <w:rPr>
                      <w:rFonts w:hint="eastAsia"/>
                      <w:color w:val="000000"/>
                      <w:kern w:val="0"/>
                      <w:sz w:val="21"/>
                      <w:szCs w:val="21"/>
                    </w:rPr>
                    <w:t>汴北</w:t>
                  </w:r>
                  <w:r>
                    <w:rPr>
                      <w:color w:val="000000"/>
                      <w:kern w:val="0"/>
                      <w:sz w:val="21"/>
                      <w:szCs w:val="21"/>
                    </w:rPr>
                    <w:t>污水处理</w:t>
                  </w:r>
                  <w:r>
                    <w:rPr>
                      <w:rFonts w:hint="eastAsia"/>
                      <w:color w:val="000000"/>
                      <w:kern w:val="0"/>
                      <w:sz w:val="21"/>
                      <w:szCs w:val="21"/>
                    </w:rPr>
                    <w:t>厂</w:t>
                  </w:r>
                  <w:r>
                    <w:rPr>
                      <w:color w:val="000000"/>
                      <w:kern w:val="0"/>
                      <w:sz w:val="21"/>
                      <w:szCs w:val="21"/>
                    </w:rPr>
                    <w:t>接管要求</w:t>
                  </w:r>
                </w:p>
              </w:tc>
              <w:tc>
                <w:tcPr>
                  <w:tcW w:w="438" w:type="dxa"/>
                  <w:vAlign w:val="center"/>
                </w:tcPr>
                <w:p w14:paraId="61BEE64D">
                  <w:pPr>
                    <w:adjustRightInd w:val="0"/>
                    <w:snapToGrid w:val="0"/>
                    <w:jc w:val="center"/>
                    <w:rPr>
                      <w:color w:val="000000"/>
                      <w:kern w:val="0"/>
                      <w:sz w:val="21"/>
                      <w:szCs w:val="21"/>
                    </w:rPr>
                  </w:pPr>
                  <w:r>
                    <w:rPr>
                      <w:color w:val="000000"/>
                      <w:kern w:val="0"/>
                      <w:sz w:val="21"/>
                      <w:szCs w:val="21"/>
                    </w:rPr>
                    <w:t>符合</w:t>
                  </w:r>
                </w:p>
              </w:tc>
            </w:tr>
            <w:tr w14:paraId="3A18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58" w:type="dxa"/>
                  <w:gridSpan w:val="4"/>
                  <w:vAlign w:val="center"/>
                </w:tcPr>
                <w:p w14:paraId="584E70D6">
                  <w:pPr>
                    <w:adjustRightInd w:val="0"/>
                    <w:snapToGrid w:val="0"/>
                    <w:jc w:val="center"/>
                    <w:rPr>
                      <w:color w:val="000000"/>
                      <w:kern w:val="0"/>
                      <w:sz w:val="21"/>
                      <w:szCs w:val="21"/>
                    </w:rPr>
                  </w:pPr>
                  <w:r>
                    <w:rPr>
                      <w:color w:val="000000"/>
                      <w:kern w:val="0"/>
                      <w:sz w:val="21"/>
                      <w:szCs w:val="21"/>
                    </w:rPr>
                    <w:t>其他一般管控单元</w:t>
                  </w:r>
                </w:p>
              </w:tc>
              <w:tc>
                <w:tcPr>
                  <w:tcW w:w="2031" w:type="dxa"/>
                  <w:vAlign w:val="center"/>
                </w:tcPr>
                <w:p w14:paraId="7A4C7C95">
                  <w:pPr>
                    <w:jc w:val="center"/>
                    <w:rPr>
                      <w:color w:val="000000"/>
                      <w:sz w:val="21"/>
                      <w:szCs w:val="21"/>
                    </w:rPr>
                  </w:pPr>
                  <w:r>
                    <w:rPr>
                      <w:color w:val="000000"/>
                      <w:sz w:val="21"/>
                      <w:szCs w:val="21"/>
                    </w:rPr>
                    <w:t>一般管控单元内，执行现有法律法规和政策文件。</w:t>
                  </w:r>
                </w:p>
              </w:tc>
              <w:tc>
                <w:tcPr>
                  <w:tcW w:w="2134" w:type="dxa"/>
                  <w:vAlign w:val="center"/>
                </w:tcPr>
                <w:p w14:paraId="1A7BA1FD">
                  <w:pPr>
                    <w:jc w:val="center"/>
                    <w:rPr>
                      <w:color w:val="000000"/>
                      <w:kern w:val="0"/>
                      <w:sz w:val="21"/>
                      <w:szCs w:val="21"/>
                    </w:rPr>
                  </w:pPr>
                  <w:r>
                    <w:rPr>
                      <w:color w:val="000000"/>
                      <w:kern w:val="0"/>
                      <w:sz w:val="21"/>
                      <w:szCs w:val="21"/>
                    </w:rPr>
                    <w:t>项目的建设和生产均符合现有法律法规和政策文件</w:t>
                  </w:r>
                </w:p>
              </w:tc>
              <w:tc>
                <w:tcPr>
                  <w:tcW w:w="438" w:type="dxa"/>
                  <w:vAlign w:val="center"/>
                </w:tcPr>
                <w:p w14:paraId="1BBBA016">
                  <w:pPr>
                    <w:adjustRightInd w:val="0"/>
                    <w:snapToGrid w:val="0"/>
                    <w:jc w:val="center"/>
                    <w:rPr>
                      <w:color w:val="000000"/>
                      <w:kern w:val="0"/>
                      <w:sz w:val="21"/>
                      <w:szCs w:val="21"/>
                    </w:rPr>
                  </w:pPr>
                  <w:r>
                    <w:rPr>
                      <w:color w:val="000000"/>
                      <w:kern w:val="0"/>
                      <w:sz w:val="21"/>
                      <w:szCs w:val="21"/>
                    </w:rPr>
                    <w:t>符合</w:t>
                  </w:r>
                </w:p>
              </w:tc>
            </w:tr>
          </w:tbl>
          <w:p w14:paraId="5088870C">
            <w:pPr>
              <w:autoSpaceDE w:val="0"/>
              <w:autoSpaceDN w:val="0"/>
              <w:adjustRightInd w:val="0"/>
              <w:snapToGrid w:val="0"/>
              <w:rPr>
                <w:kern w:val="0"/>
              </w:rPr>
            </w:pPr>
          </w:p>
          <w:p w14:paraId="3EF2C807">
            <w:pPr>
              <w:autoSpaceDE w:val="0"/>
              <w:autoSpaceDN w:val="0"/>
              <w:adjustRightInd w:val="0"/>
              <w:snapToGrid w:val="0"/>
              <w:rPr>
                <w:kern w:val="0"/>
              </w:rPr>
            </w:pPr>
          </w:p>
        </w:tc>
      </w:tr>
    </w:tbl>
    <w:p w14:paraId="0999E36B">
      <w:pPr>
        <w:spacing w:line="360" w:lineRule="auto"/>
        <w:outlineLvl w:val="0"/>
        <w:rPr>
          <w:rFonts w:eastAsia="黑体"/>
          <w:sz w:val="30"/>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14:paraId="4B39642B">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19C4A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55" w:hRule="atLeast"/>
          <w:jc w:val="center"/>
        </w:trPr>
        <w:tc>
          <w:tcPr>
            <w:tcW w:w="823" w:type="dxa"/>
            <w:vAlign w:val="center"/>
          </w:tcPr>
          <w:p w14:paraId="5153B36B">
            <w:pPr>
              <w:pStyle w:val="25"/>
              <w:adjustRightInd w:val="0"/>
              <w:snapToGrid w:val="0"/>
              <w:spacing w:before="0" w:beforeAutospacing="0" w:after="0" w:afterAutospacing="0"/>
              <w:jc w:val="center"/>
              <w:rPr>
                <w:rFonts w:cs="宋体"/>
                <w:sz w:val="21"/>
                <w:szCs w:val="21"/>
              </w:rPr>
            </w:pPr>
            <w:r>
              <w:rPr>
                <w:rFonts w:hint="eastAsia" w:cs="宋体"/>
                <w:szCs w:val="24"/>
              </w:rPr>
              <w:t>建设内容</w:t>
            </w:r>
          </w:p>
        </w:tc>
        <w:tc>
          <w:tcPr>
            <w:tcW w:w="8161" w:type="dxa"/>
          </w:tcPr>
          <w:p w14:paraId="344ACED2">
            <w:pPr>
              <w:autoSpaceDE w:val="0"/>
              <w:autoSpaceDN w:val="0"/>
              <w:adjustRightInd w:val="0"/>
              <w:snapToGrid w:val="0"/>
              <w:spacing w:before="120" w:beforeLines="50" w:line="360" w:lineRule="auto"/>
              <w:rPr>
                <w:b/>
                <w:bCs/>
                <w:kern w:val="0"/>
              </w:rPr>
            </w:pPr>
            <w:r>
              <w:rPr>
                <w:rFonts w:hint="eastAsia"/>
                <w:b/>
                <w:bCs/>
                <w:kern w:val="0"/>
              </w:rPr>
              <w:t>1、项目建设内容</w:t>
            </w:r>
          </w:p>
          <w:p w14:paraId="5CE72C08">
            <w:pPr>
              <w:pStyle w:val="10"/>
              <w:adjustRightInd w:val="0"/>
              <w:snapToGrid w:val="0"/>
              <w:spacing w:line="360" w:lineRule="auto"/>
              <w:ind w:firstLine="480" w:firstLineChars="200"/>
            </w:pPr>
            <w:r>
              <w:rPr>
                <w:rFonts w:hint="eastAsia"/>
              </w:rPr>
              <w:t>安徽优品诺健康科技有限公司</w:t>
            </w:r>
            <w:r>
              <w:rPr>
                <w:rFonts w:hint="eastAsia"/>
                <w:lang w:val="en-US" w:eastAsia="zh-CN"/>
              </w:rPr>
              <w:t>拟在安徽省宿州市高新技术产业开发区双创产业园投资建设安徽优品诺年产3000吨大健康项目，项目总投资30100万元，建设</w:t>
            </w:r>
            <w:r>
              <w:rPr>
                <w:rFonts w:hint="eastAsia"/>
              </w:rPr>
              <w:t>10万级洁净车间8000m</w:t>
            </w:r>
            <w:r>
              <w:rPr>
                <w:rFonts w:hint="eastAsia"/>
                <w:vertAlign w:val="superscript"/>
                <w:lang w:val="en-US" w:eastAsia="zh-CN"/>
              </w:rPr>
              <w:t>2</w:t>
            </w:r>
            <w:r>
              <w:rPr>
                <w:rFonts w:hint="eastAsia"/>
              </w:rPr>
              <w:t>，</w:t>
            </w:r>
            <w:r>
              <w:rPr>
                <w:rFonts w:hint="eastAsia"/>
                <w:lang w:val="en-US" w:eastAsia="zh-CN"/>
              </w:rPr>
              <w:t>购置方锥混料机、过筛机、称重机、双桨混合机等设备，</w:t>
            </w:r>
            <w:r>
              <w:rPr>
                <w:rFonts w:hint="eastAsia"/>
              </w:rPr>
              <w:t>打造年产800吨益生菌固体饮料产线、年产1500吨蛋白棒产线、年产450吨凝胶产线各一条，可以满足国内外大部分产品剂型的生产</w:t>
            </w:r>
            <w:r>
              <w:rPr>
                <w:rFonts w:hint="eastAsia"/>
                <w:szCs w:val="24"/>
              </w:rPr>
              <w:t>。</w:t>
            </w:r>
          </w:p>
          <w:p w14:paraId="2F6A6941">
            <w:pPr>
              <w:pStyle w:val="10"/>
              <w:spacing w:line="360" w:lineRule="auto"/>
              <w:ind w:firstLine="480" w:firstLineChars="200"/>
              <w:rPr>
                <w:b/>
                <w:bCs/>
              </w:rPr>
            </w:pPr>
            <w:r>
              <w:t>具体建设内容及规模见下表。</w:t>
            </w:r>
          </w:p>
          <w:p w14:paraId="06EBED31">
            <w:pPr>
              <w:autoSpaceDE w:val="0"/>
              <w:autoSpaceDN w:val="0"/>
              <w:adjustRightInd w:val="0"/>
              <w:jc w:val="center"/>
              <w:rPr>
                <w:b/>
                <w:bCs/>
                <w:kern w:val="0"/>
              </w:rPr>
            </w:pPr>
            <w:r>
              <w:rPr>
                <w:rFonts w:hint="eastAsia"/>
                <w:b/>
                <w:bCs/>
              </w:rPr>
              <w:t xml:space="preserve">表2.1  </w:t>
            </w:r>
            <w:r>
              <w:rPr>
                <w:b/>
                <w:bCs/>
              </w:rPr>
              <w:t>项目主要建设内容一览表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554"/>
              <w:gridCol w:w="2963"/>
              <w:gridCol w:w="1432"/>
              <w:gridCol w:w="881"/>
            </w:tblGrid>
            <w:tr w14:paraId="2DD7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Align w:val="center"/>
                </w:tcPr>
                <w:p w14:paraId="058B3091">
                  <w:pPr>
                    <w:jc w:val="center"/>
                    <w:rPr>
                      <w:b/>
                      <w:bCs/>
                      <w:sz w:val="21"/>
                      <w:szCs w:val="21"/>
                    </w:rPr>
                  </w:pPr>
                  <w:r>
                    <w:rPr>
                      <w:b/>
                      <w:bCs/>
                      <w:sz w:val="21"/>
                      <w:szCs w:val="21"/>
                    </w:rPr>
                    <w:t>类别</w:t>
                  </w:r>
                </w:p>
              </w:tc>
              <w:tc>
                <w:tcPr>
                  <w:tcW w:w="1554" w:type="dxa"/>
                  <w:vAlign w:val="center"/>
                </w:tcPr>
                <w:p w14:paraId="32820984">
                  <w:pPr>
                    <w:jc w:val="center"/>
                    <w:rPr>
                      <w:b/>
                      <w:bCs/>
                      <w:sz w:val="21"/>
                      <w:szCs w:val="21"/>
                    </w:rPr>
                  </w:pPr>
                  <w:r>
                    <w:rPr>
                      <w:b/>
                      <w:bCs/>
                      <w:sz w:val="21"/>
                      <w:szCs w:val="21"/>
                    </w:rPr>
                    <w:t>单项工程名称</w:t>
                  </w:r>
                </w:p>
              </w:tc>
              <w:tc>
                <w:tcPr>
                  <w:tcW w:w="2963" w:type="dxa"/>
                  <w:vAlign w:val="center"/>
                </w:tcPr>
                <w:p w14:paraId="0E8C427D">
                  <w:pPr>
                    <w:jc w:val="center"/>
                    <w:rPr>
                      <w:b/>
                      <w:bCs/>
                      <w:sz w:val="21"/>
                      <w:szCs w:val="21"/>
                    </w:rPr>
                  </w:pPr>
                  <w:r>
                    <w:rPr>
                      <w:b/>
                      <w:bCs/>
                      <w:sz w:val="21"/>
                      <w:szCs w:val="21"/>
                    </w:rPr>
                    <w:t>建设内容</w:t>
                  </w:r>
                </w:p>
              </w:tc>
              <w:tc>
                <w:tcPr>
                  <w:tcW w:w="1432" w:type="dxa"/>
                  <w:vAlign w:val="center"/>
                </w:tcPr>
                <w:p w14:paraId="69599ACC">
                  <w:pPr>
                    <w:jc w:val="center"/>
                    <w:rPr>
                      <w:b/>
                      <w:bCs/>
                      <w:sz w:val="21"/>
                      <w:szCs w:val="21"/>
                    </w:rPr>
                  </w:pPr>
                  <w:r>
                    <w:rPr>
                      <w:b/>
                      <w:bCs/>
                      <w:sz w:val="21"/>
                      <w:szCs w:val="21"/>
                    </w:rPr>
                    <w:t>规模</w:t>
                  </w:r>
                </w:p>
              </w:tc>
              <w:tc>
                <w:tcPr>
                  <w:tcW w:w="881" w:type="dxa"/>
                  <w:vAlign w:val="center"/>
                </w:tcPr>
                <w:p w14:paraId="1163601A">
                  <w:pPr>
                    <w:jc w:val="center"/>
                    <w:rPr>
                      <w:sz w:val="21"/>
                      <w:szCs w:val="21"/>
                    </w:rPr>
                  </w:pPr>
                  <w:r>
                    <w:rPr>
                      <w:b/>
                      <w:bCs/>
                      <w:sz w:val="21"/>
                      <w:szCs w:val="21"/>
                    </w:rPr>
                    <w:t>备注</w:t>
                  </w:r>
                </w:p>
              </w:tc>
            </w:tr>
            <w:tr w14:paraId="6B61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restart"/>
                  <w:vAlign w:val="center"/>
                </w:tcPr>
                <w:p w14:paraId="644918CD">
                  <w:pPr>
                    <w:jc w:val="center"/>
                    <w:rPr>
                      <w:sz w:val="21"/>
                      <w:szCs w:val="21"/>
                    </w:rPr>
                  </w:pPr>
                  <w:bookmarkStart w:id="2" w:name="OLE_LINK22" w:colFirst="0" w:colLast="0"/>
                  <w:r>
                    <w:rPr>
                      <w:sz w:val="21"/>
                      <w:szCs w:val="21"/>
                    </w:rPr>
                    <w:t>主体工程</w:t>
                  </w:r>
                </w:p>
              </w:tc>
              <w:tc>
                <w:tcPr>
                  <w:tcW w:w="1554" w:type="dxa"/>
                  <w:vAlign w:val="center"/>
                </w:tcPr>
                <w:p w14:paraId="604CB996">
                  <w:pPr>
                    <w:adjustRightInd w:val="0"/>
                    <w:snapToGrid w:val="0"/>
                    <w:jc w:val="center"/>
                    <w:rPr>
                      <w:rFonts w:hint="default" w:eastAsia="宋体"/>
                      <w:sz w:val="21"/>
                      <w:szCs w:val="21"/>
                      <w:lang w:val="en-US" w:eastAsia="zh-CN"/>
                    </w:rPr>
                  </w:pPr>
                  <w:r>
                    <w:rPr>
                      <w:rFonts w:hint="eastAsia"/>
                      <w:sz w:val="21"/>
                      <w:szCs w:val="21"/>
                      <w:lang w:val="en-US" w:eastAsia="zh-CN"/>
                    </w:rPr>
                    <w:t>1F生产车间</w:t>
                  </w:r>
                </w:p>
              </w:tc>
              <w:tc>
                <w:tcPr>
                  <w:tcW w:w="2963" w:type="dxa"/>
                  <w:vAlign w:val="center"/>
                </w:tcPr>
                <w:p w14:paraId="791E13CE">
                  <w:pPr>
                    <w:adjustRightInd w:val="0"/>
                    <w:snapToGrid w:val="0"/>
                    <w:jc w:val="center"/>
                    <w:rPr>
                      <w:bCs/>
                      <w:sz w:val="21"/>
                      <w:szCs w:val="21"/>
                    </w:rPr>
                  </w:pPr>
                  <w:r>
                    <w:rPr>
                      <w:sz w:val="21"/>
                      <w:szCs w:val="21"/>
                    </w:rPr>
                    <w:t>建筑面积约</w:t>
                  </w:r>
                  <w:r>
                    <w:rPr>
                      <w:rFonts w:hint="eastAsia"/>
                      <w:sz w:val="21"/>
                      <w:szCs w:val="21"/>
                      <w:lang w:val="en-US" w:eastAsia="zh-CN"/>
                    </w:rPr>
                    <w:t>5706.6</w:t>
                  </w:r>
                  <w:r>
                    <w:rPr>
                      <w:sz w:val="21"/>
                      <w:szCs w:val="21"/>
                    </w:rPr>
                    <w:t>m</w:t>
                  </w:r>
                  <w:r>
                    <w:rPr>
                      <w:sz w:val="21"/>
                      <w:szCs w:val="21"/>
                      <w:vertAlign w:val="superscript"/>
                    </w:rPr>
                    <w:t>2</w:t>
                  </w:r>
                  <w:r>
                    <w:rPr>
                      <w:rFonts w:hint="eastAsia"/>
                      <w:sz w:val="21"/>
                      <w:szCs w:val="21"/>
                    </w:rPr>
                    <w:t>，</w:t>
                  </w:r>
                  <w:r>
                    <w:rPr>
                      <w:sz w:val="21"/>
                      <w:szCs w:val="21"/>
                    </w:rPr>
                    <w:t>内部主要为</w:t>
                  </w:r>
                  <w:r>
                    <w:rPr>
                      <w:rFonts w:hint="eastAsia"/>
                      <w:sz w:val="21"/>
                      <w:szCs w:val="21"/>
                      <w:lang w:val="en-US" w:eastAsia="zh-CN"/>
                    </w:rPr>
                    <w:t>大厅展区</w:t>
                  </w:r>
                  <w:r>
                    <w:rPr>
                      <w:rFonts w:hint="eastAsia"/>
                      <w:sz w:val="21"/>
                      <w:szCs w:val="21"/>
                    </w:rPr>
                    <w:t>、</w:t>
                  </w:r>
                  <w:r>
                    <w:rPr>
                      <w:rFonts w:hint="eastAsia"/>
                      <w:sz w:val="21"/>
                      <w:szCs w:val="21"/>
                      <w:lang w:val="en-US" w:eastAsia="zh-CN"/>
                    </w:rPr>
                    <w:t>蛋白棒生产线</w:t>
                  </w:r>
                  <w:r>
                    <w:rPr>
                      <w:rFonts w:hint="eastAsia"/>
                      <w:sz w:val="21"/>
                      <w:szCs w:val="21"/>
                    </w:rPr>
                    <w:t>、</w:t>
                  </w:r>
                  <w:r>
                    <w:rPr>
                      <w:rFonts w:hint="eastAsia"/>
                      <w:sz w:val="21"/>
                      <w:szCs w:val="21"/>
                      <w:lang w:val="en-US" w:eastAsia="zh-CN"/>
                    </w:rPr>
                    <w:t>外包装线以及成品库</w:t>
                  </w:r>
                  <w:r>
                    <w:rPr>
                      <w:sz w:val="21"/>
                      <w:szCs w:val="21"/>
                    </w:rPr>
                    <w:t>等</w:t>
                  </w:r>
                </w:p>
              </w:tc>
              <w:tc>
                <w:tcPr>
                  <w:tcW w:w="1432" w:type="dxa"/>
                  <w:vMerge w:val="restart"/>
                  <w:vAlign w:val="center"/>
                </w:tcPr>
                <w:p w14:paraId="30B33A0C">
                  <w:pPr>
                    <w:adjustRightInd w:val="0"/>
                    <w:snapToGrid w:val="0"/>
                    <w:jc w:val="center"/>
                    <w:rPr>
                      <w:sz w:val="21"/>
                      <w:szCs w:val="21"/>
                    </w:rPr>
                  </w:pPr>
                  <w:r>
                    <w:rPr>
                      <w:rFonts w:hint="eastAsia"/>
                      <w:sz w:val="21"/>
                      <w:szCs w:val="21"/>
                    </w:rPr>
                    <w:t>年产800吨益生菌固体饮料、年产1500吨蛋白棒、年产450吨凝胶</w:t>
                  </w:r>
                </w:p>
              </w:tc>
              <w:tc>
                <w:tcPr>
                  <w:tcW w:w="881" w:type="dxa"/>
                  <w:vMerge w:val="restart"/>
                  <w:vAlign w:val="center"/>
                </w:tcPr>
                <w:p w14:paraId="461CD134">
                  <w:pPr>
                    <w:jc w:val="center"/>
                    <w:rPr>
                      <w:sz w:val="21"/>
                      <w:szCs w:val="21"/>
                    </w:rPr>
                  </w:pPr>
                  <w:r>
                    <w:rPr>
                      <w:sz w:val="21"/>
                      <w:szCs w:val="21"/>
                    </w:rPr>
                    <w:t>新建</w:t>
                  </w:r>
                </w:p>
              </w:tc>
            </w:tr>
            <w:tr w14:paraId="0698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0BB13E84">
                  <w:pPr>
                    <w:jc w:val="center"/>
                    <w:rPr>
                      <w:sz w:val="21"/>
                      <w:szCs w:val="21"/>
                    </w:rPr>
                  </w:pPr>
                </w:p>
              </w:tc>
              <w:tc>
                <w:tcPr>
                  <w:tcW w:w="1554" w:type="dxa"/>
                  <w:vAlign w:val="center"/>
                </w:tcPr>
                <w:p w14:paraId="2E7512DD">
                  <w:pPr>
                    <w:adjustRightInd w:val="0"/>
                    <w:snapToGrid w:val="0"/>
                    <w:jc w:val="center"/>
                    <w:rPr>
                      <w:rFonts w:hint="default" w:eastAsia="宋体"/>
                      <w:sz w:val="21"/>
                      <w:szCs w:val="21"/>
                      <w:lang w:val="en-US" w:eastAsia="zh-CN"/>
                    </w:rPr>
                  </w:pPr>
                  <w:r>
                    <w:rPr>
                      <w:rFonts w:hint="eastAsia"/>
                      <w:sz w:val="21"/>
                      <w:szCs w:val="21"/>
                      <w:lang w:val="en-US" w:eastAsia="zh-CN"/>
                    </w:rPr>
                    <w:t>2F生产车间</w:t>
                  </w:r>
                </w:p>
              </w:tc>
              <w:tc>
                <w:tcPr>
                  <w:tcW w:w="2963" w:type="dxa"/>
                  <w:vAlign w:val="center"/>
                </w:tcPr>
                <w:p w14:paraId="692E228E">
                  <w:pPr>
                    <w:adjustRightInd w:val="0"/>
                    <w:snapToGrid w:val="0"/>
                    <w:jc w:val="center"/>
                    <w:rPr>
                      <w:rFonts w:hint="default" w:eastAsia="宋体"/>
                      <w:sz w:val="21"/>
                      <w:szCs w:val="21"/>
                      <w:lang w:val="en-US" w:eastAsia="zh-CN"/>
                    </w:rPr>
                  </w:pPr>
                  <w:r>
                    <w:rPr>
                      <w:sz w:val="21"/>
                      <w:szCs w:val="21"/>
                    </w:rPr>
                    <w:t>建筑面积约</w:t>
                  </w:r>
                  <w:r>
                    <w:rPr>
                      <w:rFonts w:hint="eastAsia"/>
                      <w:sz w:val="21"/>
                      <w:szCs w:val="21"/>
                      <w:lang w:val="en-US" w:eastAsia="zh-CN"/>
                    </w:rPr>
                    <w:t>5700</w:t>
                  </w:r>
                  <w:r>
                    <w:rPr>
                      <w:sz w:val="21"/>
                      <w:szCs w:val="21"/>
                    </w:rPr>
                    <w:t>m</w:t>
                  </w:r>
                  <w:r>
                    <w:rPr>
                      <w:sz w:val="21"/>
                      <w:szCs w:val="21"/>
                      <w:vertAlign w:val="superscript"/>
                    </w:rPr>
                    <w:t>2</w:t>
                  </w:r>
                  <w:r>
                    <w:rPr>
                      <w:rFonts w:hint="eastAsia"/>
                      <w:sz w:val="21"/>
                      <w:szCs w:val="21"/>
                      <w:vertAlign w:val="baseline"/>
                      <w:lang w:eastAsia="zh-CN"/>
                    </w:rPr>
                    <w:t>，</w:t>
                  </w:r>
                  <w:r>
                    <w:rPr>
                      <w:rFonts w:hint="eastAsia"/>
                      <w:sz w:val="21"/>
                      <w:szCs w:val="21"/>
                      <w:vertAlign w:val="baseline"/>
                      <w:lang w:val="en-US" w:eastAsia="zh-CN"/>
                    </w:rPr>
                    <w:t>内部设置混料室、烘干室、原料区、成品区以及实验室等</w:t>
                  </w:r>
                </w:p>
              </w:tc>
              <w:tc>
                <w:tcPr>
                  <w:tcW w:w="1432" w:type="dxa"/>
                  <w:vMerge w:val="continue"/>
                  <w:vAlign w:val="center"/>
                </w:tcPr>
                <w:p w14:paraId="75AE2F27">
                  <w:pPr>
                    <w:adjustRightInd w:val="0"/>
                    <w:snapToGrid w:val="0"/>
                    <w:jc w:val="center"/>
                    <w:rPr>
                      <w:rFonts w:hint="eastAsia"/>
                      <w:sz w:val="21"/>
                      <w:szCs w:val="21"/>
                    </w:rPr>
                  </w:pPr>
                </w:p>
              </w:tc>
              <w:tc>
                <w:tcPr>
                  <w:tcW w:w="881" w:type="dxa"/>
                  <w:vMerge w:val="continue"/>
                  <w:vAlign w:val="center"/>
                </w:tcPr>
                <w:p w14:paraId="4CD775BB">
                  <w:pPr>
                    <w:jc w:val="center"/>
                    <w:rPr>
                      <w:sz w:val="21"/>
                      <w:szCs w:val="21"/>
                    </w:rPr>
                  </w:pPr>
                </w:p>
              </w:tc>
            </w:tr>
            <w:tr w14:paraId="1C2D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40727093">
                  <w:pPr>
                    <w:jc w:val="center"/>
                    <w:rPr>
                      <w:sz w:val="21"/>
                      <w:szCs w:val="21"/>
                    </w:rPr>
                  </w:pPr>
                </w:p>
              </w:tc>
              <w:tc>
                <w:tcPr>
                  <w:tcW w:w="1554" w:type="dxa"/>
                  <w:vAlign w:val="center"/>
                </w:tcPr>
                <w:p w14:paraId="21D22F3A">
                  <w:pPr>
                    <w:adjustRightInd w:val="0"/>
                    <w:snapToGrid w:val="0"/>
                    <w:jc w:val="center"/>
                    <w:rPr>
                      <w:rFonts w:hint="default" w:eastAsia="宋体"/>
                      <w:sz w:val="21"/>
                      <w:szCs w:val="21"/>
                      <w:lang w:val="en-US" w:eastAsia="zh-CN"/>
                    </w:rPr>
                  </w:pPr>
                  <w:r>
                    <w:rPr>
                      <w:rFonts w:hint="eastAsia"/>
                      <w:sz w:val="21"/>
                      <w:szCs w:val="21"/>
                      <w:lang w:val="en-US" w:eastAsia="zh-CN"/>
                    </w:rPr>
                    <w:t>3F生产车间</w:t>
                  </w:r>
                </w:p>
              </w:tc>
              <w:tc>
                <w:tcPr>
                  <w:tcW w:w="2963" w:type="dxa"/>
                  <w:vAlign w:val="center"/>
                </w:tcPr>
                <w:p w14:paraId="723D62CC">
                  <w:pPr>
                    <w:adjustRightInd w:val="0"/>
                    <w:snapToGrid w:val="0"/>
                    <w:jc w:val="center"/>
                    <w:rPr>
                      <w:rFonts w:hint="default"/>
                      <w:sz w:val="21"/>
                      <w:szCs w:val="21"/>
                      <w:lang w:val="en-US"/>
                    </w:rPr>
                  </w:pPr>
                  <w:r>
                    <w:rPr>
                      <w:sz w:val="21"/>
                      <w:szCs w:val="21"/>
                    </w:rPr>
                    <w:t>建筑面积约</w:t>
                  </w:r>
                  <w:r>
                    <w:rPr>
                      <w:rFonts w:hint="eastAsia"/>
                      <w:sz w:val="21"/>
                      <w:szCs w:val="21"/>
                      <w:lang w:val="en-US" w:eastAsia="zh-CN"/>
                    </w:rPr>
                    <w:t>5700</w:t>
                  </w:r>
                  <w:r>
                    <w:rPr>
                      <w:sz w:val="21"/>
                      <w:szCs w:val="21"/>
                    </w:rPr>
                    <w:t>m</w:t>
                  </w:r>
                  <w:r>
                    <w:rPr>
                      <w:sz w:val="21"/>
                      <w:szCs w:val="21"/>
                      <w:vertAlign w:val="superscript"/>
                    </w:rPr>
                    <w:t>2</w:t>
                  </w:r>
                  <w:r>
                    <w:rPr>
                      <w:rFonts w:hint="eastAsia"/>
                      <w:sz w:val="21"/>
                      <w:szCs w:val="21"/>
                      <w:vertAlign w:val="baseline"/>
                      <w:lang w:eastAsia="zh-CN"/>
                    </w:rPr>
                    <w:t>，</w:t>
                  </w:r>
                  <w:r>
                    <w:rPr>
                      <w:rFonts w:hint="eastAsia"/>
                      <w:sz w:val="21"/>
                      <w:szCs w:val="21"/>
                      <w:vertAlign w:val="baseline"/>
                      <w:lang w:val="en-US" w:eastAsia="zh-CN"/>
                    </w:rPr>
                    <w:t>内部设置办公区以及凝胶生产线</w:t>
                  </w:r>
                </w:p>
              </w:tc>
              <w:tc>
                <w:tcPr>
                  <w:tcW w:w="1432" w:type="dxa"/>
                  <w:vMerge w:val="continue"/>
                  <w:vAlign w:val="center"/>
                </w:tcPr>
                <w:p w14:paraId="2568D2DC">
                  <w:pPr>
                    <w:adjustRightInd w:val="0"/>
                    <w:snapToGrid w:val="0"/>
                    <w:jc w:val="center"/>
                    <w:rPr>
                      <w:rFonts w:hint="eastAsia"/>
                      <w:sz w:val="21"/>
                      <w:szCs w:val="21"/>
                    </w:rPr>
                  </w:pPr>
                </w:p>
              </w:tc>
              <w:tc>
                <w:tcPr>
                  <w:tcW w:w="881" w:type="dxa"/>
                  <w:vMerge w:val="continue"/>
                  <w:vAlign w:val="center"/>
                </w:tcPr>
                <w:p w14:paraId="7F0F9914">
                  <w:pPr>
                    <w:jc w:val="center"/>
                    <w:rPr>
                      <w:sz w:val="21"/>
                      <w:szCs w:val="21"/>
                    </w:rPr>
                  </w:pPr>
                </w:p>
              </w:tc>
            </w:tr>
            <w:bookmarkEnd w:id="2"/>
            <w:tr w14:paraId="65A2F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Align w:val="center"/>
                </w:tcPr>
                <w:p w14:paraId="7AD1F1F8">
                  <w:pPr>
                    <w:jc w:val="center"/>
                    <w:rPr>
                      <w:sz w:val="21"/>
                      <w:szCs w:val="21"/>
                    </w:rPr>
                  </w:pPr>
                  <w:r>
                    <w:rPr>
                      <w:sz w:val="21"/>
                      <w:szCs w:val="21"/>
                    </w:rPr>
                    <w:t>辅助工程</w:t>
                  </w:r>
                </w:p>
              </w:tc>
              <w:tc>
                <w:tcPr>
                  <w:tcW w:w="1554" w:type="dxa"/>
                  <w:vAlign w:val="center"/>
                </w:tcPr>
                <w:p w14:paraId="09847389">
                  <w:pPr>
                    <w:jc w:val="center"/>
                    <w:rPr>
                      <w:sz w:val="21"/>
                      <w:szCs w:val="21"/>
                    </w:rPr>
                  </w:pPr>
                  <w:r>
                    <w:rPr>
                      <w:rFonts w:hint="eastAsia"/>
                      <w:sz w:val="21"/>
                      <w:szCs w:val="21"/>
                    </w:rPr>
                    <w:t>办公区</w:t>
                  </w:r>
                </w:p>
              </w:tc>
              <w:tc>
                <w:tcPr>
                  <w:tcW w:w="4395" w:type="dxa"/>
                  <w:gridSpan w:val="2"/>
                  <w:vAlign w:val="center"/>
                </w:tcPr>
                <w:p w14:paraId="3D47CF75">
                  <w:pPr>
                    <w:jc w:val="center"/>
                    <w:rPr>
                      <w:sz w:val="21"/>
                      <w:szCs w:val="21"/>
                    </w:rPr>
                  </w:pPr>
                  <w:r>
                    <w:rPr>
                      <w:sz w:val="21"/>
                      <w:szCs w:val="21"/>
                    </w:rPr>
                    <w:t>建筑面积约</w:t>
                  </w:r>
                  <w:r>
                    <w:rPr>
                      <w:rFonts w:hint="eastAsia"/>
                      <w:sz w:val="21"/>
                      <w:szCs w:val="21"/>
                      <w:lang w:val="en-US" w:eastAsia="zh-CN"/>
                    </w:rPr>
                    <w:t>1900</w:t>
                  </w:r>
                  <w:r>
                    <w:rPr>
                      <w:sz w:val="21"/>
                      <w:szCs w:val="21"/>
                    </w:rPr>
                    <w:t>m</w:t>
                  </w:r>
                  <w:r>
                    <w:rPr>
                      <w:sz w:val="21"/>
                      <w:szCs w:val="21"/>
                      <w:vertAlign w:val="superscript"/>
                    </w:rPr>
                    <w:t>2</w:t>
                  </w:r>
                  <w:r>
                    <w:rPr>
                      <w:sz w:val="21"/>
                      <w:szCs w:val="21"/>
                    </w:rPr>
                    <w:t>，位于</w:t>
                  </w:r>
                  <w:r>
                    <w:rPr>
                      <w:rFonts w:hint="eastAsia"/>
                      <w:sz w:val="21"/>
                      <w:szCs w:val="21"/>
                      <w:lang w:val="en-US" w:eastAsia="zh-CN"/>
                    </w:rPr>
                    <w:t>3F</w:t>
                  </w:r>
                  <w:r>
                    <w:rPr>
                      <w:rFonts w:hint="eastAsia"/>
                      <w:sz w:val="21"/>
                      <w:szCs w:val="21"/>
                    </w:rPr>
                    <w:t>生产车间</w:t>
                  </w:r>
                  <w:r>
                    <w:rPr>
                      <w:rFonts w:hint="eastAsia"/>
                      <w:sz w:val="21"/>
                      <w:szCs w:val="21"/>
                      <w:lang w:val="en-US" w:eastAsia="zh-CN"/>
                    </w:rPr>
                    <w:t>西</w:t>
                  </w:r>
                  <w:r>
                    <w:rPr>
                      <w:rFonts w:hint="eastAsia"/>
                      <w:sz w:val="21"/>
                      <w:szCs w:val="21"/>
                    </w:rPr>
                    <w:t>侧</w:t>
                  </w:r>
                  <w:r>
                    <w:rPr>
                      <w:sz w:val="21"/>
                      <w:szCs w:val="21"/>
                    </w:rPr>
                    <w:t>，主要用于</w:t>
                  </w:r>
                  <w:r>
                    <w:rPr>
                      <w:rFonts w:hint="eastAsia"/>
                      <w:sz w:val="21"/>
                      <w:szCs w:val="21"/>
                    </w:rPr>
                    <w:t>员工的办公等</w:t>
                  </w:r>
                </w:p>
              </w:tc>
              <w:tc>
                <w:tcPr>
                  <w:tcW w:w="881" w:type="dxa"/>
                  <w:vAlign w:val="center"/>
                </w:tcPr>
                <w:p w14:paraId="05F47DD9">
                  <w:pPr>
                    <w:jc w:val="center"/>
                    <w:rPr>
                      <w:sz w:val="21"/>
                      <w:szCs w:val="21"/>
                    </w:rPr>
                  </w:pPr>
                  <w:r>
                    <w:rPr>
                      <w:sz w:val="21"/>
                      <w:szCs w:val="21"/>
                    </w:rPr>
                    <w:t>新建</w:t>
                  </w:r>
                </w:p>
              </w:tc>
            </w:tr>
            <w:tr w14:paraId="3ADE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restart"/>
                  <w:vAlign w:val="center"/>
                </w:tcPr>
                <w:p w14:paraId="0425E477">
                  <w:pPr>
                    <w:jc w:val="center"/>
                    <w:rPr>
                      <w:sz w:val="21"/>
                      <w:szCs w:val="21"/>
                      <w:highlight w:val="yellow"/>
                    </w:rPr>
                  </w:pPr>
                  <w:r>
                    <w:rPr>
                      <w:sz w:val="21"/>
                      <w:szCs w:val="21"/>
                    </w:rPr>
                    <w:t>储运工程</w:t>
                  </w:r>
                </w:p>
              </w:tc>
              <w:tc>
                <w:tcPr>
                  <w:tcW w:w="1554" w:type="dxa"/>
                  <w:vAlign w:val="center"/>
                </w:tcPr>
                <w:p w14:paraId="28366162">
                  <w:pPr>
                    <w:adjustRightInd w:val="0"/>
                    <w:snapToGrid w:val="0"/>
                    <w:jc w:val="center"/>
                    <w:rPr>
                      <w:sz w:val="21"/>
                      <w:szCs w:val="21"/>
                    </w:rPr>
                  </w:pPr>
                  <w:r>
                    <w:rPr>
                      <w:sz w:val="21"/>
                      <w:szCs w:val="21"/>
                    </w:rPr>
                    <w:t>成品区</w:t>
                  </w:r>
                </w:p>
              </w:tc>
              <w:tc>
                <w:tcPr>
                  <w:tcW w:w="4395" w:type="dxa"/>
                  <w:gridSpan w:val="2"/>
                  <w:vAlign w:val="center"/>
                </w:tcPr>
                <w:p w14:paraId="146EFFA7">
                  <w:pPr>
                    <w:adjustRightInd w:val="0"/>
                    <w:snapToGrid w:val="0"/>
                    <w:jc w:val="center"/>
                    <w:rPr>
                      <w:sz w:val="21"/>
                      <w:szCs w:val="21"/>
                    </w:rPr>
                  </w:pPr>
                  <w:r>
                    <w:rPr>
                      <w:sz w:val="21"/>
                      <w:szCs w:val="21"/>
                    </w:rPr>
                    <w:t>建筑面积约</w:t>
                  </w:r>
                  <w:r>
                    <w:rPr>
                      <w:rFonts w:hint="eastAsia"/>
                      <w:sz w:val="21"/>
                      <w:szCs w:val="21"/>
                      <w:lang w:val="en-US" w:eastAsia="zh-CN"/>
                    </w:rPr>
                    <w:t>832</w:t>
                  </w:r>
                  <w:r>
                    <w:rPr>
                      <w:sz w:val="21"/>
                      <w:szCs w:val="21"/>
                    </w:rPr>
                    <w:t>m</w:t>
                  </w:r>
                  <w:r>
                    <w:rPr>
                      <w:sz w:val="21"/>
                      <w:szCs w:val="21"/>
                      <w:vertAlign w:val="superscript"/>
                    </w:rPr>
                    <w:t>2</w:t>
                  </w:r>
                  <w:r>
                    <w:rPr>
                      <w:sz w:val="21"/>
                      <w:szCs w:val="21"/>
                    </w:rPr>
                    <w:t>，位于</w:t>
                  </w:r>
                  <w:r>
                    <w:rPr>
                      <w:rFonts w:hint="eastAsia"/>
                      <w:sz w:val="21"/>
                      <w:szCs w:val="21"/>
                      <w:lang w:val="en-US" w:eastAsia="zh-CN"/>
                    </w:rPr>
                    <w:t>1F生产车间</w:t>
                  </w:r>
                  <w:r>
                    <w:rPr>
                      <w:sz w:val="21"/>
                      <w:szCs w:val="21"/>
                    </w:rPr>
                    <w:t>内</w:t>
                  </w:r>
                  <w:r>
                    <w:rPr>
                      <w:rFonts w:hint="eastAsia"/>
                      <w:sz w:val="21"/>
                      <w:szCs w:val="21"/>
                      <w:lang w:val="en-US" w:eastAsia="zh-CN"/>
                    </w:rPr>
                    <w:t>东南</w:t>
                  </w:r>
                  <w:r>
                    <w:rPr>
                      <w:sz w:val="21"/>
                      <w:szCs w:val="21"/>
                    </w:rPr>
                    <w:t>侧，</w:t>
                  </w:r>
                  <w:r>
                    <w:rPr>
                      <w:rFonts w:hint="eastAsia"/>
                      <w:sz w:val="21"/>
                      <w:szCs w:val="21"/>
                      <w:lang w:val="en-US" w:eastAsia="zh-CN"/>
                    </w:rPr>
                    <w:t>2F生产车间</w:t>
                  </w:r>
                  <w:r>
                    <w:rPr>
                      <w:sz w:val="21"/>
                      <w:szCs w:val="21"/>
                    </w:rPr>
                    <w:t>内</w:t>
                  </w:r>
                  <w:r>
                    <w:rPr>
                      <w:rFonts w:hint="eastAsia"/>
                      <w:sz w:val="21"/>
                      <w:szCs w:val="21"/>
                      <w:lang w:val="en-US" w:eastAsia="zh-CN"/>
                    </w:rPr>
                    <w:t>西</w:t>
                  </w:r>
                  <w:r>
                    <w:rPr>
                      <w:sz w:val="21"/>
                      <w:szCs w:val="21"/>
                    </w:rPr>
                    <w:t>侧</w:t>
                  </w:r>
                  <w:r>
                    <w:rPr>
                      <w:rFonts w:hint="eastAsia"/>
                      <w:sz w:val="21"/>
                      <w:szCs w:val="21"/>
                      <w:lang w:eastAsia="zh-CN"/>
                    </w:rPr>
                    <w:t>，</w:t>
                  </w:r>
                  <w:r>
                    <w:rPr>
                      <w:rFonts w:hint="eastAsia"/>
                      <w:sz w:val="21"/>
                      <w:szCs w:val="21"/>
                      <w:lang w:val="en-US" w:eastAsia="zh-CN"/>
                    </w:rPr>
                    <w:t>3F生产车间</w:t>
                  </w:r>
                  <w:r>
                    <w:rPr>
                      <w:sz w:val="21"/>
                      <w:szCs w:val="21"/>
                    </w:rPr>
                    <w:t>内</w:t>
                  </w:r>
                  <w:r>
                    <w:rPr>
                      <w:rFonts w:hint="eastAsia"/>
                      <w:sz w:val="21"/>
                      <w:szCs w:val="21"/>
                      <w:lang w:val="en-US" w:eastAsia="zh-CN"/>
                    </w:rPr>
                    <w:t>东南</w:t>
                  </w:r>
                  <w:r>
                    <w:rPr>
                      <w:sz w:val="21"/>
                      <w:szCs w:val="21"/>
                    </w:rPr>
                    <w:t>侧主要用于存放成品</w:t>
                  </w:r>
                </w:p>
              </w:tc>
              <w:tc>
                <w:tcPr>
                  <w:tcW w:w="881" w:type="dxa"/>
                  <w:vMerge w:val="restart"/>
                  <w:vAlign w:val="center"/>
                </w:tcPr>
                <w:p w14:paraId="286A4E4E">
                  <w:pPr>
                    <w:jc w:val="center"/>
                    <w:rPr>
                      <w:sz w:val="21"/>
                      <w:szCs w:val="21"/>
                    </w:rPr>
                  </w:pPr>
                  <w:r>
                    <w:rPr>
                      <w:sz w:val="21"/>
                      <w:szCs w:val="21"/>
                    </w:rPr>
                    <w:t>新建</w:t>
                  </w:r>
                </w:p>
              </w:tc>
            </w:tr>
            <w:tr w14:paraId="7C5B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3F3541BB">
                  <w:pPr>
                    <w:jc w:val="center"/>
                    <w:rPr>
                      <w:sz w:val="21"/>
                      <w:szCs w:val="21"/>
                    </w:rPr>
                  </w:pPr>
                </w:p>
              </w:tc>
              <w:tc>
                <w:tcPr>
                  <w:tcW w:w="1554" w:type="dxa"/>
                  <w:vAlign w:val="center"/>
                </w:tcPr>
                <w:p w14:paraId="03E83A67">
                  <w:pPr>
                    <w:adjustRightInd w:val="0"/>
                    <w:snapToGrid w:val="0"/>
                    <w:jc w:val="center"/>
                    <w:rPr>
                      <w:bCs/>
                      <w:sz w:val="21"/>
                      <w:szCs w:val="21"/>
                    </w:rPr>
                  </w:pPr>
                  <w:r>
                    <w:rPr>
                      <w:rFonts w:hint="eastAsia"/>
                      <w:bCs/>
                      <w:sz w:val="21"/>
                      <w:szCs w:val="21"/>
                    </w:rPr>
                    <w:t>原料区</w:t>
                  </w:r>
                </w:p>
              </w:tc>
              <w:tc>
                <w:tcPr>
                  <w:tcW w:w="4395" w:type="dxa"/>
                  <w:gridSpan w:val="2"/>
                  <w:vAlign w:val="center"/>
                </w:tcPr>
                <w:p w14:paraId="4212687A">
                  <w:pPr>
                    <w:adjustRightInd w:val="0"/>
                    <w:snapToGrid w:val="0"/>
                    <w:jc w:val="center"/>
                    <w:rPr>
                      <w:sz w:val="21"/>
                      <w:szCs w:val="21"/>
                    </w:rPr>
                  </w:pPr>
                  <w:r>
                    <w:rPr>
                      <w:sz w:val="21"/>
                      <w:szCs w:val="21"/>
                    </w:rPr>
                    <w:t>建筑面积约</w:t>
                  </w:r>
                  <w:r>
                    <w:rPr>
                      <w:rFonts w:hint="eastAsia"/>
                      <w:sz w:val="21"/>
                      <w:szCs w:val="21"/>
                      <w:lang w:val="en-US" w:eastAsia="zh-CN"/>
                    </w:rPr>
                    <w:t>51</w:t>
                  </w:r>
                  <w:r>
                    <w:rPr>
                      <w:rFonts w:hint="eastAsia"/>
                      <w:sz w:val="21"/>
                      <w:szCs w:val="21"/>
                    </w:rPr>
                    <w:t>0</w:t>
                  </w:r>
                  <w:r>
                    <w:rPr>
                      <w:sz w:val="21"/>
                      <w:szCs w:val="21"/>
                    </w:rPr>
                    <w:t>m</w:t>
                  </w:r>
                  <w:r>
                    <w:rPr>
                      <w:sz w:val="21"/>
                      <w:szCs w:val="21"/>
                      <w:vertAlign w:val="superscript"/>
                    </w:rPr>
                    <w:t>2</w:t>
                  </w:r>
                  <w:r>
                    <w:rPr>
                      <w:sz w:val="21"/>
                      <w:szCs w:val="21"/>
                    </w:rPr>
                    <w:t>，位于</w:t>
                  </w:r>
                  <w:r>
                    <w:rPr>
                      <w:rFonts w:hint="eastAsia"/>
                      <w:sz w:val="21"/>
                      <w:szCs w:val="21"/>
                      <w:lang w:val="en-US" w:eastAsia="zh-CN"/>
                    </w:rPr>
                    <w:t>2F</w:t>
                  </w:r>
                  <w:r>
                    <w:rPr>
                      <w:rFonts w:hint="eastAsia"/>
                      <w:sz w:val="21"/>
                      <w:szCs w:val="21"/>
                    </w:rPr>
                    <w:t>生产车间内</w:t>
                  </w:r>
                  <w:r>
                    <w:rPr>
                      <w:rFonts w:hint="eastAsia"/>
                      <w:sz w:val="21"/>
                      <w:szCs w:val="21"/>
                      <w:lang w:val="en-US" w:eastAsia="zh-CN"/>
                    </w:rPr>
                    <w:t>东南</w:t>
                  </w:r>
                  <w:r>
                    <w:rPr>
                      <w:sz w:val="21"/>
                      <w:szCs w:val="21"/>
                    </w:rPr>
                    <w:t>侧，主要用于存放</w:t>
                  </w:r>
                  <w:r>
                    <w:rPr>
                      <w:rFonts w:hint="eastAsia"/>
                      <w:sz w:val="21"/>
                      <w:szCs w:val="21"/>
                    </w:rPr>
                    <w:t>原材料</w:t>
                  </w:r>
                </w:p>
              </w:tc>
              <w:tc>
                <w:tcPr>
                  <w:tcW w:w="881" w:type="dxa"/>
                  <w:vMerge w:val="continue"/>
                  <w:vAlign w:val="center"/>
                </w:tcPr>
                <w:p w14:paraId="3B24888A">
                  <w:pPr>
                    <w:jc w:val="center"/>
                    <w:rPr>
                      <w:sz w:val="21"/>
                      <w:szCs w:val="21"/>
                    </w:rPr>
                  </w:pPr>
                </w:p>
              </w:tc>
            </w:tr>
            <w:tr w14:paraId="579A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32F52B77">
                  <w:pPr>
                    <w:jc w:val="center"/>
                    <w:rPr>
                      <w:sz w:val="21"/>
                      <w:szCs w:val="21"/>
                    </w:rPr>
                  </w:pPr>
                </w:p>
              </w:tc>
              <w:tc>
                <w:tcPr>
                  <w:tcW w:w="1554" w:type="dxa"/>
                  <w:vAlign w:val="center"/>
                </w:tcPr>
                <w:p w14:paraId="4CF5314D">
                  <w:pPr>
                    <w:adjustRightInd w:val="0"/>
                    <w:snapToGrid w:val="0"/>
                    <w:jc w:val="center"/>
                    <w:rPr>
                      <w:bCs/>
                      <w:sz w:val="21"/>
                      <w:szCs w:val="21"/>
                    </w:rPr>
                  </w:pPr>
                  <w:r>
                    <w:rPr>
                      <w:rFonts w:hint="eastAsia"/>
                      <w:bCs/>
                      <w:sz w:val="21"/>
                      <w:szCs w:val="21"/>
                      <w:lang w:val="en-US" w:eastAsia="zh-CN"/>
                    </w:rPr>
                    <w:t>物料库</w:t>
                  </w:r>
                </w:p>
              </w:tc>
              <w:tc>
                <w:tcPr>
                  <w:tcW w:w="4395" w:type="dxa"/>
                  <w:gridSpan w:val="2"/>
                  <w:vAlign w:val="center"/>
                </w:tcPr>
                <w:p w14:paraId="53B22B3F">
                  <w:pPr>
                    <w:adjustRightInd w:val="0"/>
                    <w:snapToGrid w:val="0"/>
                    <w:jc w:val="center"/>
                    <w:rPr>
                      <w:rFonts w:hint="default" w:eastAsia="宋体"/>
                      <w:sz w:val="21"/>
                      <w:szCs w:val="21"/>
                      <w:lang w:val="en-US" w:eastAsia="zh-CN"/>
                    </w:rPr>
                  </w:pPr>
                  <w:r>
                    <w:rPr>
                      <w:sz w:val="21"/>
                      <w:szCs w:val="21"/>
                    </w:rPr>
                    <w:t>建筑面积约</w:t>
                  </w:r>
                  <w:r>
                    <w:rPr>
                      <w:rFonts w:hint="eastAsia"/>
                      <w:sz w:val="21"/>
                      <w:szCs w:val="21"/>
                      <w:lang w:val="en-US" w:eastAsia="zh-CN"/>
                    </w:rPr>
                    <w:t>450</w:t>
                  </w:r>
                  <w:r>
                    <w:rPr>
                      <w:sz w:val="21"/>
                      <w:szCs w:val="21"/>
                    </w:rPr>
                    <w:t>m</w:t>
                  </w:r>
                  <w:r>
                    <w:rPr>
                      <w:sz w:val="21"/>
                      <w:szCs w:val="21"/>
                      <w:vertAlign w:val="superscript"/>
                    </w:rPr>
                    <w:t>2</w:t>
                  </w:r>
                  <w:r>
                    <w:rPr>
                      <w:sz w:val="21"/>
                      <w:szCs w:val="21"/>
                    </w:rPr>
                    <w:t>，位于</w:t>
                  </w:r>
                  <w:r>
                    <w:rPr>
                      <w:rFonts w:hint="eastAsia"/>
                      <w:sz w:val="21"/>
                      <w:szCs w:val="21"/>
                      <w:lang w:val="en-US" w:eastAsia="zh-CN"/>
                    </w:rPr>
                    <w:t>2F</w:t>
                  </w:r>
                  <w:r>
                    <w:rPr>
                      <w:rFonts w:hint="eastAsia"/>
                      <w:sz w:val="21"/>
                      <w:szCs w:val="21"/>
                    </w:rPr>
                    <w:t>生产车间内</w:t>
                  </w:r>
                  <w:r>
                    <w:rPr>
                      <w:rFonts w:hint="eastAsia"/>
                      <w:sz w:val="21"/>
                      <w:szCs w:val="21"/>
                      <w:lang w:val="en-US" w:eastAsia="zh-CN"/>
                    </w:rPr>
                    <w:t>东北</w:t>
                  </w:r>
                  <w:r>
                    <w:rPr>
                      <w:sz w:val="21"/>
                      <w:szCs w:val="21"/>
                    </w:rPr>
                    <w:t>侧，主要用于存放</w:t>
                  </w:r>
                  <w:r>
                    <w:rPr>
                      <w:rFonts w:hint="eastAsia"/>
                      <w:sz w:val="21"/>
                      <w:szCs w:val="21"/>
                      <w:lang w:bidi="ar"/>
                    </w:rPr>
                    <w:t>丁</w:t>
                  </w:r>
                  <w:r>
                    <w:rPr>
                      <w:rFonts w:hint="eastAsia"/>
                      <w:sz w:val="21"/>
                      <w:szCs w:val="21"/>
                      <w:lang w:val="en-US" w:eastAsia="zh-CN" w:bidi="ar"/>
                    </w:rPr>
                    <w:t>彩盒、卷膜等</w:t>
                  </w:r>
                </w:p>
              </w:tc>
              <w:tc>
                <w:tcPr>
                  <w:tcW w:w="881" w:type="dxa"/>
                  <w:vAlign w:val="center"/>
                </w:tcPr>
                <w:p w14:paraId="3AAFFBE4">
                  <w:pPr>
                    <w:jc w:val="center"/>
                    <w:rPr>
                      <w:sz w:val="21"/>
                      <w:szCs w:val="21"/>
                    </w:rPr>
                  </w:pPr>
                  <w:r>
                    <w:rPr>
                      <w:sz w:val="21"/>
                      <w:szCs w:val="21"/>
                    </w:rPr>
                    <w:t>新建</w:t>
                  </w:r>
                </w:p>
              </w:tc>
            </w:tr>
            <w:tr w14:paraId="2530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restart"/>
                  <w:vAlign w:val="center"/>
                </w:tcPr>
                <w:p w14:paraId="04251F67">
                  <w:pPr>
                    <w:jc w:val="center"/>
                    <w:rPr>
                      <w:sz w:val="21"/>
                      <w:szCs w:val="21"/>
                    </w:rPr>
                  </w:pPr>
                  <w:r>
                    <w:rPr>
                      <w:sz w:val="21"/>
                      <w:szCs w:val="21"/>
                    </w:rPr>
                    <w:t>公用工程</w:t>
                  </w:r>
                </w:p>
              </w:tc>
              <w:tc>
                <w:tcPr>
                  <w:tcW w:w="1554" w:type="dxa"/>
                  <w:vAlign w:val="center"/>
                </w:tcPr>
                <w:p w14:paraId="65D8396F">
                  <w:pPr>
                    <w:jc w:val="center"/>
                    <w:rPr>
                      <w:sz w:val="21"/>
                      <w:szCs w:val="21"/>
                    </w:rPr>
                  </w:pPr>
                  <w:r>
                    <w:rPr>
                      <w:sz w:val="21"/>
                      <w:szCs w:val="21"/>
                    </w:rPr>
                    <w:t>供水</w:t>
                  </w:r>
                </w:p>
              </w:tc>
              <w:tc>
                <w:tcPr>
                  <w:tcW w:w="4395" w:type="dxa"/>
                  <w:gridSpan w:val="2"/>
                  <w:vAlign w:val="center"/>
                </w:tcPr>
                <w:p w14:paraId="6048A2C0">
                  <w:pPr>
                    <w:adjustRightInd w:val="0"/>
                    <w:snapToGrid w:val="0"/>
                    <w:jc w:val="center"/>
                    <w:rPr>
                      <w:sz w:val="21"/>
                      <w:szCs w:val="21"/>
                    </w:rPr>
                  </w:pPr>
                  <w:r>
                    <w:rPr>
                      <w:bCs/>
                      <w:sz w:val="21"/>
                      <w:szCs w:val="21"/>
                    </w:rPr>
                    <w:t>由开发区</w:t>
                  </w:r>
                  <w:r>
                    <w:rPr>
                      <w:sz w:val="21"/>
                      <w:szCs w:val="21"/>
                    </w:rPr>
                    <w:t>供</w:t>
                  </w:r>
                  <w:r>
                    <w:rPr>
                      <w:bCs/>
                      <w:sz w:val="21"/>
                      <w:szCs w:val="21"/>
                    </w:rPr>
                    <w:t>水管网接入厂内</w:t>
                  </w:r>
                  <w:r>
                    <w:rPr>
                      <w:rFonts w:hint="eastAsia"/>
                      <w:bCs/>
                      <w:sz w:val="21"/>
                      <w:szCs w:val="21"/>
                    </w:rPr>
                    <w:t>，</w:t>
                  </w:r>
                  <w:r>
                    <w:rPr>
                      <w:bCs/>
                      <w:sz w:val="21"/>
                      <w:szCs w:val="21"/>
                    </w:rPr>
                    <w:t>用水量为</w:t>
                  </w:r>
                  <w:r>
                    <w:rPr>
                      <w:rFonts w:hint="eastAsia"/>
                      <w:bCs/>
                      <w:sz w:val="21"/>
                      <w:szCs w:val="21"/>
                      <w:lang w:val="en-US" w:eastAsia="zh-CN"/>
                    </w:rPr>
                    <w:t>964.2</w:t>
                  </w:r>
                  <w:r>
                    <w:rPr>
                      <w:bCs/>
                      <w:sz w:val="21"/>
                      <w:szCs w:val="21"/>
                    </w:rPr>
                    <w:t>t/a</w:t>
                  </w:r>
                </w:p>
              </w:tc>
              <w:tc>
                <w:tcPr>
                  <w:tcW w:w="881" w:type="dxa"/>
                  <w:vAlign w:val="center"/>
                </w:tcPr>
                <w:p w14:paraId="156DF9B4">
                  <w:pPr>
                    <w:jc w:val="center"/>
                    <w:rPr>
                      <w:sz w:val="21"/>
                      <w:szCs w:val="21"/>
                    </w:rPr>
                  </w:pPr>
                  <w:r>
                    <w:rPr>
                      <w:sz w:val="21"/>
                      <w:szCs w:val="21"/>
                    </w:rPr>
                    <w:t>开发区自来水管网</w:t>
                  </w:r>
                </w:p>
              </w:tc>
            </w:tr>
            <w:tr w14:paraId="3535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6EB09268">
                  <w:pPr>
                    <w:jc w:val="center"/>
                    <w:rPr>
                      <w:sz w:val="21"/>
                      <w:szCs w:val="21"/>
                    </w:rPr>
                  </w:pPr>
                </w:p>
              </w:tc>
              <w:tc>
                <w:tcPr>
                  <w:tcW w:w="1554" w:type="dxa"/>
                  <w:vAlign w:val="center"/>
                </w:tcPr>
                <w:p w14:paraId="616E71B1">
                  <w:pPr>
                    <w:jc w:val="center"/>
                    <w:rPr>
                      <w:sz w:val="21"/>
                      <w:szCs w:val="21"/>
                    </w:rPr>
                  </w:pPr>
                  <w:r>
                    <w:rPr>
                      <w:sz w:val="21"/>
                      <w:szCs w:val="21"/>
                    </w:rPr>
                    <w:t>排水</w:t>
                  </w:r>
                </w:p>
              </w:tc>
              <w:tc>
                <w:tcPr>
                  <w:tcW w:w="4395" w:type="dxa"/>
                  <w:gridSpan w:val="2"/>
                  <w:vAlign w:val="center"/>
                </w:tcPr>
                <w:p w14:paraId="3E7BC79D">
                  <w:pPr>
                    <w:adjustRightInd w:val="0"/>
                    <w:snapToGrid w:val="0"/>
                    <w:jc w:val="center"/>
                    <w:rPr>
                      <w:sz w:val="21"/>
                      <w:szCs w:val="21"/>
                    </w:rPr>
                  </w:pPr>
                  <w:r>
                    <w:rPr>
                      <w:sz w:val="21"/>
                      <w:szCs w:val="21"/>
                    </w:rPr>
                    <w:t>项目采用雨污分流，雨水经雨水管网外排；生活污水</w:t>
                  </w:r>
                  <w:r>
                    <w:rPr>
                      <w:rFonts w:hint="eastAsia"/>
                      <w:sz w:val="21"/>
                      <w:szCs w:val="21"/>
                    </w:rPr>
                    <w:t>（</w:t>
                  </w:r>
                  <w:r>
                    <w:rPr>
                      <w:rFonts w:hint="eastAsia"/>
                      <w:sz w:val="21"/>
                      <w:szCs w:val="21"/>
                      <w:lang w:val="en-US" w:eastAsia="zh-CN"/>
                    </w:rPr>
                    <w:t>360</w:t>
                  </w:r>
                  <w:r>
                    <w:rPr>
                      <w:bCs/>
                      <w:sz w:val="21"/>
                      <w:szCs w:val="21"/>
                    </w:rPr>
                    <w:t>t/a</w:t>
                  </w:r>
                  <w:r>
                    <w:rPr>
                      <w:rFonts w:hint="eastAsia"/>
                      <w:sz w:val="21"/>
                      <w:szCs w:val="21"/>
                    </w:rPr>
                    <w:t>）</w:t>
                  </w:r>
                  <w:r>
                    <w:rPr>
                      <w:sz w:val="21"/>
                      <w:szCs w:val="21"/>
                    </w:rPr>
                    <w:t>经化粪池预处理后进入</w:t>
                  </w:r>
                  <w:r>
                    <w:rPr>
                      <w:rFonts w:hint="eastAsia"/>
                      <w:sz w:val="21"/>
                      <w:szCs w:val="21"/>
                    </w:rPr>
                    <w:t>汴北</w:t>
                  </w:r>
                  <w:r>
                    <w:rPr>
                      <w:sz w:val="21"/>
                      <w:szCs w:val="21"/>
                    </w:rPr>
                    <w:t>污水处理</w:t>
                  </w:r>
                  <w:r>
                    <w:rPr>
                      <w:rFonts w:hint="eastAsia"/>
                      <w:sz w:val="21"/>
                      <w:szCs w:val="21"/>
                    </w:rPr>
                    <w:t>厂</w:t>
                  </w:r>
                  <w:r>
                    <w:rPr>
                      <w:sz w:val="21"/>
                      <w:szCs w:val="21"/>
                    </w:rPr>
                    <w:t>进一步处理</w:t>
                  </w:r>
                  <w:r>
                    <w:rPr>
                      <w:rFonts w:hint="eastAsia"/>
                      <w:sz w:val="21"/>
                      <w:szCs w:val="21"/>
                    </w:rPr>
                    <w:t>，达标排放至运粮河</w:t>
                  </w:r>
                </w:p>
              </w:tc>
              <w:tc>
                <w:tcPr>
                  <w:tcW w:w="881" w:type="dxa"/>
                  <w:vAlign w:val="center"/>
                </w:tcPr>
                <w:p w14:paraId="4176993F">
                  <w:pPr>
                    <w:jc w:val="center"/>
                    <w:rPr>
                      <w:sz w:val="21"/>
                      <w:szCs w:val="21"/>
                    </w:rPr>
                  </w:pPr>
                  <w:r>
                    <w:rPr>
                      <w:rFonts w:hint="eastAsia"/>
                      <w:sz w:val="21"/>
                      <w:szCs w:val="21"/>
                    </w:rPr>
                    <w:t>新建</w:t>
                  </w:r>
                </w:p>
              </w:tc>
            </w:tr>
            <w:tr w14:paraId="6235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75ACBA29">
                  <w:pPr>
                    <w:jc w:val="center"/>
                    <w:rPr>
                      <w:sz w:val="21"/>
                      <w:szCs w:val="21"/>
                    </w:rPr>
                  </w:pPr>
                </w:p>
              </w:tc>
              <w:tc>
                <w:tcPr>
                  <w:tcW w:w="1554" w:type="dxa"/>
                  <w:vAlign w:val="center"/>
                </w:tcPr>
                <w:p w14:paraId="2906D568">
                  <w:pPr>
                    <w:jc w:val="center"/>
                    <w:rPr>
                      <w:sz w:val="21"/>
                      <w:szCs w:val="21"/>
                    </w:rPr>
                  </w:pPr>
                  <w:r>
                    <w:rPr>
                      <w:sz w:val="21"/>
                      <w:szCs w:val="21"/>
                    </w:rPr>
                    <w:t>供电</w:t>
                  </w:r>
                </w:p>
              </w:tc>
              <w:tc>
                <w:tcPr>
                  <w:tcW w:w="4395" w:type="dxa"/>
                  <w:gridSpan w:val="2"/>
                  <w:vAlign w:val="center"/>
                </w:tcPr>
                <w:p w14:paraId="642D27F1">
                  <w:pPr>
                    <w:adjustRightInd w:val="0"/>
                    <w:snapToGrid w:val="0"/>
                    <w:jc w:val="center"/>
                    <w:rPr>
                      <w:sz w:val="21"/>
                      <w:szCs w:val="21"/>
                    </w:rPr>
                  </w:pPr>
                  <w:r>
                    <w:rPr>
                      <w:rFonts w:hint="eastAsia"/>
                      <w:sz w:val="21"/>
                      <w:szCs w:val="21"/>
                    </w:rPr>
                    <w:t>开发区电网，用电量为20万kW·h/a</w:t>
                  </w:r>
                </w:p>
              </w:tc>
              <w:tc>
                <w:tcPr>
                  <w:tcW w:w="881" w:type="dxa"/>
                  <w:vAlign w:val="center"/>
                </w:tcPr>
                <w:p w14:paraId="7E535006">
                  <w:pPr>
                    <w:jc w:val="center"/>
                    <w:rPr>
                      <w:sz w:val="21"/>
                      <w:szCs w:val="21"/>
                    </w:rPr>
                  </w:pPr>
                  <w:r>
                    <w:rPr>
                      <w:sz w:val="21"/>
                      <w:szCs w:val="21"/>
                    </w:rPr>
                    <w:t>开发区供电电网</w:t>
                  </w:r>
                </w:p>
              </w:tc>
            </w:tr>
            <w:tr w14:paraId="6E9DF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restart"/>
                  <w:vAlign w:val="center"/>
                </w:tcPr>
                <w:p w14:paraId="3CDE06E7">
                  <w:pPr>
                    <w:jc w:val="center"/>
                    <w:rPr>
                      <w:sz w:val="21"/>
                      <w:szCs w:val="21"/>
                    </w:rPr>
                  </w:pPr>
                  <w:bookmarkStart w:id="3" w:name="OLE_LINK23" w:colFirst="0" w:colLast="0"/>
                  <w:r>
                    <w:rPr>
                      <w:sz w:val="21"/>
                      <w:szCs w:val="21"/>
                    </w:rPr>
                    <w:t>环保工程</w:t>
                  </w:r>
                </w:p>
              </w:tc>
              <w:tc>
                <w:tcPr>
                  <w:tcW w:w="1554" w:type="dxa"/>
                  <w:vAlign w:val="center"/>
                </w:tcPr>
                <w:p w14:paraId="6FE57567">
                  <w:pPr>
                    <w:jc w:val="center"/>
                    <w:rPr>
                      <w:sz w:val="21"/>
                      <w:szCs w:val="21"/>
                    </w:rPr>
                  </w:pPr>
                  <w:r>
                    <w:rPr>
                      <w:sz w:val="21"/>
                      <w:szCs w:val="21"/>
                    </w:rPr>
                    <w:t>废气处理</w:t>
                  </w:r>
                </w:p>
              </w:tc>
              <w:tc>
                <w:tcPr>
                  <w:tcW w:w="4395" w:type="dxa"/>
                  <w:gridSpan w:val="2"/>
                  <w:vAlign w:val="center"/>
                </w:tcPr>
                <w:p w14:paraId="6422EAD8">
                  <w:pPr>
                    <w:numPr>
                      <w:ilvl w:val="0"/>
                      <w:numId w:val="3"/>
                    </w:numPr>
                    <w:jc w:val="center"/>
                    <w:rPr>
                      <w:rFonts w:hint="default"/>
                      <w:sz w:val="21"/>
                      <w:szCs w:val="21"/>
                      <w:lang w:val="en-US" w:eastAsia="zh-CN"/>
                    </w:rPr>
                  </w:pPr>
                  <w:r>
                    <w:rPr>
                      <w:rFonts w:hint="eastAsia"/>
                      <w:color w:val="000000"/>
                      <w:kern w:val="0"/>
                      <w:sz w:val="21"/>
                      <w:szCs w:val="21"/>
                      <w:lang w:val="en-US" w:eastAsia="zh-CN"/>
                    </w:rPr>
                    <w:t>脱包、筛分工序产生的颗粒物较少，采用无组织排放；</w:t>
                  </w:r>
                </w:p>
                <w:p w14:paraId="3C4E09FB">
                  <w:pPr>
                    <w:numPr>
                      <w:ilvl w:val="0"/>
                      <w:numId w:val="0"/>
                    </w:numPr>
                    <w:jc w:val="center"/>
                    <w:rPr>
                      <w:rFonts w:hint="default"/>
                      <w:lang w:val="en-US" w:eastAsia="zh-CN"/>
                    </w:rPr>
                  </w:pPr>
                  <w:r>
                    <w:rPr>
                      <w:rFonts w:hint="eastAsia"/>
                      <w:color w:val="000000"/>
                      <w:kern w:val="0"/>
                      <w:sz w:val="21"/>
                      <w:szCs w:val="21"/>
                      <w:lang w:val="en-US" w:eastAsia="zh-CN"/>
                    </w:rPr>
                    <w:t>（2）装盒、封盒工序产生的非甲烷总烃量较少，采用无组织排放；</w:t>
                  </w:r>
                </w:p>
              </w:tc>
              <w:tc>
                <w:tcPr>
                  <w:tcW w:w="881" w:type="dxa"/>
                  <w:vAlign w:val="center"/>
                </w:tcPr>
                <w:p w14:paraId="1312F20B">
                  <w:pPr>
                    <w:jc w:val="center"/>
                    <w:rPr>
                      <w:sz w:val="21"/>
                      <w:szCs w:val="21"/>
                    </w:rPr>
                  </w:pPr>
                  <w:r>
                    <w:rPr>
                      <w:sz w:val="21"/>
                      <w:szCs w:val="21"/>
                    </w:rPr>
                    <w:t>新建</w:t>
                  </w:r>
                </w:p>
              </w:tc>
            </w:tr>
            <w:tr w14:paraId="5DC2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218A2C49">
                  <w:pPr>
                    <w:jc w:val="center"/>
                    <w:rPr>
                      <w:sz w:val="21"/>
                      <w:szCs w:val="21"/>
                    </w:rPr>
                  </w:pPr>
                </w:p>
              </w:tc>
              <w:tc>
                <w:tcPr>
                  <w:tcW w:w="1554" w:type="dxa"/>
                  <w:vAlign w:val="center"/>
                </w:tcPr>
                <w:p w14:paraId="3EBE71B5">
                  <w:pPr>
                    <w:jc w:val="center"/>
                    <w:rPr>
                      <w:sz w:val="21"/>
                      <w:szCs w:val="21"/>
                    </w:rPr>
                  </w:pPr>
                  <w:r>
                    <w:rPr>
                      <w:sz w:val="21"/>
                      <w:szCs w:val="21"/>
                    </w:rPr>
                    <w:t>废水处理</w:t>
                  </w:r>
                </w:p>
              </w:tc>
              <w:tc>
                <w:tcPr>
                  <w:tcW w:w="4395" w:type="dxa"/>
                  <w:gridSpan w:val="2"/>
                  <w:vAlign w:val="center"/>
                </w:tcPr>
                <w:p w14:paraId="7DA14180">
                  <w:pPr>
                    <w:jc w:val="center"/>
                    <w:rPr>
                      <w:sz w:val="21"/>
                      <w:szCs w:val="21"/>
                    </w:rPr>
                  </w:pPr>
                  <w:r>
                    <w:rPr>
                      <w:sz w:val="21"/>
                      <w:szCs w:val="21"/>
                    </w:rPr>
                    <w:t>生活污水</w:t>
                  </w:r>
                  <w:r>
                    <w:rPr>
                      <w:rFonts w:hint="eastAsia"/>
                      <w:sz w:val="21"/>
                      <w:szCs w:val="21"/>
                    </w:rPr>
                    <w:t>（</w:t>
                  </w:r>
                  <w:r>
                    <w:rPr>
                      <w:rFonts w:hint="eastAsia"/>
                      <w:sz w:val="21"/>
                      <w:szCs w:val="21"/>
                      <w:lang w:val="en-US" w:eastAsia="zh-CN"/>
                    </w:rPr>
                    <w:t>360</w:t>
                  </w:r>
                  <w:r>
                    <w:rPr>
                      <w:bCs/>
                      <w:sz w:val="21"/>
                      <w:szCs w:val="21"/>
                    </w:rPr>
                    <w:t>t/a</w:t>
                  </w:r>
                  <w:r>
                    <w:rPr>
                      <w:rFonts w:hint="eastAsia"/>
                      <w:sz w:val="21"/>
                      <w:szCs w:val="21"/>
                    </w:rPr>
                    <w:t>）</w:t>
                  </w:r>
                  <w:r>
                    <w:rPr>
                      <w:sz w:val="21"/>
                      <w:szCs w:val="21"/>
                    </w:rPr>
                    <w:t>经化粪池预处理后进入</w:t>
                  </w:r>
                  <w:r>
                    <w:rPr>
                      <w:rFonts w:hint="eastAsia"/>
                      <w:sz w:val="21"/>
                      <w:szCs w:val="21"/>
                    </w:rPr>
                    <w:t>汴北</w:t>
                  </w:r>
                  <w:r>
                    <w:rPr>
                      <w:sz w:val="21"/>
                      <w:szCs w:val="21"/>
                    </w:rPr>
                    <w:t>污水处理</w:t>
                  </w:r>
                  <w:r>
                    <w:rPr>
                      <w:rFonts w:hint="eastAsia"/>
                      <w:sz w:val="21"/>
                      <w:szCs w:val="21"/>
                    </w:rPr>
                    <w:t>厂</w:t>
                  </w:r>
                  <w:r>
                    <w:rPr>
                      <w:sz w:val="21"/>
                      <w:szCs w:val="21"/>
                    </w:rPr>
                    <w:t>进一步处理</w:t>
                  </w:r>
                  <w:r>
                    <w:rPr>
                      <w:rFonts w:hint="eastAsia"/>
                      <w:sz w:val="21"/>
                      <w:szCs w:val="21"/>
                    </w:rPr>
                    <w:t>，达标排放至运粮河</w:t>
                  </w:r>
                </w:p>
              </w:tc>
              <w:tc>
                <w:tcPr>
                  <w:tcW w:w="881" w:type="dxa"/>
                  <w:vAlign w:val="center"/>
                </w:tcPr>
                <w:p w14:paraId="1D567C16">
                  <w:pPr>
                    <w:jc w:val="center"/>
                    <w:rPr>
                      <w:sz w:val="21"/>
                      <w:szCs w:val="21"/>
                    </w:rPr>
                  </w:pPr>
                  <w:r>
                    <w:rPr>
                      <w:sz w:val="21"/>
                      <w:szCs w:val="21"/>
                    </w:rPr>
                    <w:t>新建</w:t>
                  </w:r>
                </w:p>
              </w:tc>
            </w:tr>
            <w:tr w14:paraId="16C7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3F5890E6">
                  <w:pPr>
                    <w:jc w:val="center"/>
                    <w:rPr>
                      <w:sz w:val="21"/>
                      <w:szCs w:val="21"/>
                    </w:rPr>
                  </w:pPr>
                </w:p>
              </w:tc>
              <w:tc>
                <w:tcPr>
                  <w:tcW w:w="1554" w:type="dxa"/>
                  <w:vAlign w:val="center"/>
                </w:tcPr>
                <w:p w14:paraId="51E18DCC">
                  <w:pPr>
                    <w:jc w:val="center"/>
                    <w:rPr>
                      <w:sz w:val="21"/>
                      <w:szCs w:val="21"/>
                    </w:rPr>
                  </w:pPr>
                  <w:r>
                    <w:rPr>
                      <w:sz w:val="21"/>
                      <w:szCs w:val="21"/>
                    </w:rPr>
                    <w:t>地下水防渗</w:t>
                  </w:r>
                </w:p>
              </w:tc>
              <w:tc>
                <w:tcPr>
                  <w:tcW w:w="4395" w:type="dxa"/>
                  <w:gridSpan w:val="2"/>
                  <w:vAlign w:val="center"/>
                </w:tcPr>
                <w:p w14:paraId="2219240E">
                  <w:pPr>
                    <w:keepNext w:val="0"/>
                    <w:keepLines w:val="0"/>
                    <w:pageBreakBefore w:val="0"/>
                    <w:widowControl w:val="0"/>
                    <w:kinsoku/>
                    <w:wordWrap/>
                    <w:overflowPunct/>
                    <w:topLinePunct w:val="0"/>
                    <w:autoSpaceDE/>
                    <w:autoSpaceDN/>
                    <w:bidi w:val="0"/>
                    <w:spacing w:line="240" w:lineRule="auto"/>
                    <w:jc w:val="both"/>
                    <w:textAlignment w:val="auto"/>
                    <w:outlineLvl w:val="0"/>
                    <w:rPr>
                      <w:rFonts w:hint="eastAsia" w:eastAsia="宋体"/>
                      <w:color w:val="auto"/>
                      <w:sz w:val="21"/>
                      <w:szCs w:val="21"/>
                      <w:highlight w:val="none"/>
                      <w:lang w:eastAsia="zh-CN"/>
                    </w:rPr>
                  </w:pPr>
                  <w:r>
                    <w:rPr>
                      <w:rFonts w:hint="eastAsia" w:eastAsia="宋体"/>
                      <w:color w:val="auto"/>
                      <w:sz w:val="21"/>
                      <w:szCs w:val="21"/>
                      <w:highlight w:val="none"/>
                      <w:lang w:val="en-US" w:eastAsia="zh-CN"/>
                    </w:rPr>
                    <w:t>1、</w:t>
                  </w:r>
                  <w:r>
                    <w:rPr>
                      <w:rFonts w:hint="eastAsia" w:eastAsia="宋体"/>
                      <w:color w:val="auto"/>
                      <w:sz w:val="21"/>
                      <w:szCs w:val="21"/>
                      <w:highlight w:val="none"/>
                      <w:lang w:eastAsia="zh-CN"/>
                    </w:rPr>
                    <w:t>生产车间、</w:t>
                  </w:r>
                  <w:r>
                    <w:rPr>
                      <w:rFonts w:hint="eastAsia" w:eastAsia="宋体"/>
                      <w:color w:val="auto"/>
                      <w:sz w:val="21"/>
                      <w:szCs w:val="21"/>
                      <w:highlight w:val="none"/>
                      <w:lang w:val="en-US" w:eastAsia="zh-CN"/>
                    </w:rPr>
                    <w:t>一般固废暂存间</w:t>
                  </w:r>
                  <w:r>
                    <w:rPr>
                      <w:rFonts w:hint="eastAsia"/>
                      <w:color w:val="auto"/>
                      <w:sz w:val="21"/>
                      <w:szCs w:val="21"/>
                      <w:highlight w:val="none"/>
                      <w:lang w:val="en-US" w:eastAsia="zh-CN"/>
                    </w:rPr>
                    <w:t>一般防渗</w:t>
                  </w:r>
                  <w:r>
                    <w:rPr>
                      <w:rFonts w:hint="eastAsia" w:eastAsia="宋体"/>
                      <w:color w:val="auto"/>
                      <w:sz w:val="21"/>
                      <w:szCs w:val="21"/>
                      <w:highlight w:val="none"/>
                      <w:lang w:val="en-US" w:eastAsia="zh-CN"/>
                    </w:rPr>
                    <w:t>：</w:t>
                  </w:r>
                  <w:r>
                    <w:rPr>
                      <w:rFonts w:hint="eastAsia" w:eastAsia="宋体"/>
                      <w:color w:val="auto"/>
                      <w:sz w:val="21"/>
                      <w:szCs w:val="21"/>
                      <w:highlight w:val="none"/>
                      <w:lang w:eastAsia="zh-CN"/>
                    </w:rPr>
                    <w:t>等效黏土防水层Mb≥1.5m，K≤1.0×10</w:t>
                  </w:r>
                  <w:r>
                    <w:rPr>
                      <w:rFonts w:hint="eastAsia" w:eastAsia="宋体"/>
                      <w:color w:val="auto"/>
                      <w:sz w:val="21"/>
                      <w:szCs w:val="21"/>
                      <w:highlight w:val="none"/>
                      <w:vertAlign w:val="superscript"/>
                      <w:lang w:eastAsia="zh-CN"/>
                    </w:rPr>
                    <w:t>-7</w:t>
                  </w:r>
                  <w:r>
                    <w:rPr>
                      <w:rFonts w:hint="eastAsia" w:eastAsia="宋体"/>
                      <w:color w:val="auto"/>
                      <w:sz w:val="21"/>
                      <w:szCs w:val="21"/>
                      <w:highlight w:val="none"/>
                      <w:lang w:eastAsia="zh-CN"/>
                    </w:rPr>
                    <w:t>cm/s；或参照GB 1</w:t>
                  </w:r>
                  <w:r>
                    <w:rPr>
                      <w:rFonts w:hint="eastAsia" w:eastAsia="宋体"/>
                      <w:color w:val="auto"/>
                      <w:sz w:val="21"/>
                      <w:szCs w:val="21"/>
                      <w:highlight w:val="none"/>
                      <w:lang w:val="en-US" w:eastAsia="zh-CN"/>
                    </w:rPr>
                    <w:t>6889</w:t>
                  </w:r>
                  <w:r>
                    <w:rPr>
                      <w:rFonts w:hint="eastAsia" w:eastAsia="宋体"/>
                      <w:color w:val="auto"/>
                      <w:sz w:val="21"/>
                      <w:szCs w:val="21"/>
                      <w:highlight w:val="none"/>
                      <w:lang w:eastAsia="zh-CN"/>
                    </w:rPr>
                    <w:t>执行；</w:t>
                  </w:r>
                </w:p>
                <w:p w14:paraId="0DBCAA22">
                  <w:pPr>
                    <w:jc w:val="left"/>
                    <w:rPr>
                      <w:sz w:val="21"/>
                      <w:szCs w:val="21"/>
                    </w:rPr>
                  </w:pPr>
                  <w:r>
                    <w:rPr>
                      <w:rFonts w:hint="eastAsia" w:eastAsia="宋体"/>
                      <w:color w:val="auto"/>
                      <w:sz w:val="21"/>
                      <w:szCs w:val="21"/>
                      <w:highlight w:val="none"/>
                      <w:lang w:val="en-US" w:eastAsia="zh-CN"/>
                    </w:rPr>
                    <w:t>2、办公区域</w:t>
                  </w:r>
                  <w:r>
                    <w:rPr>
                      <w:rFonts w:hint="eastAsia"/>
                      <w:color w:val="auto"/>
                      <w:sz w:val="21"/>
                      <w:szCs w:val="21"/>
                      <w:highlight w:val="none"/>
                      <w:lang w:val="en-US" w:eastAsia="zh-CN"/>
                    </w:rPr>
                    <w:t>简单防渗</w:t>
                  </w:r>
                  <w:r>
                    <w:rPr>
                      <w:rFonts w:hint="eastAsia" w:eastAsia="宋体"/>
                      <w:color w:val="auto"/>
                      <w:sz w:val="21"/>
                      <w:szCs w:val="21"/>
                      <w:highlight w:val="none"/>
                      <w:lang w:val="en-US" w:eastAsia="zh-CN"/>
                    </w:rPr>
                    <w:t>：一般地面硬化。</w:t>
                  </w:r>
                </w:p>
              </w:tc>
              <w:tc>
                <w:tcPr>
                  <w:tcW w:w="881" w:type="dxa"/>
                  <w:vAlign w:val="center"/>
                </w:tcPr>
                <w:p w14:paraId="166D6102">
                  <w:pPr>
                    <w:jc w:val="center"/>
                    <w:rPr>
                      <w:sz w:val="21"/>
                      <w:szCs w:val="21"/>
                    </w:rPr>
                  </w:pPr>
                  <w:r>
                    <w:rPr>
                      <w:sz w:val="21"/>
                      <w:szCs w:val="21"/>
                    </w:rPr>
                    <w:t>新建</w:t>
                  </w:r>
                </w:p>
              </w:tc>
            </w:tr>
            <w:tr w14:paraId="1EF5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5A0DAA8E">
                  <w:pPr>
                    <w:jc w:val="center"/>
                    <w:rPr>
                      <w:sz w:val="21"/>
                      <w:szCs w:val="21"/>
                    </w:rPr>
                  </w:pPr>
                </w:p>
              </w:tc>
              <w:tc>
                <w:tcPr>
                  <w:tcW w:w="1554" w:type="dxa"/>
                  <w:vAlign w:val="center"/>
                </w:tcPr>
                <w:p w14:paraId="2D74DA72">
                  <w:pPr>
                    <w:jc w:val="center"/>
                    <w:rPr>
                      <w:sz w:val="21"/>
                      <w:szCs w:val="21"/>
                    </w:rPr>
                  </w:pPr>
                  <w:r>
                    <w:rPr>
                      <w:sz w:val="21"/>
                      <w:szCs w:val="21"/>
                    </w:rPr>
                    <w:t>噪声处理</w:t>
                  </w:r>
                </w:p>
              </w:tc>
              <w:tc>
                <w:tcPr>
                  <w:tcW w:w="4395" w:type="dxa"/>
                  <w:gridSpan w:val="2"/>
                  <w:vAlign w:val="center"/>
                </w:tcPr>
                <w:p w14:paraId="5DE733F4">
                  <w:pPr>
                    <w:jc w:val="center"/>
                    <w:rPr>
                      <w:sz w:val="21"/>
                      <w:szCs w:val="21"/>
                    </w:rPr>
                  </w:pPr>
                  <w:r>
                    <w:rPr>
                      <w:sz w:val="21"/>
                      <w:szCs w:val="21"/>
                    </w:rPr>
                    <w:t>设备均设置在室内，合理布局；选用低噪声设备，并安装减振垫。</w:t>
                  </w:r>
                </w:p>
              </w:tc>
              <w:tc>
                <w:tcPr>
                  <w:tcW w:w="881" w:type="dxa"/>
                  <w:vAlign w:val="center"/>
                </w:tcPr>
                <w:p w14:paraId="4FBEB53C">
                  <w:pPr>
                    <w:jc w:val="center"/>
                    <w:rPr>
                      <w:sz w:val="21"/>
                      <w:szCs w:val="21"/>
                    </w:rPr>
                  </w:pPr>
                  <w:r>
                    <w:rPr>
                      <w:sz w:val="21"/>
                      <w:szCs w:val="21"/>
                    </w:rPr>
                    <w:t>新建</w:t>
                  </w:r>
                </w:p>
              </w:tc>
            </w:tr>
            <w:tr w14:paraId="3147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1D93DB55">
                  <w:pPr>
                    <w:jc w:val="center"/>
                    <w:rPr>
                      <w:sz w:val="21"/>
                      <w:szCs w:val="21"/>
                    </w:rPr>
                  </w:pPr>
                </w:p>
              </w:tc>
              <w:tc>
                <w:tcPr>
                  <w:tcW w:w="1554" w:type="dxa"/>
                  <w:vMerge w:val="restart"/>
                  <w:vAlign w:val="center"/>
                </w:tcPr>
                <w:p w14:paraId="3D799E41">
                  <w:pPr>
                    <w:jc w:val="center"/>
                    <w:rPr>
                      <w:sz w:val="21"/>
                      <w:szCs w:val="21"/>
                    </w:rPr>
                  </w:pPr>
                  <w:r>
                    <w:rPr>
                      <w:sz w:val="21"/>
                      <w:szCs w:val="21"/>
                    </w:rPr>
                    <w:t>固废处理</w:t>
                  </w:r>
                </w:p>
              </w:tc>
              <w:tc>
                <w:tcPr>
                  <w:tcW w:w="4395" w:type="dxa"/>
                  <w:gridSpan w:val="2"/>
                  <w:vAlign w:val="center"/>
                </w:tcPr>
                <w:p w14:paraId="475826A4">
                  <w:pPr>
                    <w:jc w:val="center"/>
                    <w:rPr>
                      <w:sz w:val="21"/>
                      <w:szCs w:val="21"/>
                    </w:rPr>
                  </w:pPr>
                  <w:r>
                    <w:rPr>
                      <w:sz w:val="21"/>
                      <w:szCs w:val="21"/>
                    </w:rPr>
                    <w:t>一般固废间</w:t>
                  </w:r>
                  <w:r>
                    <w:rPr>
                      <w:bCs/>
                      <w:sz w:val="21"/>
                      <w:szCs w:val="21"/>
                    </w:rPr>
                    <w:t>位于</w:t>
                  </w:r>
                  <w:r>
                    <w:rPr>
                      <w:rFonts w:hint="eastAsia"/>
                      <w:bCs/>
                      <w:sz w:val="21"/>
                      <w:szCs w:val="21"/>
                    </w:rPr>
                    <w:t>生产车间内</w:t>
                  </w:r>
                  <w:r>
                    <w:rPr>
                      <w:rFonts w:hint="eastAsia"/>
                      <w:bCs/>
                      <w:sz w:val="21"/>
                      <w:szCs w:val="21"/>
                      <w:lang w:val="en-US" w:eastAsia="zh-CN"/>
                    </w:rPr>
                    <w:t>西</w:t>
                  </w:r>
                  <w:r>
                    <w:rPr>
                      <w:rFonts w:hint="eastAsia"/>
                      <w:bCs/>
                      <w:sz w:val="21"/>
                      <w:szCs w:val="21"/>
                    </w:rPr>
                    <w:t>南</w:t>
                  </w:r>
                  <w:r>
                    <w:rPr>
                      <w:sz w:val="21"/>
                      <w:szCs w:val="21"/>
                    </w:rPr>
                    <w:t>侧</w:t>
                  </w:r>
                  <w:r>
                    <w:rPr>
                      <w:bCs/>
                      <w:sz w:val="21"/>
                      <w:szCs w:val="21"/>
                    </w:rPr>
                    <w:t>，建筑面积约</w:t>
                  </w:r>
                  <w:r>
                    <w:rPr>
                      <w:rFonts w:hint="eastAsia"/>
                      <w:bCs/>
                      <w:sz w:val="21"/>
                      <w:szCs w:val="21"/>
                    </w:rPr>
                    <w:t>15</w:t>
                  </w:r>
                  <w:r>
                    <w:rPr>
                      <w:bCs/>
                      <w:sz w:val="21"/>
                      <w:szCs w:val="21"/>
                    </w:rPr>
                    <w:t>m</w:t>
                  </w:r>
                  <w:r>
                    <w:rPr>
                      <w:bCs/>
                      <w:sz w:val="21"/>
                      <w:szCs w:val="21"/>
                      <w:vertAlign w:val="superscript"/>
                    </w:rPr>
                    <w:t>2</w:t>
                  </w:r>
                </w:p>
              </w:tc>
              <w:tc>
                <w:tcPr>
                  <w:tcW w:w="881" w:type="dxa"/>
                  <w:vMerge w:val="restart"/>
                  <w:vAlign w:val="center"/>
                </w:tcPr>
                <w:p w14:paraId="2F705C90">
                  <w:pPr>
                    <w:jc w:val="center"/>
                    <w:rPr>
                      <w:sz w:val="21"/>
                      <w:szCs w:val="21"/>
                    </w:rPr>
                  </w:pPr>
                  <w:r>
                    <w:rPr>
                      <w:sz w:val="21"/>
                      <w:szCs w:val="21"/>
                    </w:rPr>
                    <w:t>新建</w:t>
                  </w:r>
                </w:p>
              </w:tc>
            </w:tr>
            <w:tr w14:paraId="022E9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5D89B9D8">
                  <w:pPr>
                    <w:spacing w:line="276" w:lineRule="auto"/>
                    <w:jc w:val="center"/>
                    <w:rPr>
                      <w:sz w:val="21"/>
                      <w:szCs w:val="21"/>
                    </w:rPr>
                  </w:pPr>
                </w:p>
              </w:tc>
              <w:tc>
                <w:tcPr>
                  <w:tcW w:w="1554" w:type="dxa"/>
                  <w:vMerge w:val="continue"/>
                  <w:vAlign w:val="center"/>
                </w:tcPr>
                <w:p w14:paraId="50816D03">
                  <w:pPr>
                    <w:spacing w:line="276" w:lineRule="auto"/>
                    <w:jc w:val="center"/>
                    <w:rPr>
                      <w:sz w:val="21"/>
                      <w:szCs w:val="21"/>
                    </w:rPr>
                  </w:pPr>
                </w:p>
              </w:tc>
              <w:tc>
                <w:tcPr>
                  <w:tcW w:w="4395" w:type="dxa"/>
                  <w:gridSpan w:val="2"/>
                  <w:vAlign w:val="center"/>
                </w:tcPr>
                <w:p w14:paraId="2B12DCB4">
                  <w:pPr>
                    <w:spacing w:line="276" w:lineRule="auto"/>
                    <w:jc w:val="center"/>
                    <w:rPr>
                      <w:sz w:val="21"/>
                      <w:szCs w:val="21"/>
                    </w:rPr>
                  </w:pPr>
                  <w:r>
                    <w:rPr>
                      <w:sz w:val="21"/>
                      <w:szCs w:val="21"/>
                    </w:rPr>
                    <w:t>生活垃圾：定点设置垃圾桶</w:t>
                  </w:r>
                </w:p>
              </w:tc>
              <w:tc>
                <w:tcPr>
                  <w:tcW w:w="881" w:type="dxa"/>
                  <w:vMerge w:val="continue"/>
                  <w:vAlign w:val="center"/>
                </w:tcPr>
                <w:p w14:paraId="10B91634">
                  <w:pPr>
                    <w:spacing w:line="276" w:lineRule="auto"/>
                    <w:jc w:val="center"/>
                    <w:rPr>
                      <w:sz w:val="21"/>
                      <w:szCs w:val="21"/>
                    </w:rPr>
                  </w:pPr>
                </w:p>
              </w:tc>
            </w:tr>
            <w:tr w14:paraId="200F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05" w:type="dxa"/>
                  <w:vMerge w:val="continue"/>
                  <w:vAlign w:val="center"/>
                </w:tcPr>
                <w:p w14:paraId="291EDA0A">
                  <w:pPr>
                    <w:spacing w:line="276" w:lineRule="auto"/>
                    <w:jc w:val="center"/>
                    <w:rPr>
                      <w:sz w:val="21"/>
                      <w:szCs w:val="21"/>
                    </w:rPr>
                  </w:pPr>
                </w:p>
              </w:tc>
              <w:tc>
                <w:tcPr>
                  <w:tcW w:w="1554" w:type="dxa"/>
                  <w:vAlign w:val="center"/>
                </w:tcPr>
                <w:p w14:paraId="1E1E8129">
                  <w:pPr>
                    <w:jc w:val="center"/>
                    <w:rPr>
                      <w:sz w:val="21"/>
                      <w:szCs w:val="21"/>
                    </w:rPr>
                  </w:pPr>
                  <w:r>
                    <w:rPr>
                      <w:sz w:val="21"/>
                      <w:szCs w:val="21"/>
                    </w:rPr>
                    <w:t>风险</w:t>
                  </w:r>
                </w:p>
              </w:tc>
              <w:tc>
                <w:tcPr>
                  <w:tcW w:w="4395" w:type="dxa"/>
                  <w:gridSpan w:val="2"/>
                  <w:vAlign w:val="center"/>
                </w:tcPr>
                <w:p w14:paraId="37472FB3">
                  <w:pPr>
                    <w:jc w:val="center"/>
                    <w:rPr>
                      <w:sz w:val="21"/>
                      <w:szCs w:val="21"/>
                    </w:rPr>
                  </w:pPr>
                  <w:r>
                    <w:rPr>
                      <w:rFonts w:hint="eastAsia"/>
                      <w:color w:val="000000"/>
                      <w:sz w:val="21"/>
                      <w:szCs w:val="21"/>
                    </w:rPr>
                    <w:t>原辅料按相关要求贮存，明确贮存注意事项并要求专人负责看管</w:t>
                  </w:r>
                  <w:r>
                    <w:rPr>
                      <w:color w:val="000000"/>
                      <w:sz w:val="21"/>
                      <w:szCs w:val="21"/>
                    </w:rPr>
                    <w:t>。定期对生产设施、包装设施以及相应环保设施等进行安全状况检查，车间内配置相应的消防设备、设施、防毒、灭火物资等消防、安全设施；制定严格的运行操作规章制度，发生火灾、爆炸事故后，灭火的同时疏散周边无关人员</w:t>
                  </w:r>
                </w:p>
              </w:tc>
              <w:tc>
                <w:tcPr>
                  <w:tcW w:w="881" w:type="dxa"/>
                  <w:vMerge w:val="continue"/>
                  <w:vAlign w:val="center"/>
                </w:tcPr>
                <w:p w14:paraId="6E8B0D2C">
                  <w:pPr>
                    <w:spacing w:line="276" w:lineRule="auto"/>
                    <w:jc w:val="center"/>
                    <w:rPr>
                      <w:sz w:val="21"/>
                      <w:szCs w:val="21"/>
                    </w:rPr>
                  </w:pPr>
                </w:p>
              </w:tc>
            </w:tr>
            <w:bookmarkEnd w:id="3"/>
          </w:tbl>
          <w:p w14:paraId="5BA31EA6">
            <w:pPr>
              <w:adjustRightInd w:val="0"/>
              <w:snapToGrid w:val="0"/>
              <w:spacing w:before="120" w:beforeLines="50" w:line="360" w:lineRule="auto"/>
              <w:rPr>
                <w:b/>
                <w:bCs/>
                <w:kern w:val="0"/>
              </w:rPr>
            </w:pPr>
            <w:r>
              <w:rPr>
                <w:rFonts w:hint="eastAsia"/>
                <w:b/>
                <w:bCs/>
                <w:kern w:val="0"/>
              </w:rPr>
              <w:t>2、</w:t>
            </w:r>
            <w:r>
              <w:rPr>
                <w:b/>
                <w:bCs/>
                <w:kern w:val="0"/>
              </w:rPr>
              <w:t>产品方案</w:t>
            </w:r>
            <w:r>
              <w:rPr>
                <w:rFonts w:hint="eastAsia"/>
                <w:b/>
                <w:bCs/>
                <w:kern w:val="0"/>
              </w:rPr>
              <w:t>、</w:t>
            </w:r>
            <w:r>
              <w:rPr>
                <w:b/>
              </w:rPr>
              <w:t>生产规模及产品规格</w:t>
            </w:r>
          </w:p>
          <w:p w14:paraId="7E68A97D">
            <w:pPr>
              <w:autoSpaceDE w:val="0"/>
              <w:autoSpaceDN w:val="0"/>
              <w:adjustRightInd w:val="0"/>
              <w:spacing w:line="360" w:lineRule="auto"/>
              <w:ind w:firstLine="480"/>
              <w:rPr>
                <w:b/>
              </w:rPr>
            </w:pPr>
            <w:r>
              <w:t>本项目建成后</w:t>
            </w:r>
            <w:r>
              <w:rPr>
                <w:rFonts w:hint="eastAsia"/>
              </w:rPr>
              <w:t>产品主要为</w:t>
            </w:r>
            <w:r>
              <w:rPr>
                <w:rFonts w:hint="eastAsia"/>
                <w:lang w:val="en-US" w:eastAsia="zh-CN"/>
              </w:rPr>
              <w:t>益生菌固体饮料、蛋白棒、凝胶</w:t>
            </w:r>
            <w:r>
              <w:t>。本项目产品主要具体见下表</w:t>
            </w:r>
            <w:r>
              <w:rPr>
                <w:bCs/>
              </w:rPr>
              <w:t>。</w:t>
            </w:r>
          </w:p>
          <w:p w14:paraId="35DFF665">
            <w:pPr>
              <w:pStyle w:val="72"/>
              <w:spacing w:before="0" w:beforeAutospacing="0" w:after="0" w:afterAutospacing="0"/>
              <w:jc w:val="center"/>
              <w:rPr>
                <w:b/>
              </w:rPr>
            </w:pPr>
            <w:r>
              <w:rPr>
                <w:b/>
              </w:rPr>
              <w:t>表</w:t>
            </w:r>
            <w:r>
              <w:rPr>
                <w:rFonts w:ascii="Times New Roman" w:hAnsi="Times New Roman" w:cs="Times New Roman"/>
                <w:b/>
              </w:rPr>
              <w:t>2</w:t>
            </w:r>
            <w:r>
              <w:rPr>
                <w:rFonts w:hint="eastAsia" w:ascii="Times New Roman" w:hAnsi="Times New Roman" w:cs="Times New Roman"/>
                <w:b/>
              </w:rPr>
              <w:t>.2</w:t>
            </w:r>
            <w:r>
              <w:rPr>
                <w:b/>
              </w:rPr>
              <w:t xml:space="preserve">  项目产品方案</w:t>
            </w:r>
            <w:r>
              <w:rPr>
                <w:rFonts w:hint="eastAsia"/>
                <w:b/>
              </w:rPr>
              <w:t>及规格</w:t>
            </w:r>
            <w:r>
              <w:rPr>
                <w:b/>
              </w:rPr>
              <w:t>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2553"/>
              <w:gridCol w:w="3008"/>
              <w:gridCol w:w="1562"/>
            </w:tblGrid>
            <w:tr w14:paraId="3BC9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14:paraId="37E54C1E">
                  <w:pPr>
                    <w:keepNext w:val="0"/>
                    <w:keepLines w:val="0"/>
                    <w:pageBreakBefore w:val="0"/>
                    <w:widowControl w:val="0"/>
                    <w:kinsoku/>
                    <w:wordWrap/>
                    <w:overflowPunct/>
                    <w:topLinePunct w:val="0"/>
                    <w:autoSpaceDE/>
                    <w:autoSpaceDN/>
                    <w:bidi w:val="0"/>
                    <w:spacing w:line="240" w:lineRule="auto"/>
                    <w:jc w:val="center"/>
                    <w:textAlignment w:val="auto"/>
                    <w:rPr>
                      <w:b/>
                      <w:bCs/>
                      <w:sz w:val="21"/>
                      <w:szCs w:val="21"/>
                    </w:rPr>
                  </w:pPr>
                  <w:r>
                    <w:rPr>
                      <w:b/>
                      <w:bCs/>
                      <w:sz w:val="21"/>
                      <w:szCs w:val="21"/>
                    </w:rPr>
                    <w:t>序号</w:t>
                  </w:r>
                </w:p>
              </w:tc>
              <w:tc>
                <w:tcPr>
                  <w:tcW w:w="2553" w:type="dxa"/>
                  <w:vAlign w:val="center"/>
                </w:tcPr>
                <w:p w14:paraId="4210F645">
                  <w:pPr>
                    <w:pStyle w:val="74"/>
                    <w:keepNext w:val="0"/>
                    <w:keepLines w:val="0"/>
                    <w:pageBreakBefore w:val="0"/>
                    <w:widowControl w:val="0"/>
                    <w:kinsoku/>
                    <w:wordWrap/>
                    <w:overflowPunct/>
                    <w:topLinePunct w:val="0"/>
                    <w:autoSpaceDE/>
                    <w:autoSpaceDN/>
                    <w:bidi w:val="0"/>
                    <w:spacing w:line="240" w:lineRule="auto"/>
                    <w:textAlignment w:val="auto"/>
                    <w:rPr>
                      <w:b/>
                      <w:bCs/>
                      <w:sz w:val="21"/>
                    </w:rPr>
                  </w:pPr>
                  <w:r>
                    <w:rPr>
                      <w:b/>
                      <w:bCs/>
                      <w:sz w:val="21"/>
                    </w:rPr>
                    <w:t>产品名称</w:t>
                  </w:r>
                </w:p>
              </w:tc>
              <w:tc>
                <w:tcPr>
                  <w:tcW w:w="3008" w:type="dxa"/>
                  <w:vAlign w:val="center"/>
                </w:tcPr>
                <w:p w14:paraId="1B6E74E9">
                  <w:pPr>
                    <w:pStyle w:val="74"/>
                    <w:keepNext w:val="0"/>
                    <w:keepLines w:val="0"/>
                    <w:pageBreakBefore w:val="0"/>
                    <w:widowControl w:val="0"/>
                    <w:kinsoku/>
                    <w:wordWrap/>
                    <w:overflowPunct/>
                    <w:topLinePunct w:val="0"/>
                    <w:autoSpaceDE/>
                    <w:autoSpaceDN/>
                    <w:bidi w:val="0"/>
                    <w:spacing w:line="240" w:lineRule="auto"/>
                    <w:textAlignment w:val="auto"/>
                    <w:rPr>
                      <w:b/>
                      <w:bCs/>
                      <w:sz w:val="21"/>
                    </w:rPr>
                  </w:pPr>
                  <w:r>
                    <w:rPr>
                      <w:rFonts w:hint="eastAsia"/>
                      <w:b/>
                      <w:bCs/>
                      <w:sz w:val="21"/>
                    </w:rPr>
                    <w:t>单位</w:t>
                  </w:r>
                </w:p>
              </w:tc>
              <w:tc>
                <w:tcPr>
                  <w:tcW w:w="1562" w:type="dxa"/>
                  <w:vAlign w:val="center"/>
                </w:tcPr>
                <w:p w14:paraId="405323CE">
                  <w:pPr>
                    <w:pStyle w:val="74"/>
                    <w:keepNext w:val="0"/>
                    <w:keepLines w:val="0"/>
                    <w:pageBreakBefore w:val="0"/>
                    <w:widowControl w:val="0"/>
                    <w:kinsoku/>
                    <w:wordWrap/>
                    <w:overflowPunct/>
                    <w:topLinePunct w:val="0"/>
                    <w:autoSpaceDE/>
                    <w:autoSpaceDN/>
                    <w:bidi w:val="0"/>
                    <w:spacing w:line="240" w:lineRule="auto"/>
                    <w:textAlignment w:val="auto"/>
                    <w:rPr>
                      <w:b/>
                      <w:bCs/>
                      <w:sz w:val="21"/>
                    </w:rPr>
                  </w:pPr>
                  <w:r>
                    <w:rPr>
                      <w:rFonts w:hint="eastAsia"/>
                      <w:b/>
                      <w:bCs/>
                      <w:sz w:val="21"/>
                    </w:rPr>
                    <w:t>产能</w:t>
                  </w:r>
                </w:p>
              </w:tc>
            </w:tr>
            <w:tr w14:paraId="360F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14:paraId="115E5297">
                  <w:pPr>
                    <w:keepNext w:val="0"/>
                    <w:keepLines w:val="0"/>
                    <w:pageBreakBefore w:val="0"/>
                    <w:widowControl w:val="0"/>
                    <w:kinsoku/>
                    <w:wordWrap/>
                    <w:overflowPunct/>
                    <w:topLinePunct w:val="0"/>
                    <w:autoSpaceDE/>
                    <w:autoSpaceDN/>
                    <w:bidi w:val="0"/>
                    <w:spacing w:line="240" w:lineRule="auto"/>
                    <w:jc w:val="center"/>
                    <w:textAlignment w:val="auto"/>
                    <w:rPr>
                      <w:sz w:val="21"/>
                      <w:szCs w:val="21"/>
                    </w:rPr>
                  </w:pPr>
                  <w:r>
                    <w:rPr>
                      <w:sz w:val="21"/>
                      <w:szCs w:val="21"/>
                    </w:rPr>
                    <w:t>1</w:t>
                  </w:r>
                </w:p>
              </w:tc>
              <w:tc>
                <w:tcPr>
                  <w:tcW w:w="2553" w:type="dxa"/>
                  <w:vAlign w:val="center"/>
                </w:tcPr>
                <w:p w14:paraId="7C48F2F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heme="minorEastAsia" w:hAnsiTheme="minorEastAsia" w:eastAsiaTheme="minorEastAsia" w:cstheme="minorEastAsia"/>
                      <w:sz w:val="21"/>
                      <w:szCs w:val="21"/>
                    </w:rPr>
                  </w:pPr>
                  <w:r>
                    <w:rPr>
                      <w:rFonts w:hint="eastAsia" w:ascii="Times New Roman" w:hAnsi="Times New Roman" w:eastAsia="宋体" w:cs="Times New Roman"/>
                      <w:kern w:val="2"/>
                      <w:sz w:val="21"/>
                      <w:szCs w:val="21"/>
                      <w:lang w:eastAsia="zh"/>
                      <w:woUserID w:val="2"/>
                    </w:rPr>
                    <w:t>固体饮料益生菌</w:t>
                  </w:r>
                </w:p>
              </w:tc>
              <w:tc>
                <w:tcPr>
                  <w:tcW w:w="3008" w:type="dxa"/>
                  <w:vAlign w:val="center"/>
                </w:tcPr>
                <w:p w14:paraId="2E7372D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sz w:val="21"/>
                      <w:szCs w:val="21"/>
                    </w:rPr>
                  </w:pPr>
                  <w:r>
                    <w:rPr>
                      <w:rFonts w:hint="eastAsia" w:ascii="宋体" w:hAnsi="宋体" w:eastAsia="宋体" w:cs="宋体"/>
                      <w:kern w:val="2"/>
                      <w:sz w:val="21"/>
                      <w:szCs w:val="21"/>
                      <w:lang w:val="en-US" w:eastAsia="zh-CN" w:bidi="ar"/>
                      <w:woUserID w:val="2"/>
                    </w:rPr>
                    <w:t>吨</w:t>
                  </w:r>
                </w:p>
              </w:tc>
              <w:tc>
                <w:tcPr>
                  <w:tcW w:w="1562" w:type="dxa"/>
                  <w:vAlign w:val="center"/>
                </w:tcPr>
                <w:p w14:paraId="6A12CFC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sz w:val="21"/>
                      <w:szCs w:val="21"/>
                    </w:rPr>
                  </w:pPr>
                  <w:r>
                    <w:rPr>
                      <w:rFonts w:hint="eastAsia" w:ascii="Times New Roman" w:hAnsi="Times New Roman" w:eastAsia="宋体" w:cs="Times New Roman"/>
                      <w:kern w:val="2"/>
                      <w:sz w:val="21"/>
                      <w:szCs w:val="21"/>
                      <w:lang w:val="en-US" w:eastAsia="zh" w:bidi="ar"/>
                      <w:woUserID w:val="2"/>
                    </w:rPr>
                    <w:t>8</w:t>
                  </w:r>
                  <w:r>
                    <w:rPr>
                      <w:rFonts w:hint="default" w:ascii="Times New Roman" w:hAnsi="Times New Roman" w:eastAsia="宋体" w:cs="Times New Roman"/>
                      <w:kern w:val="2"/>
                      <w:sz w:val="21"/>
                      <w:szCs w:val="21"/>
                      <w:lang w:val="en-US" w:eastAsia="zh-CN" w:bidi="ar"/>
                      <w:woUserID w:val="2"/>
                    </w:rPr>
                    <w:t>00</w:t>
                  </w:r>
                </w:p>
              </w:tc>
            </w:tr>
            <w:tr w14:paraId="5602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14:paraId="08B317D8">
                  <w:pPr>
                    <w:keepNext w:val="0"/>
                    <w:keepLines w:val="0"/>
                    <w:pageBreakBefore w:val="0"/>
                    <w:widowControl w:val="0"/>
                    <w:kinsoku/>
                    <w:wordWrap/>
                    <w:overflowPunct/>
                    <w:topLinePunct w:val="0"/>
                    <w:autoSpaceDE/>
                    <w:autoSpaceDN/>
                    <w:bidi w:val="0"/>
                    <w:spacing w:line="240" w:lineRule="auto"/>
                    <w:jc w:val="center"/>
                    <w:textAlignment w:val="auto"/>
                    <w:rPr>
                      <w:sz w:val="21"/>
                      <w:szCs w:val="21"/>
                    </w:rPr>
                  </w:pPr>
                  <w:r>
                    <w:rPr>
                      <w:rFonts w:hint="eastAsia"/>
                      <w:sz w:val="21"/>
                      <w:szCs w:val="21"/>
                    </w:rPr>
                    <w:t>2</w:t>
                  </w:r>
                </w:p>
              </w:tc>
              <w:tc>
                <w:tcPr>
                  <w:tcW w:w="2553" w:type="dxa"/>
                  <w:vAlign w:val="center"/>
                </w:tcPr>
                <w:p w14:paraId="47E8618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heme="minorEastAsia" w:hAnsiTheme="minorEastAsia" w:eastAsiaTheme="minorEastAsia" w:cstheme="minorEastAsia"/>
                      <w:sz w:val="21"/>
                      <w:szCs w:val="21"/>
                    </w:rPr>
                  </w:pPr>
                  <w:r>
                    <w:rPr>
                      <w:rFonts w:hint="eastAsia" w:ascii="Times New Roman" w:hAnsi="Times New Roman" w:eastAsia="宋体" w:cs="Times New Roman"/>
                      <w:kern w:val="2"/>
                      <w:sz w:val="21"/>
                      <w:szCs w:val="21"/>
                      <w:lang w:eastAsia="zh"/>
                      <w:woUserID w:val="2"/>
                    </w:rPr>
                    <w:t>蛋白棒</w:t>
                  </w:r>
                </w:p>
              </w:tc>
              <w:tc>
                <w:tcPr>
                  <w:tcW w:w="3008" w:type="dxa"/>
                  <w:vAlign w:val="center"/>
                </w:tcPr>
                <w:p w14:paraId="3ADD290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sz w:val="21"/>
                      <w:szCs w:val="21"/>
                    </w:rPr>
                  </w:pPr>
                  <w:r>
                    <w:rPr>
                      <w:rFonts w:hint="eastAsia" w:ascii="宋体" w:hAnsi="宋体" w:eastAsia="宋体" w:cs="宋体"/>
                      <w:kern w:val="2"/>
                      <w:sz w:val="21"/>
                      <w:szCs w:val="21"/>
                      <w:lang w:val="en-US" w:eastAsia="zh-CN" w:bidi="ar"/>
                      <w:woUserID w:val="2"/>
                    </w:rPr>
                    <w:t>吨</w:t>
                  </w:r>
                </w:p>
              </w:tc>
              <w:tc>
                <w:tcPr>
                  <w:tcW w:w="1562" w:type="dxa"/>
                  <w:vAlign w:val="center"/>
                </w:tcPr>
                <w:p w14:paraId="4D279BB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sz w:val="21"/>
                      <w:szCs w:val="21"/>
                    </w:rPr>
                  </w:pPr>
                  <w:r>
                    <w:rPr>
                      <w:rFonts w:hint="eastAsia" w:ascii="Times New Roman" w:hAnsi="Times New Roman" w:eastAsia="宋体" w:cs="Times New Roman"/>
                      <w:kern w:val="2"/>
                      <w:sz w:val="21"/>
                      <w:szCs w:val="21"/>
                      <w:lang w:eastAsia="zh"/>
                      <w:woUserID w:val="2"/>
                    </w:rPr>
                    <w:t>1500</w:t>
                  </w:r>
                </w:p>
              </w:tc>
            </w:tr>
            <w:tr w14:paraId="0D9A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dxa"/>
                  <w:vAlign w:val="center"/>
                </w:tcPr>
                <w:p w14:paraId="422F08C3">
                  <w:pPr>
                    <w:keepNext w:val="0"/>
                    <w:keepLines w:val="0"/>
                    <w:pageBreakBefore w:val="0"/>
                    <w:widowControl w:val="0"/>
                    <w:kinsoku/>
                    <w:wordWrap/>
                    <w:overflowPunct/>
                    <w:topLinePunct w:val="0"/>
                    <w:autoSpaceDE/>
                    <w:autoSpaceDN/>
                    <w:bidi w:val="0"/>
                    <w:spacing w:line="240" w:lineRule="auto"/>
                    <w:jc w:val="center"/>
                    <w:textAlignment w:val="auto"/>
                    <w:rPr>
                      <w:sz w:val="21"/>
                      <w:szCs w:val="21"/>
                    </w:rPr>
                  </w:pPr>
                  <w:r>
                    <w:rPr>
                      <w:rFonts w:hint="eastAsia"/>
                      <w:sz w:val="21"/>
                      <w:szCs w:val="21"/>
                    </w:rPr>
                    <w:t>3</w:t>
                  </w:r>
                </w:p>
              </w:tc>
              <w:tc>
                <w:tcPr>
                  <w:tcW w:w="2553" w:type="dxa"/>
                  <w:vAlign w:val="center"/>
                </w:tcPr>
                <w:p w14:paraId="1BC95DC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asciiTheme="minorEastAsia" w:hAnsiTheme="minorEastAsia" w:cstheme="minorEastAsia"/>
                      <w:sz w:val="21"/>
                      <w:szCs w:val="21"/>
                    </w:rPr>
                  </w:pPr>
                  <w:r>
                    <w:rPr>
                      <w:rFonts w:hint="eastAsia" w:ascii="Times New Roman" w:hAnsi="Times New Roman" w:eastAsia="宋体" w:cs="Times New Roman"/>
                      <w:kern w:val="2"/>
                      <w:sz w:val="21"/>
                      <w:szCs w:val="21"/>
                      <w:lang w:eastAsia="zh"/>
                      <w:woUserID w:val="2"/>
                    </w:rPr>
                    <w:t>凝胶</w:t>
                  </w:r>
                </w:p>
              </w:tc>
              <w:tc>
                <w:tcPr>
                  <w:tcW w:w="3008" w:type="dxa"/>
                  <w:vAlign w:val="center"/>
                </w:tcPr>
                <w:p w14:paraId="5E95552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sz w:val="21"/>
                      <w:szCs w:val="21"/>
                    </w:rPr>
                  </w:pPr>
                  <w:r>
                    <w:rPr>
                      <w:rFonts w:hint="eastAsia" w:ascii="宋体" w:hAnsi="宋体" w:eastAsia="宋体" w:cs="宋体"/>
                      <w:kern w:val="2"/>
                      <w:sz w:val="21"/>
                      <w:szCs w:val="21"/>
                      <w:lang w:val="en-US" w:eastAsia="zh-CN" w:bidi="ar"/>
                      <w:woUserID w:val="2"/>
                    </w:rPr>
                    <w:t>吨</w:t>
                  </w:r>
                </w:p>
              </w:tc>
              <w:tc>
                <w:tcPr>
                  <w:tcW w:w="1562" w:type="dxa"/>
                  <w:vAlign w:val="center"/>
                </w:tcPr>
                <w:p w14:paraId="23F1C4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sz w:val="21"/>
                      <w:szCs w:val="21"/>
                    </w:rPr>
                  </w:pPr>
                  <w:r>
                    <w:rPr>
                      <w:rFonts w:hint="eastAsia" w:ascii="Times New Roman" w:hAnsi="Times New Roman" w:eastAsia="宋体" w:cs="Times New Roman"/>
                      <w:kern w:val="2"/>
                      <w:sz w:val="21"/>
                      <w:szCs w:val="21"/>
                      <w:lang w:eastAsia="zh"/>
                      <w:woUserID w:val="2"/>
                    </w:rPr>
                    <w:t>450</w:t>
                  </w:r>
                </w:p>
              </w:tc>
            </w:tr>
          </w:tbl>
          <w:p w14:paraId="705BDA2C">
            <w:pPr>
              <w:autoSpaceDE w:val="0"/>
              <w:autoSpaceDN w:val="0"/>
              <w:adjustRightInd w:val="0"/>
              <w:snapToGrid w:val="0"/>
              <w:spacing w:before="120" w:beforeLines="50" w:line="360" w:lineRule="auto"/>
            </w:pPr>
            <w:r>
              <w:rPr>
                <w:rFonts w:hint="eastAsia"/>
                <w:b/>
                <w:bCs/>
                <w:kern w:val="0"/>
              </w:rPr>
              <w:t>3、</w:t>
            </w:r>
            <w:r>
              <w:rPr>
                <w:b/>
                <w:bCs/>
                <w:kern w:val="0"/>
              </w:rPr>
              <w:t>主要设备</w:t>
            </w:r>
          </w:p>
          <w:p w14:paraId="2A545973">
            <w:pPr>
              <w:autoSpaceDE w:val="0"/>
              <w:autoSpaceDN w:val="0"/>
              <w:adjustRightInd w:val="0"/>
              <w:spacing w:line="360" w:lineRule="auto"/>
              <w:ind w:firstLine="480" w:firstLineChars="200"/>
              <w:rPr>
                <w:b/>
              </w:rPr>
            </w:pPr>
            <w:r>
              <w:rPr>
                <w:rFonts w:hint="eastAsia"/>
                <w:kern w:val="0"/>
              </w:rPr>
              <w:t>项目主要从事</w:t>
            </w:r>
            <w:r>
              <w:rPr>
                <w:rFonts w:hint="eastAsia"/>
                <w:lang w:val="en-US" w:eastAsia="zh-CN"/>
              </w:rPr>
              <w:t>益生菌固体饮料、蛋白棒、凝胶</w:t>
            </w:r>
            <w:r>
              <w:rPr>
                <w:rFonts w:hint="eastAsia"/>
                <w:kern w:val="0"/>
              </w:rPr>
              <w:t>的生产，项目生产过程用到的主要生产设备</w:t>
            </w:r>
            <w:r>
              <w:rPr>
                <w:kern w:val="0"/>
              </w:rPr>
              <w:t>见下表所示</w:t>
            </w:r>
            <w:r>
              <w:rPr>
                <w:rFonts w:hint="eastAsia"/>
                <w:kern w:val="0"/>
              </w:rPr>
              <w:t>：</w:t>
            </w:r>
          </w:p>
          <w:p w14:paraId="35A3E32E">
            <w:pPr>
              <w:pStyle w:val="9"/>
              <w:adjustRightInd w:val="0"/>
              <w:snapToGrid w:val="0"/>
              <w:spacing w:before="0" w:line="240" w:lineRule="auto"/>
              <w:rPr>
                <w:rFonts w:eastAsia="宋体"/>
                <w:b/>
                <w:szCs w:val="24"/>
              </w:rPr>
            </w:pPr>
            <w:r>
              <w:rPr>
                <w:rFonts w:eastAsia="宋体"/>
                <w:b/>
                <w:szCs w:val="24"/>
              </w:rPr>
              <w:t>表</w:t>
            </w:r>
            <w:r>
              <w:rPr>
                <w:rFonts w:hint="eastAsia" w:eastAsia="宋体"/>
                <w:b/>
                <w:szCs w:val="24"/>
              </w:rPr>
              <w:t>2.3</w:t>
            </w:r>
            <w:r>
              <w:rPr>
                <w:rFonts w:eastAsia="宋体"/>
                <w:b/>
                <w:szCs w:val="24"/>
              </w:rPr>
              <w:t xml:space="preserve">  建设项目主要生产设备一览表</w:t>
            </w:r>
          </w:p>
          <w:tbl>
            <w:tblPr>
              <w:tblStyle w:val="28"/>
              <w:tblpPr w:leftFromText="180" w:rightFromText="180" w:vertAnchor="text" w:tblpXSpec="center" w:tblpY="1"/>
              <w:tblOverlap w:val="never"/>
              <w:tblW w:w="80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89"/>
              <w:gridCol w:w="1215"/>
              <w:gridCol w:w="1950"/>
              <w:gridCol w:w="2085"/>
              <w:gridCol w:w="1376"/>
            </w:tblGrid>
            <w:tr w14:paraId="1BB9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tcMar>
                    <w:top w:w="15" w:type="dxa"/>
                    <w:left w:w="15" w:type="dxa"/>
                    <w:bottom w:w="0" w:type="dxa"/>
                    <w:right w:w="15" w:type="dxa"/>
                  </w:tcMar>
                  <w:vAlign w:val="center"/>
                </w:tcPr>
                <w:p w14:paraId="6DA5EEB1">
                  <w:pPr>
                    <w:adjustRightInd w:val="0"/>
                    <w:snapToGrid w:val="0"/>
                    <w:jc w:val="center"/>
                    <w:rPr>
                      <w:b/>
                      <w:bCs/>
                      <w:sz w:val="21"/>
                      <w:szCs w:val="21"/>
                    </w:rPr>
                  </w:pPr>
                  <w:r>
                    <w:rPr>
                      <w:b/>
                      <w:bCs/>
                      <w:sz w:val="21"/>
                      <w:szCs w:val="21"/>
                    </w:rPr>
                    <w:t>主要生产单元</w:t>
                  </w:r>
                </w:p>
              </w:tc>
              <w:tc>
                <w:tcPr>
                  <w:tcW w:w="1215" w:type="dxa"/>
                  <w:tcMar>
                    <w:top w:w="15" w:type="dxa"/>
                    <w:left w:w="15" w:type="dxa"/>
                    <w:bottom w:w="0" w:type="dxa"/>
                    <w:right w:w="15" w:type="dxa"/>
                  </w:tcMar>
                  <w:vAlign w:val="center"/>
                </w:tcPr>
                <w:p w14:paraId="2A68D5D2">
                  <w:pPr>
                    <w:adjustRightInd w:val="0"/>
                    <w:snapToGrid w:val="0"/>
                    <w:jc w:val="center"/>
                    <w:rPr>
                      <w:b/>
                      <w:bCs/>
                      <w:sz w:val="21"/>
                      <w:szCs w:val="21"/>
                    </w:rPr>
                  </w:pPr>
                  <w:r>
                    <w:rPr>
                      <w:b/>
                      <w:bCs/>
                      <w:sz w:val="21"/>
                      <w:szCs w:val="21"/>
                    </w:rPr>
                    <w:t>主要工艺</w:t>
                  </w:r>
                </w:p>
              </w:tc>
              <w:tc>
                <w:tcPr>
                  <w:tcW w:w="1950" w:type="dxa"/>
                  <w:tcMar>
                    <w:top w:w="15" w:type="dxa"/>
                    <w:left w:w="15" w:type="dxa"/>
                    <w:bottom w:w="0" w:type="dxa"/>
                    <w:right w:w="15" w:type="dxa"/>
                  </w:tcMar>
                  <w:vAlign w:val="center"/>
                </w:tcPr>
                <w:p w14:paraId="12F3832A">
                  <w:pPr>
                    <w:adjustRightInd w:val="0"/>
                    <w:snapToGrid w:val="0"/>
                    <w:jc w:val="center"/>
                    <w:rPr>
                      <w:b/>
                      <w:bCs/>
                      <w:sz w:val="21"/>
                      <w:szCs w:val="21"/>
                    </w:rPr>
                  </w:pPr>
                  <w:r>
                    <w:rPr>
                      <w:b/>
                      <w:bCs/>
                      <w:sz w:val="21"/>
                      <w:szCs w:val="21"/>
                    </w:rPr>
                    <w:t>设备名称</w:t>
                  </w:r>
                </w:p>
              </w:tc>
              <w:tc>
                <w:tcPr>
                  <w:tcW w:w="2085" w:type="dxa"/>
                  <w:tcMar>
                    <w:top w:w="15" w:type="dxa"/>
                    <w:left w:w="15" w:type="dxa"/>
                    <w:bottom w:w="0" w:type="dxa"/>
                    <w:right w:w="15" w:type="dxa"/>
                  </w:tcMar>
                  <w:vAlign w:val="center"/>
                </w:tcPr>
                <w:p w14:paraId="1A927713">
                  <w:pPr>
                    <w:adjustRightInd w:val="0"/>
                    <w:snapToGrid w:val="0"/>
                    <w:jc w:val="center"/>
                    <w:rPr>
                      <w:b/>
                      <w:bCs/>
                      <w:sz w:val="21"/>
                      <w:szCs w:val="21"/>
                    </w:rPr>
                  </w:pPr>
                  <w:r>
                    <w:rPr>
                      <w:rFonts w:hint="eastAsia"/>
                      <w:b/>
                      <w:bCs/>
                      <w:sz w:val="21"/>
                      <w:szCs w:val="21"/>
                    </w:rPr>
                    <w:t>规格/型号</w:t>
                  </w:r>
                </w:p>
              </w:tc>
              <w:tc>
                <w:tcPr>
                  <w:tcW w:w="1376" w:type="dxa"/>
                  <w:tcMar>
                    <w:top w:w="15" w:type="dxa"/>
                    <w:left w:w="15" w:type="dxa"/>
                    <w:bottom w:w="0" w:type="dxa"/>
                    <w:right w:w="15" w:type="dxa"/>
                  </w:tcMar>
                  <w:vAlign w:val="center"/>
                </w:tcPr>
                <w:p w14:paraId="4AE895EA">
                  <w:pPr>
                    <w:adjustRightInd w:val="0"/>
                    <w:snapToGrid w:val="0"/>
                    <w:jc w:val="center"/>
                    <w:rPr>
                      <w:rFonts w:hint="eastAsia" w:eastAsia="宋体"/>
                      <w:b/>
                      <w:bCs/>
                      <w:sz w:val="21"/>
                      <w:szCs w:val="21"/>
                      <w:lang w:val="en-US" w:eastAsia="zh-CN"/>
                    </w:rPr>
                  </w:pPr>
                  <w:r>
                    <w:rPr>
                      <w:b/>
                      <w:bCs/>
                      <w:sz w:val="21"/>
                      <w:szCs w:val="21"/>
                    </w:rPr>
                    <w:t>设备数量</w:t>
                  </w:r>
                  <w:r>
                    <w:rPr>
                      <w:rFonts w:hint="eastAsia"/>
                      <w:b/>
                      <w:bCs/>
                      <w:sz w:val="21"/>
                      <w:szCs w:val="21"/>
                      <w:lang w:eastAsia="zh-CN"/>
                    </w:rPr>
                    <w:t>（</w:t>
                  </w:r>
                  <w:r>
                    <w:rPr>
                      <w:rFonts w:hint="eastAsia"/>
                      <w:b/>
                      <w:bCs/>
                      <w:sz w:val="21"/>
                      <w:szCs w:val="21"/>
                      <w:lang w:val="en-US" w:eastAsia="zh-CN"/>
                    </w:rPr>
                    <w:t>台/条</w:t>
                  </w:r>
                  <w:r>
                    <w:rPr>
                      <w:rFonts w:hint="eastAsia"/>
                      <w:b/>
                      <w:bCs/>
                      <w:sz w:val="21"/>
                      <w:szCs w:val="21"/>
                      <w:lang w:eastAsia="zh-CN"/>
                    </w:rPr>
                    <w:t>）</w:t>
                  </w:r>
                </w:p>
              </w:tc>
            </w:tr>
            <w:tr w14:paraId="5AF05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131239BB">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val="en-US" w:eastAsia="zh-CN"/>
                    </w:rPr>
                    <w:t>烘干</w:t>
                  </w:r>
                </w:p>
              </w:tc>
              <w:tc>
                <w:tcPr>
                  <w:tcW w:w="1215" w:type="dxa"/>
                  <w:noWrap/>
                  <w:tcMar>
                    <w:top w:w="15" w:type="dxa"/>
                    <w:left w:w="15" w:type="dxa"/>
                    <w:bottom w:w="0" w:type="dxa"/>
                    <w:right w:w="15" w:type="dxa"/>
                  </w:tcMar>
                  <w:vAlign w:val="center"/>
                </w:tcPr>
                <w:p w14:paraId="180C84D1">
                  <w:pPr>
                    <w:keepNext w:val="0"/>
                    <w:keepLines w:val="0"/>
                    <w:suppressLineNumbers w:val="0"/>
                    <w:spacing w:before="0" w:beforeAutospacing="0" w:after="0" w:afterAutospacing="0"/>
                    <w:ind w:left="0" w:right="0"/>
                    <w:jc w:val="center"/>
                    <w:rPr>
                      <w:color w:val="auto"/>
                      <w:sz w:val="21"/>
                      <w:szCs w:val="21"/>
                    </w:rPr>
                  </w:pPr>
                  <w:r>
                    <w:rPr>
                      <w:rFonts w:hint="eastAsia" w:ascii="Times New Roman" w:hAnsi="Times New Roman" w:eastAsia="宋体" w:cs="Times New Roman"/>
                      <w:kern w:val="0"/>
                      <w:sz w:val="21"/>
                      <w:szCs w:val="21"/>
                      <w:lang w:val="en-US" w:eastAsia="zh-CN"/>
                    </w:rPr>
                    <w:t>烘干</w:t>
                  </w:r>
                </w:p>
              </w:tc>
              <w:tc>
                <w:tcPr>
                  <w:tcW w:w="1950" w:type="dxa"/>
                  <w:noWrap/>
                  <w:tcMar>
                    <w:top w:w="15" w:type="dxa"/>
                    <w:left w:w="15" w:type="dxa"/>
                    <w:bottom w:w="0" w:type="dxa"/>
                    <w:right w:w="15" w:type="dxa"/>
                  </w:tcMar>
                  <w:vAlign w:val="center"/>
                </w:tcPr>
                <w:p w14:paraId="6789109C">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eastAsia="zh"/>
                      <w:woUserID w:val="2"/>
                    </w:rPr>
                    <w:t>热风循环烘箱</w:t>
                  </w:r>
                </w:p>
              </w:tc>
              <w:tc>
                <w:tcPr>
                  <w:tcW w:w="2085" w:type="dxa"/>
                  <w:noWrap/>
                  <w:tcMar>
                    <w:top w:w="15" w:type="dxa"/>
                    <w:left w:w="15" w:type="dxa"/>
                    <w:bottom w:w="0" w:type="dxa"/>
                    <w:right w:w="15" w:type="dxa"/>
                  </w:tcMar>
                  <w:vAlign w:val="center"/>
                </w:tcPr>
                <w:p w14:paraId="3578F998">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eastAsia="zh"/>
                      <w:woUserID w:val="2"/>
                    </w:rPr>
                    <w:t>CT-C-Ӏ</w:t>
                  </w:r>
                </w:p>
              </w:tc>
              <w:tc>
                <w:tcPr>
                  <w:tcW w:w="1376" w:type="dxa"/>
                  <w:noWrap/>
                  <w:tcMar>
                    <w:top w:w="15" w:type="dxa"/>
                    <w:left w:w="15" w:type="dxa"/>
                    <w:bottom w:w="0" w:type="dxa"/>
                    <w:right w:w="15" w:type="dxa"/>
                  </w:tcMar>
                  <w:vAlign w:val="center"/>
                </w:tcPr>
                <w:p w14:paraId="4702605E">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eastAsia="zh"/>
                      <w:woUserID w:val="2"/>
                    </w:rPr>
                    <w:t>1</w:t>
                  </w:r>
                </w:p>
              </w:tc>
            </w:tr>
            <w:tr w14:paraId="338E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89" w:type="dxa"/>
                  <w:noWrap/>
                  <w:tcMar>
                    <w:top w:w="15" w:type="dxa"/>
                    <w:left w:w="15" w:type="dxa"/>
                    <w:bottom w:w="0" w:type="dxa"/>
                    <w:right w:w="15" w:type="dxa"/>
                  </w:tcMar>
                  <w:vAlign w:val="center"/>
                </w:tcPr>
                <w:p w14:paraId="400E1C09">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val="en-US" w:eastAsia="zh-CN"/>
                    </w:rPr>
                    <w:t>混合</w:t>
                  </w:r>
                </w:p>
              </w:tc>
              <w:tc>
                <w:tcPr>
                  <w:tcW w:w="1215" w:type="dxa"/>
                  <w:noWrap/>
                  <w:tcMar>
                    <w:top w:w="15" w:type="dxa"/>
                    <w:left w:w="15" w:type="dxa"/>
                    <w:bottom w:w="0" w:type="dxa"/>
                    <w:right w:w="15" w:type="dxa"/>
                  </w:tcMar>
                  <w:vAlign w:val="center"/>
                </w:tcPr>
                <w:p w14:paraId="2E16ACF6">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val="en-US" w:eastAsia="zh-CN"/>
                    </w:rPr>
                    <w:t>混合</w:t>
                  </w:r>
                </w:p>
              </w:tc>
              <w:tc>
                <w:tcPr>
                  <w:tcW w:w="1950" w:type="dxa"/>
                  <w:noWrap/>
                  <w:tcMar>
                    <w:top w:w="15" w:type="dxa"/>
                    <w:left w:w="15" w:type="dxa"/>
                    <w:bottom w:w="0" w:type="dxa"/>
                    <w:right w:w="15" w:type="dxa"/>
                  </w:tcMar>
                  <w:vAlign w:val="center"/>
                </w:tcPr>
                <w:p w14:paraId="18A07121">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方锥混料机</w:t>
                  </w:r>
                </w:p>
              </w:tc>
              <w:tc>
                <w:tcPr>
                  <w:tcW w:w="2085" w:type="dxa"/>
                  <w:noWrap/>
                  <w:tcMar>
                    <w:top w:w="15" w:type="dxa"/>
                    <w:left w:w="15" w:type="dxa"/>
                    <w:bottom w:w="0" w:type="dxa"/>
                    <w:right w:w="15" w:type="dxa"/>
                  </w:tcMar>
                  <w:vAlign w:val="center"/>
                </w:tcPr>
                <w:p w14:paraId="72CE680C">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600L</w:t>
                  </w:r>
                </w:p>
              </w:tc>
              <w:tc>
                <w:tcPr>
                  <w:tcW w:w="1376" w:type="dxa"/>
                  <w:noWrap/>
                  <w:tcMar>
                    <w:top w:w="15" w:type="dxa"/>
                    <w:left w:w="15" w:type="dxa"/>
                    <w:bottom w:w="0" w:type="dxa"/>
                    <w:right w:w="15" w:type="dxa"/>
                  </w:tcMar>
                  <w:vAlign w:val="center"/>
                </w:tcPr>
                <w:p w14:paraId="55C886BC">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eastAsia="zh"/>
                      <w:woUserID w:val="2"/>
                    </w:rPr>
                    <w:t>1</w:t>
                  </w:r>
                </w:p>
              </w:tc>
            </w:tr>
            <w:tr w14:paraId="4D222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520246FC">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val="en-US" w:eastAsia="zh-CN"/>
                    </w:rPr>
                    <w:t>过筛</w:t>
                  </w:r>
                </w:p>
              </w:tc>
              <w:tc>
                <w:tcPr>
                  <w:tcW w:w="1215" w:type="dxa"/>
                  <w:noWrap/>
                  <w:tcMar>
                    <w:top w:w="15" w:type="dxa"/>
                    <w:left w:w="15" w:type="dxa"/>
                    <w:bottom w:w="0" w:type="dxa"/>
                    <w:right w:w="15" w:type="dxa"/>
                  </w:tcMar>
                  <w:vAlign w:val="center"/>
                </w:tcPr>
                <w:p w14:paraId="6B20F84D">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val="en-US" w:eastAsia="zh-CN"/>
                    </w:rPr>
                    <w:t>过筛</w:t>
                  </w:r>
                </w:p>
              </w:tc>
              <w:tc>
                <w:tcPr>
                  <w:tcW w:w="1950" w:type="dxa"/>
                  <w:noWrap/>
                  <w:tcMar>
                    <w:top w:w="15" w:type="dxa"/>
                    <w:left w:w="15" w:type="dxa"/>
                    <w:bottom w:w="0" w:type="dxa"/>
                    <w:right w:w="15" w:type="dxa"/>
                  </w:tcMar>
                  <w:vAlign w:val="center"/>
                </w:tcPr>
                <w:p w14:paraId="568BCD40">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过筛机</w:t>
                  </w:r>
                </w:p>
              </w:tc>
              <w:tc>
                <w:tcPr>
                  <w:tcW w:w="2085" w:type="dxa"/>
                  <w:noWrap/>
                  <w:tcMar>
                    <w:top w:w="15" w:type="dxa"/>
                    <w:left w:w="15" w:type="dxa"/>
                    <w:bottom w:w="0" w:type="dxa"/>
                    <w:right w:w="15" w:type="dxa"/>
                  </w:tcMar>
                  <w:vAlign w:val="center"/>
                </w:tcPr>
                <w:p w14:paraId="293F94FC">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60型</w:t>
                  </w:r>
                </w:p>
              </w:tc>
              <w:tc>
                <w:tcPr>
                  <w:tcW w:w="1376" w:type="dxa"/>
                  <w:noWrap/>
                  <w:tcMar>
                    <w:top w:w="15" w:type="dxa"/>
                    <w:left w:w="15" w:type="dxa"/>
                    <w:bottom w:w="0" w:type="dxa"/>
                    <w:right w:w="15" w:type="dxa"/>
                  </w:tcMar>
                  <w:vAlign w:val="center"/>
                </w:tcPr>
                <w:p w14:paraId="140F04C5">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val="en-US" w:eastAsia="zh" w:bidi="ar-SA"/>
                      <w:woUserID w:val="2"/>
                    </w:rPr>
                    <w:t>1</w:t>
                  </w:r>
                </w:p>
              </w:tc>
            </w:tr>
            <w:tr w14:paraId="73D07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389" w:type="dxa"/>
                  <w:noWrap/>
                  <w:tcMar>
                    <w:top w:w="15" w:type="dxa"/>
                    <w:left w:w="15" w:type="dxa"/>
                    <w:bottom w:w="0" w:type="dxa"/>
                    <w:right w:w="15" w:type="dxa"/>
                  </w:tcMar>
                  <w:vAlign w:val="center"/>
                </w:tcPr>
                <w:p w14:paraId="49941FA2">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val="en-US" w:eastAsia="zh-CN"/>
                      <w:woUserID w:val="2"/>
                    </w:rPr>
                    <w:t>充填</w:t>
                  </w:r>
                </w:p>
              </w:tc>
              <w:tc>
                <w:tcPr>
                  <w:tcW w:w="1215" w:type="dxa"/>
                  <w:noWrap/>
                  <w:tcMar>
                    <w:top w:w="15" w:type="dxa"/>
                    <w:left w:w="15" w:type="dxa"/>
                    <w:bottom w:w="0" w:type="dxa"/>
                    <w:right w:w="15" w:type="dxa"/>
                  </w:tcMar>
                  <w:vAlign w:val="center"/>
                </w:tcPr>
                <w:p w14:paraId="2E46438A">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val="en-US" w:eastAsia="zh-CN"/>
                      <w:woUserID w:val="2"/>
                    </w:rPr>
                    <w:t>充填</w:t>
                  </w:r>
                </w:p>
              </w:tc>
              <w:tc>
                <w:tcPr>
                  <w:tcW w:w="1950" w:type="dxa"/>
                  <w:noWrap/>
                  <w:tcMar>
                    <w:top w:w="15" w:type="dxa"/>
                    <w:left w:w="15" w:type="dxa"/>
                    <w:bottom w:w="0" w:type="dxa"/>
                    <w:right w:w="15" w:type="dxa"/>
                  </w:tcMar>
                  <w:vAlign w:val="center"/>
                </w:tcPr>
                <w:p w14:paraId="195ADBA2">
                  <w:pPr>
                    <w:keepNext w:val="0"/>
                    <w:keepLines w:val="0"/>
                    <w:suppressLineNumbers w:val="0"/>
                    <w:spacing w:before="0" w:beforeAutospacing="0" w:after="0" w:afterAutospacing="0"/>
                    <w:ind w:left="0" w:leftChars="0" w:right="0" w:rightChars="0" w:firstLine="0" w:firstLineChars="0"/>
                    <w:jc w:val="center"/>
                    <w:rPr>
                      <w:color w:val="auto"/>
                      <w:kern w:val="0"/>
                      <w:sz w:val="21"/>
                      <w:szCs w:val="21"/>
                    </w:rPr>
                  </w:pPr>
                  <w:r>
                    <w:rPr>
                      <w:rFonts w:hint="eastAsia" w:ascii="Times New Roman" w:hAnsi="Times New Roman" w:eastAsia="宋体" w:cs="Times New Roman"/>
                      <w:kern w:val="0"/>
                      <w:sz w:val="21"/>
                      <w:szCs w:val="21"/>
                      <w:lang w:eastAsia="zh"/>
                      <w:woUserID w:val="2"/>
                    </w:rPr>
                    <w:t>全自动背封圆角粉剂包装机</w:t>
                  </w:r>
                </w:p>
              </w:tc>
              <w:tc>
                <w:tcPr>
                  <w:tcW w:w="2085" w:type="dxa"/>
                  <w:noWrap/>
                  <w:tcMar>
                    <w:top w:w="15" w:type="dxa"/>
                    <w:left w:w="15" w:type="dxa"/>
                    <w:bottom w:w="0" w:type="dxa"/>
                    <w:right w:w="15" w:type="dxa"/>
                  </w:tcMar>
                  <w:vAlign w:val="center"/>
                </w:tcPr>
                <w:p w14:paraId="3FE258A6">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HY-YBF50</w:t>
                  </w:r>
                </w:p>
              </w:tc>
              <w:tc>
                <w:tcPr>
                  <w:tcW w:w="1376" w:type="dxa"/>
                  <w:noWrap/>
                  <w:tcMar>
                    <w:top w:w="15" w:type="dxa"/>
                    <w:left w:w="15" w:type="dxa"/>
                    <w:bottom w:w="0" w:type="dxa"/>
                    <w:right w:w="15" w:type="dxa"/>
                  </w:tcMar>
                  <w:vAlign w:val="center"/>
                </w:tcPr>
                <w:p w14:paraId="764A8CA8">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eastAsia="zh"/>
                      <w:woUserID w:val="2"/>
                    </w:rPr>
                    <w:t>3</w:t>
                  </w:r>
                </w:p>
              </w:tc>
            </w:tr>
            <w:tr w14:paraId="3988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7FED7D4A">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喷码</w:t>
                  </w:r>
                </w:p>
              </w:tc>
              <w:tc>
                <w:tcPr>
                  <w:tcW w:w="1215" w:type="dxa"/>
                  <w:noWrap/>
                  <w:tcMar>
                    <w:top w:w="15" w:type="dxa"/>
                    <w:left w:w="15" w:type="dxa"/>
                    <w:bottom w:w="0" w:type="dxa"/>
                    <w:right w:w="15" w:type="dxa"/>
                  </w:tcMar>
                  <w:vAlign w:val="center"/>
                </w:tcPr>
                <w:p w14:paraId="631FBB55">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喷码</w:t>
                  </w:r>
                </w:p>
              </w:tc>
              <w:tc>
                <w:tcPr>
                  <w:tcW w:w="1950" w:type="dxa"/>
                  <w:noWrap/>
                  <w:tcMar>
                    <w:top w:w="15" w:type="dxa"/>
                    <w:left w:w="15" w:type="dxa"/>
                    <w:bottom w:w="0" w:type="dxa"/>
                    <w:right w:w="15" w:type="dxa"/>
                  </w:tcMar>
                  <w:vAlign w:val="center"/>
                </w:tcPr>
                <w:p w14:paraId="3E4761EF">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紫外激光机</w:t>
                  </w:r>
                </w:p>
              </w:tc>
              <w:tc>
                <w:tcPr>
                  <w:tcW w:w="2085" w:type="dxa"/>
                  <w:noWrap/>
                  <w:tcMar>
                    <w:top w:w="15" w:type="dxa"/>
                    <w:left w:w="15" w:type="dxa"/>
                    <w:bottom w:w="0" w:type="dxa"/>
                    <w:right w:w="15" w:type="dxa"/>
                  </w:tcMar>
                  <w:vAlign w:val="center"/>
                </w:tcPr>
                <w:p w14:paraId="4B69B5B1">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5W( 500E）</w:t>
                  </w:r>
                </w:p>
              </w:tc>
              <w:tc>
                <w:tcPr>
                  <w:tcW w:w="1376" w:type="dxa"/>
                  <w:noWrap/>
                  <w:tcMar>
                    <w:top w:w="15" w:type="dxa"/>
                    <w:left w:w="15" w:type="dxa"/>
                    <w:bottom w:w="0" w:type="dxa"/>
                    <w:right w:w="15" w:type="dxa"/>
                  </w:tcMar>
                  <w:vAlign w:val="center"/>
                </w:tcPr>
                <w:p w14:paraId="7334F8D1">
                  <w:pPr>
                    <w:keepNext w:val="0"/>
                    <w:keepLines w:val="0"/>
                    <w:suppressLineNumbers w:val="0"/>
                    <w:spacing w:before="0" w:beforeAutospacing="0" w:after="0" w:afterAutospacing="0"/>
                    <w:ind w:left="0" w:leftChars="0" w:right="0" w:rightChars="0"/>
                    <w:jc w:val="center"/>
                    <w:rPr>
                      <w:sz w:val="21"/>
                      <w:szCs w:val="21"/>
                    </w:rPr>
                  </w:pPr>
                  <w:r>
                    <w:rPr>
                      <w:rFonts w:hint="eastAsia" w:ascii="Times New Roman" w:hAnsi="Times New Roman" w:eastAsia="宋体" w:cs="Times New Roman"/>
                      <w:kern w:val="0"/>
                      <w:sz w:val="21"/>
                      <w:szCs w:val="21"/>
                      <w:lang w:eastAsia="zh"/>
                      <w:woUserID w:val="2"/>
                    </w:rPr>
                    <w:t>1</w:t>
                  </w:r>
                </w:p>
              </w:tc>
            </w:tr>
            <w:tr w14:paraId="688B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18A3F4F7">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封盒</w:t>
                  </w:r>
                </w:p>
              </w:tc>
              <w:tc>
                <w:tcPr>
                  <w:tcW w:w="1215" w:type="dxa"/>
                  <w:noWrap/>
                  <w:tcMar>
                    <w:top w:w="15" w:type="dxa"/>
                    <w:left w:w="15" w:type="dxa"/>
                    <w:bottom w:w="0" w:type="dxa"/>
                    <w:right w:w="15" w:type="dxa"/>
                  </w:tcMar>
                  <w:vAlign w:val="center"/>
                </w:tcPr>
                <w:p w14:paraId="2CB158AE">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封盒</w:t>
                  </w:r>
                </w:p>
              </w:tc>
              <w:tc>
                <w:tcPr>
                  <w:tcW w:w="1950" w:type="dxa"/>
                  <w:noWrap/>
                  <w:tcMar>
                    <w:top w:w="15" w:type="dxa"/>
                    <w:left w:w="15" w:type="dxa"/>
                    <w:bottom w:w="0" w:type="dxa"/>
                    <w:right w:w="15" w:type="dxa"/>
                  </w:tcMar>
                  <w:vAlign w:val="center"/>
                </w:tcPr>
                <w:p w14:paraId="3E083CAC">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480型透明膜三维包装机</w:t>
                  </w:r>
                </w:p>
              </w:tc>
              <w:tc>
                <w:tcPr>
                  <w:tcW w:w="2085" w:type="dxa"/>
                  <w:noWrap/>
                  <w:tcMar>
                    <w:top w:w="15" w:type="dxa"/>
                    <w:left w:w="15" w:type="dxa"/>
                    <w:bottom w:w="0" w:type="dxa"/>
                    <w:right w:w="15" w:type="dxa"/>
                  </w:tcMar>
                  <w:vAlign w:val="center"/>
                </w:tcPr>
                <w:p w14:paraId="5BEF6045">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LY-480型</w:t>
                  </w:r>
                </w:p>
              </w:tc>
              <w:tc>
                <w:tcPr>
                  <w:tcW w:w="1376" w:type="dxa"/>
                  <w:noWrap/>
                  <w:tcMar>
                    <w:top w:w="15" w:type="dxa"/>
                    <w:left w:w="15" w:type="dxa"/>
                    <w:bottom w:w="0" w:type="dxa"/>
                    <w:right w:w="15" w:type="dxa"/>
                  </w:tcMar>
                  <w:vAlign w:val="center"/>
                </w:tcPr>
                <w:p w14:paraId="5339A6AD">
                  <w:pPr>
                    <w:keepNext w:val="0"/>
                    <w:keepLines w:val="0"/>
                    <w:suppressLineNumbers w:val="0"/>
                    <w:spacing w:before="0" w:beforeAutospacing="0" w:after="0" w:afterAutospacing="0"/>
                    <w:ind w:left="0" w:leftChars="0" w:right="0" w:rightChars="0"/>
                    <w:jc w:val="center"/>
                    <w:rPr>
                      <w:sz w:val="21"/>
                      <w:szCs w:val="21"/>
                    </w:rPr>
                  </w:pPr>
                  <w:r>
                    <w:rPr>
                      <w:rFonts w:hint="eastAsia" w:ascii="Times New Roman" w:hAnsi="Times New Roman" w:eastAsia="宋体" w:cs="Times New Roman"/>
                      <w:kern w:val="0"/>
                      <w:sz w:val="21"/>
                      <w:szCs w:val="21"/>
                      <w:lang w:eastAsia="zh"/>
                      <w:woUserID w:val="2"/>
                    </w:rPr>
                    <w:t>1</w:t>
                  </w:r>
                </w:p>
              </w:tc>
            </w:tr>
            <w:tr w14:paraId="4EFA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4FA87C7F">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检测</w:t>
                  </w:r>
                </w:p>
              </w:tc>
              <w:tc>
                <w:tcPr>
                  <w:tcW w:w="1215" w:type="dxa"/>
                  <w:noWrap/>
                  <w:tcMar>
                    <w:top w:w="15" w:type="dxa"/>
                    <w:left w:w="15" w:type="dxa"/>
                    <w:bottom w:w="0" w:type="dxa"/>
                    <w:right w:w="15" w:type="dxa"/>
                  </w:tcMar>
                  <w:vAlign w:val="center"/>
                </w:tcPr>
                <w:p w14:paraId="7BA1C7D0">
                  <w:pPr>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val="en-US" w:eastAsia="zh-CN"/>
                    </w:rPr>
                  </w:pPr>
                  <w:r>
                    <w:rPr>
                      <w:rFonts w:hint="eastAsia" w:ascii="Times New Roman" w:hAnsi="Times New Roman" w:eastAsia="宋体" w:cs="Times New Roman"/>
                      <w:kern w:val="0"/>
                      <w:sz w:val="21"/>
                      <w:szCs w:val="21"/>
                      <w:lang w:val="en-US" w:eastAsia="zh-CN"/>
                      <w:woUserID w:val="2"/>
                    </w:rPr>
                    <w:t>检测</w:t>
                  </w:r>
                </w:p>
              </w:tc>
              <w:tc>
                <w:tcPr>
                  <w:tcW w:w="1950" w:type="dxa"/>
                  <w:noWrap/>
                  <w:tcMar>
                    <w:top w:w="15" w:type="dxa"/>
                    <w:left w:w="15" w:type="dxa"/>
                    <w:bottom w:w="0" w:type="dxa"/>
                    <w:right w:w="15" w:type="dxa"/>
                  </w:tcMar>
                  <w:vAlign w:val="center"/>
                </w:tcPr>
                <w:p w14:paraId="5D6284EF">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金属检测机</w:t>
                  </w:r>
                </w:p>
              </w:tc>
              <w:tc>
                <w:tcPr>
                  <w:tcW w:w="2085" w:type="dxa"/>
                  <w:noWrap/>
                  <w:tcMar>
                    <w:top w:w="15" w:type="dxa"/>
                    <w:left w:w="15" w:type="dxa"/>
                    <w:bottom w:w="0" w:type="dxa"/>
                    <w:right w:w="15" w:type="dxa"/>
                  </w:tcMar>
                  <w:vAlign w:val="center"/>
                </w:tcPr>
                <w:p w14:paraId="5290A8C3">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MD-200</w:t>
                  </w:r>
                </w:p>
              </w:tc>
              <w:tc>
                <w:tcPr>
                  <w:tcW w:w="1376" w:type="dxa"/>
                  <w:noWrap/>
                  <w:tcMar>
                    <w:top w:w="15" w:type="dxa"/>
                    <w:left w:w="15" w:type="dxa"/>
                    <w:bottom w:w="0" w:type="dxa"/>
                    <w:right w:w="15" w:type="dxa"/>
                  </w:tcMar>
                  <w:vAlign w:val="center"/>
                </w:tcPr>
                <w:p w14:paraId="329C9D8F">
                  <w:pPr>
                    <w:keepNext w:val="0"/>
                    <w:keepLines w:val="0"/>
                    <w:suppressLineNumbers w:val="0"/>
                    <w:spacing w:before="0" w:beforeAutospacing="0" w:after="0" w:afterAutospacing="0"/>
                    <w:ind w:left="0" w:leftChars="0" w:right="0" w:rightChars="0"/>
                    <w:jc w:val="center"/>
                    <w:rPr>
                      <w:sz w:val="21"/>
                      <w:szCs w:val="21"/>
                    </w:rPr>
                  </w:pPr>
                  <w:r>
                    <w:rPr>
                      <w:rFonts w:hint="eastAsia" w:ascii="Times New Roman" w:hAnsi="Times New Roman" w:eastAsia="宋体" w:cs="Times New Roman"/>
                      <w:kern w:val="0"/>
                      <w:sz w:val="21"/>
                      <w:szCs w:val="21"/>
                      <w:lang w:eastAsia="zh"/>
                      <w:woUserID w:val="2"/>
                    </w:rPr>
                    <w:t>1</w:t>
                  </w:r>
                </w:p>
              </w:tc>
            </w:tr>
            <w:tr w14:paraId="1F7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48D62A5A">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color w:val="auto"/>
                      <w:sz w:val="21"/>
                      <w:szCs w:val="21"/>
                      <w:lang w:val="en-US" w:eastAsia="zh-CN"/>
                    </w:rPr>
                    <w:t>称重</w:t>
                  </w:r>
                </w:p>
              </w:tc>
              <w:tc>
                <w:tcPr>
                  <w:tcW w:w="1215" w:type="dxa"/>
                  <w:noWrap/>
                  <w:tcMar>
                    <w:top w:w="15" w:type="dxa"/>
                    <w:left w:w="15" w:type="dxa"/>
                    <w:bottom w:w="0" w:type="dxa"/>
                    <w:right w:w="15" w:type="dxa"/>
                  </w:tcMar>
                  <w:vAlign w:val="center"/>
                </w:tcPr>
                <w:p w14:paraId="5D758550">
                  <w:pPr>
                    <w:keepNext w:val="0"/>
                    <w:keepLines w:val="0"/>
                    <w:suppressLineNumbers w:val="0"/>
                    <w:spacing w:before="0" w:beforeAutospacing="0" w:after="0" w:afterAutospacing="0"/>
                    <w:ind w:left="0" w:leftChars="0" w:right="0" w:rightChars="0" w:firstLine="0" w:firstLineChars="0"/>
                    <w:jc w:val="center"/>
                    <w:rPr>
                      <w:rFonts w:hint="default" w:eastAsia="宋体"/>
                      <w:color w:val="auto"/>
                      <w:sz w:val="21"/>
                      <w:szCs w:val="21"/>
                      <w:lang w:val="en-US" w:eastAsia="zh-CN"/>
                    </w:rPr>
                  </w:pPr>
                  <w:r>
                    <w:rPr>
                      <w:rFonts w:hint="eastAsia"/>
                      <w:color w:val="auto"/>
                      <w:sz w:val="21"/>
                      <w:szCs w:val="21"/>
                      <w:lang w:val="en-US" w:eastAsia="zh-CN"/>
                    </w:rPr>
                    <w:t>称重</w:t>
                  </w:r>
                </w:p>
              </w:tc>
              <w:tc>
                <w:tcPr>
                  <w:tcW w:w="1950" w:type="dxa"/>
                  <w:noWrap/>
                  <w:tcMar>
                    <w:top w:w="15" w:type="dxa"/>
                    <w:left w:w="15" w:type="dxa"/>
                    <w:bottom w:w="0" w:type="dxa"/>
                    <w:right w:w="15" w:type="dxa"/>
                  </w:tcMar>
                  <w:vAlign w:val="center"/>
                </w:tcPr>
                <w:p w14:paraId="2D6C476B">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称重机</w:t>
                  </w:r>
                </w:p>
              </w:tc>
              <w:tc>
                <w:tcPr>
                  <w:tcW w:w="2085" w:type="dxa"/>
                  <w:noWrap/>
                  <w:tcMar>
                    <w:top w:w="15" w:type="dxa"/>
                    <w:left w:w="15" w:type="dxa"/>
                    <w:bottom w:w="0" w:type="dxa"/>
                    <w:right w:w="15" w:type="dxa"/>
                  </w:tcMar>
                  <w:vAlign w:val="center"/>
                </w:tcPr>
                <w:p w14:paraId="23E79379">
                  <w:pPr>
                    <w:keepNext w:val="0"/>
                    <w:keepLines w:val="0"/>
                    <w:suppressLineNumbers w:val="0"/>
                    <w:spacing w:before="0" w:beforeAutospacing="0" w:after="0" w:afterAutospacing="0"/>
                    <w:ind w:left="0" w:leftChars="0" w:right="0" w:rightChars="0" w:firstLine="0" w:firstLineChars="0"/>
                    <w:jc w:val="center"/>
                    <w:rPr>
                      <w:color w:val="auto"/>
                      <w:sz w:val="21"/>
                      <w:szCs w:val="21"/>
                    </w:rPr>
                  </w:pPr>
                  <w:r>
                    <w:rPr>
                      <w:rFonts w:hint="eastAsia" w:ascii="Times New Roman" w:hAnsi="Times New Roman" w:eastAsia="宋体" w:cs="Times New Roman"/>
                      <w:kern w:val="0"/>
                      <w:sz w:val="21"/>
                      <w:szCs w:val="21"/>
                      <w:lang w:eastAsia="zh"/>
                      <w:woUserID w:val="2"/>
                    </w:rPr>
                    <w:t>CW-150</w:t>
                  </w:r>
                </w:p>
              </w:tc>
              <w:tc>
                <w:tcPr>
                  <w:tcW w:w="1376" w:type="dxa"/>
                  <w:noWrap/>
                  <w:tcMar>
                    <w:top w:w="15" w:type="dxa"/>
                    <w:left w:w="15" w:type="dxa"/>
                    <w:bottom w:w="0" w:type="dxa"/>
                    <w:right w:w="15" w:type="dxa"/>
                  </w:tcMar>
                  <w:vAlign w:val="center"/>
                </w:tcPr>
                <w:p w14:paraId="1AF7081B">
                  <w:pPr>
                    <w:keepNext w:val="0"/>
                    <w:keepLines w:val="0"/>
                    <w:suppressLineNumbers w:val="0"/>
                    <w:spacing w:before="0" w:beforeAutospacing="0" w:after="0" w:afterAutospacing="0"/>
                    <w:ind w:left="0" w:leftChars="0" w:right="0" w:rightChars="0"/>
                    <w:jc w:val="center"/>
                    <w:rPr>
                      <w:color w:val="auto"/>
                      <w:sz w:val="21"/>
                      <w:szCs w:val="21"/>
                    </w:rPr>
                  </w:pPr>
                  <w:r>
                    <w:rPr>
                      <w:rFonts w:hint="eastAsia" w:ascii="Times New Roman" w:hAnsi="Times New Roman" w:eastAsia="宋体" w:cs="Times New Roman"/>
                      <w:kern w:val="0"/>
                      <w:sz w:val="21"/>
                      <w:szCs w:val="21"/>
                      <w:lang w:eastAsia="zh"/>
                      <w:woUserID w:val="2"/>
                    </w:rPr>
                    <w:t>1</w:t>
                  </w:r>
                </w:p>
              </w:tc>
            </w:tr>
            <w:tr w14:paraId="15E78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198BFA84">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封盒</w:t>
                  </w:r>
                </w:p>
              </w:tc>
              <w:tc>
                <w:tcPr>
                  <w:tcW w:w="1215" w:type="dxa"/>
                  <w:noWrap/>
                  <w:tcMar>
                    <w:top w:w="15" w:type="dxa"/>
                    <w:left w:w="15" w:type="dxa"/>
                    <w:bottom w:w="0" w:type="dxa"/>
                    <w:right w:w="15" w:type="dxa"/>
                  </w:tcMar>
                  <w:vAlign w:val="center"/>
                </w:tcPr>
                <w:p w14:paraId="55335FBF">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封盒</w:t>
                  </w:r>
                </w:p>
              </w:tc>
              <w:tc>
                <w:tcPr>
                  <w:tcW w:w="1950" w:type="dxa"/>
                  <w:noWrap/>
                  <w:tcMar>
                    <w:top w:w="15" w:type="dxa"/>
                    <w:left w:w="15" w:type="dxa"/>
                    <w:bottom w:w="0" w:type="dxa"/>
                    <w:right w:w="15" w:type="dxa"/>
                  </w:tcMar>
                  <w:vAlign w:val="center"/>
                </w:tcPr>
                <w:p w14:paraId="797E9FF6">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打胶机</w:t>
                  </w:r>
                </w:p>
              </w:tc>
              <w:tc>
                <w:tcPr>
                  <w:tcW w:w="2085" w:type="dxa"/>
                  <w:noWrap/>
                  <w:tcMar>
                    <w:top w:w="15" w:type="dxa"/>
                    <w:left w:w="15" w:type="dxa"/>
                    <w:bottom w:w="0" w:type="dxa"/>
                    <w:right w:w="15" w:type="dxa"/>
                  </w:tcMar>
                  <w:vAlign w:val="center"/>
                </w:tcPr>
                <w:p w14:paraId="32C28C7B">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NT-F625</w:t>
                  </w:r>
                </w:p>
              </w:tc>
              <w:tc>
                <w:tcPr>
                  <w:tcW w:w="1376" w:type="dxa"/>
                  <w:noWrap/>
                  <w:tcMar>
                    <w:top w:w="15" w:type="dxa"/>
                    <w:left w:w="15" w:type="dxa"/>
                    <w:bottom w:w="0" w:type="dxa"/>
                    <w:right w:w="15" w:type="dxa"/>
                  </w:tcMar>
                  <w:vAlign w:val="center"/>
                </w:tcPr>
                <w:p w14:paraId="0BF81D87">
                  <w:pPr>
                    <w:keepNext w:val="0"/>
                    <w:keepLines w:val="0"/>
                    <w:suppressLineNumbers w:val="0"/>
                    <w:spacing w:before="0" w:beforeAutospacing="0" w:after="0" w:afterAutospacing="0"/>
                    <w:ind w:left="0" w:leftChars="0" w:right="0" w:rightChars="0"/>
                    <w:jc w:val="center"/>
                    <w:rPr>
                      <w:sz w:val="21"/>
                      <w:szCs w:val="21"/>
                    </w:rPr>
                  </w:pPr>
                  <w:r>
                    <w:rPr>
                      <w:rFonts w:hint="eastAsia" w:ascii="Times New Roman" w:hAnsi="Times New Roman" w:eastAsia="宋体" w:cs="Times New Roman"/>
                      <w:kern w:val="0"/>
                      <w:sz w:val="21"/>
                      <w:szCs w:val="21"/>
                      <w:lang w:eastAsia="zh"/>
                      <w:woUserID w:val="2"/>
                    </w:rPr>
                    <w:t>1</w:t>
                  </w:r>
                </w:p>
              </w:tc>
            </w:tr>
            <w:tr w14:paraId="3F52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424B5140">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喷码</w:t>
                  </w:r>
                </w:p>
              </w:tc>
              <w:tc>
                <w:tcPr>
                  <w:tcW w:w="1215" w:type="dxa"/>
                  <w:noWrap/>
                  <w:tcMar>
                    <w:top w:w="15" w:type="dxa"/>
                    <w:left w:w="15" w:type="dxa"/>
                    <w:bottom w:w="0" w:type="dxa"/>
                    <w:right w:w="15" w:type="dxa"/>
                  </w:tcMar>
                  <w:vAlign w:val="center"/>
                </w:tcPr>
                <w:p w14:paraId="09750317">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喷码</w:t>
                  </w:r>
                </w:p>
              </w:tc>
              <w:tc>
                <w:tcPr>
                  <w:tcW w:w="1950" w:type="dxa"/>
                  <w:noWrap/>
                  <w:tcMar>
                    <w:top w:w="15" w:type="dxa"/>
                    <w:left w:w="15" w:type="dxa"/>
                    <w:bottom w:w="0" w:type="dxa"/>
                    <w:right w:w="15" w:type="dxa"/>
                  </w:tcMar>
                  <w:vAlign w:val="center"/>
                </w:tcPr>
                <w:p w14:paraId="340C47EC">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连续式小字符黑墨喷码机</w:t>
                  </w:r>
                </w:p>
              </w:tc>
              <w:tc>
                <w:tcPr>
                  <w:tcW w:w="2085" w:type="dxa"/>
                  <w:noWrap/>
                  <w:tcMar>
                    <w:top w:w="15" w:type="dxa"/>
                    <w:left w:w="15" w:type="dxa"/>
                    <w:bottom w:w="0" w:type="dxa"/>
                    <w:right w:w="15" w:type="dxa"/>
                  </w:tcMar>
                  <w:vAlign w:val="center"/>
                </w:tcPr>
                <w:p w14:paraId="77362AE4">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DC810</w:t>
                  </w:r>
                </w:p>
              </w:tc>
              <w:tc>
                <w:tcPr>
                  <w:tcW w:w="1376" w:type="dxa"/>
                  <w:noWrap/>
                  <w:tcMar>
                    <w:top w:w="15" w:type="dxa"/>
                    <w:left w:w="15" w:type="dxa"/>
                    <w:bottom w:w="0" w:type="dxa"/>
                    <w:right w:w="15" w:type="dxa"/>
                  </w:tcMar>
                  <w:vAlign w:val="center"/>
                </w:tcPr>
                <w:p w14:paraId="1A2B1B6F">
                  <w:pPr>
                    <w:keepNext w:val="0"/>
                    <w:keepLines w:val="0"/>
                    <w:suppressLineNumbers w:val="0"/>
                    <w:spacing w:before="0" w:beforeAutospacing="0" w:after="0" w:afterAutospacing="0"/>
                    <w:ind w:left="0" w:leftChars="0" w:right="0" w:rightChars="0"/>
                    <w:jc w:val="center"/>
                    <w:rPr>
                      <w:sz w:val="21"/>
                      <w:szCs w:val="21"/>
                    </w:rPr>
                  </w:pPr>
                  <w:r>
                    <w:rPr>
                      <w:rFonts w:hint="eastAsia" w:ascii="Times New Roman" w:hAnsi="Times New Roman" w:eastAsia="宋体" w:cs="Times New Roman"/>
                      <w:kern w:val="0"/>
                      <w:sz w:val="21"/>
                      <w:szCs w:val="21"/>
                      <w:lang w:eastAsia="zh"/>
                      <w:woUserID w:val="2"/>
                    </w:rPr>
                    <w:t>1</w:t>
                  </w:r>
                </w:p>
              </w:tc>
            </w:tr>
            <w:tr w14:paraId="4CC8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56BFB8D2">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熬糖</w:t>
                  </w:r>
                </w:p>
              </w:tc>
              <w:tc>
                <w:tcPr>
                  <w:tcW w:w="1215" w:type="dxa"/>
                  <w:noWrap/>
                  <w:tcMar>
                    <w:top w:w="15" w:type="dxa"/>
                    <w:left w:w="15" w:type="dxa"/>
                    <w:bottom w:w="0" w:type="dxa"/>
                    <w:right w:w="15" w:type="dxa"/>
                  </w:tcMar>
                  <w:vAlign w:val="center"/>
                </w:tcPr>
                <w:p w14:paraId="1D1B4A09">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熬糖</w:t>
                  </w:r>
                </w:p>
              </w:tc>
              <w:tc>
                <w:tcPr>
                  <w:tcW w:w="1950" w:type="dxa"/>
                  <w:noWrap/>
                  <w:tcMar>
                    <w:top w:w="15" w:type="dxa"/>
                    <w:left w:w="15" w:type="dxa"/>
                    <w:bottom w:w="0" w:type="dxa"/>
                    <w:right w:w="15" w:type="dxa"/>
                  </w:tcMar>
                  <w:vAlign w:val="center"/>
                </w:tcPr>
                <w:p w14:paraId="0DA432B4">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感应加热电源/电磁加热器</w:t>
                  </w:r>
                </w:p>
              </w:tc>
              <w:tc>
                <w:tcPr>
                  <w:tcW w:w="2085" w:type="dxa"/>
                  <w:noWrap/>
                  <w:tcMar>
                    <w:top w:w="15" w:type="dxa"/>
                    <w:left w:w="15" w:type="dxa"/>
                    <w:bottom w:w="0" w:type="dxa"/>
                    <w:right w:w="15" w:type="dxa"/>
                  </w:tcMar>
                  <w:vAlign w:val="center"/>
                </w:tcPr>
                <w:p w14:paraId="75C1134B">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eastAsia="zh"/>
                      <w:woUserID w:val="2"/>
                    </w:rPr>
                    <w:t>FB-1000-40kW</w:t>
                  </w:r>
                </w:p>
              </w:tc>
              <w:tc>
                <w:tcPr>
                  <w:tcW w:w="1376" w:type="dxa"/>
                  <w:noWrap/>
                  <w:tcMar>
                    <w:top w:w="15" w:type="dxa"/>
                    <w:left w:w="15" w:type="dxa"/>
                    <w:bottom w:w="0" w:type="dxa"/>
                    <w:right w:w="15" w:type="dxa"/>
                  </w:tcMar>
                  <w:vAlign w:val="center"/>
                </w:tcPr>
                <w:p w14:paraId="45AAA07D">
                  <w:pPr>
                    <w:keepNext w:val="0"/>
                    <w:keepLines w:val="0"/>
                    <w:suppressLineNumbers w:val="0"/>
                    <w:spacing w:before="0" w:beforeAutospacing="0" w:after="0" w:afterAutospacing="0"/>
                    <w:ind w:left="0" w:leftChars="0" w:right="0" w:rightChars="0"/>
                    <w:jc w:val="center"/>
                    <w:rPr>
                      <w:sz w:val="21"/>
                      <w:szCs w:val="21"/>
                    </w:rPr>
                  </w:pPr>
                  <w:r>
                    <w:rPr>
                      <w:rFonts w:hint="eastAsia" w:ascii="Times New Roman" w:hAnsi="Times New Roman" w:eastAsia="宋体" w:cs="Times New Roman"/>
                      <w:kern w:val="0"/>
                      <w:sz w:val="21"/>
                      <w:szCs w:val="21"/>
                      <w:lang w:eastAsia="zh"/>
                      <w:woUserID w:val="2"/>
                    </w:rPr>
                    <w:t>2</w:t>
                  </w:r>
                </w:p>
              </w:tc>
            </w:tr>
            <w:tr w14:paraId="6C5A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67253A45">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混合</w:t>
                  </w:r>
                </w:p>
              </w:tc>
              <w:tc>
                <w:tcPr>
                  <w:tcW w:w="1215" w:type="dxa"/>
                  <w:noWrap/>
                  <w:tcMar>
                    <w:top w:w="15" w:type="dxa"/>
                    <w:left w:w="15" w:type="dxa"/>
                    <w:bottom w:w="0" w:type="dxa"/>
                    <w:right w:w="15" w:type="dxa"/>
                  </w:tcMar>
                  <w:vAlign w:val="center"/>
                </w:tcPr>
                <w:p w14:paraId="69EA752C">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混合</w:t>
                  </w:r>
                </w:p>
              </w:tc>
              <w:tc>
                <w:tcPr>
                  <w:tcW w:w="1950" w:type="dxa"/>
                  <w:noWrap/>
                  <w:tcMar>
                    <w:top w:w="15" w:type="dxa"/>
                    <w:left w:w="15" w:type="dxa"/>
                    <w:bottom w:w="0" w:type="dxa"/>
                    <w:right w:w="15" w:type="dxa"/>
                  </w:tcMar>
                  <w:vAlign w:val="center"/>
                </w:tcPr>
                <w:p w14:paraId="096D8825">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双浆混合机</w:t>
                  </w:r>
                </w:p>
              </w:tc>
              <w:tc>
                <w:tcPr>
                  <w:tcW w:w="2085" w:type="dxa"/>
                  <w:noWrap/>
                  <w:tcMar>
                    <w:top w:w="15" w:type="dxa"/>
                    <w:left w:w="15" w:type="dxa"/>
                    <w:bottom w:w="0" w:type="dxa"/>
                    <w:right w:w="15" w:type="dxa"/>
                  </w:tcMar>
                  <w:vAlign w:val="center"/>
                </w:tcPr>
                <w:p w14:paraId="248BA649">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SCH-200</w:t>
                  </w:r>
                </w:p>
              </w:tc>
              <w:tc>
                <w:tcPr>
                  <w:tcW w:w="1376" w:type="dxa"/>
                  <w:noWrap/>
                  <w:tcMar>
                    <w:top w:w="15" w:type="dxa"/>
                    <w:left w:w="15" w:type="dxa"/>
                    <w:bottom w:w="0" w:type="dxa"/>
                    <w:right w:w="15" w:type="dxa"/>
                  </w:tcMar>
                  <w:vAlign w:val="center"/>
                </w:tcPr>
                <w:p w14:paraId="4162936E">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2</w:t>
                  </w:r>
                </w:p>
              </w:tc>
            </w:tr>
            <w:tr w14:paraId="6015E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35655874">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包衣</w:t>
                  </w:r>
                </w:p>
              </w:tc>
              <w:tc>
                <w:tcPr>
                  <w:tcW w:w="1215" w:type="dxa"/>
                  <w:noWrap/>
                  <w:tcMar>
                    <w:top w:w="15" w:type="dxa"/>
                    <w:left w:w="15" w:type="dxa"/>
                    <w:bottom w:w="0" w:type="dxa"/>
                    <w:right w:w="15" w:type="dxa"/>
                  </w:tcMar>
                  <w:vAlign w:val="center"/>
                </w:tcPr>
                <w:p w14:paraId="6B633529">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包衣</w:t>
                  </w:r>
                </w:p>
              </w:tc>
              <w:tc>
                <w:tcPr>
                  <w:tcW w:w="1950" w:type="dxa"/>
                  <w:noWrap/>
                  <w:tcMar>
                    <w:top w:w="15" w:type="dxa"/>
                    <w:left w:w="15" w:type="dxa"/>
                    <w:bottom w:w="0" w:type="dxa"/>
                    <w:right w:w="15" w:type="dxa"/>
                  </w:tcMar>
                  <w:vAlign w:val="center"/>
                </w:tcPr>
                <w:p w14:paraId="45A5FE6B">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巧克力涂衣机</w:t>
                  </w:r>
                </w:p>
              </w:tc>
              <w:tc>
                <w:tcPr>
                  <w:tcW w:w="2085" w:type="dxa"/>
                  <w:noWrap/>
                  <w:tcMar>
                    <w:top w:w="15" w:type="dxa"/>
                    <w:left w:w="15" w:type="dxa"/>
                    <w:bottom w:w="0" w:type="dxa"/>
                    <w:right w:w="15" w:type="dxa"/>
                  </w:tcMar>
                  <w:vAlign w:val="center"/>
                </w:tcPr>
                <w:p w14:paraId="2EF1EC4D">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TYJ800</w:t>
                  </w:r>
                </w:p>
              </w:tc>
              <w:tc>
                <w:tcPr>
                  <w:tcW w:w="1376" w:type="dxa"/>
                  <w:noWrap/>
                  <w:tcMar>
                    <w:top w:w="15" w:type="dxa"/>
                    <w:left w:w="15" w:type="dxa"/>
                    <w:bottom w:w="0" w:type="dxa"/>
                    <w:right w:w="15" w:type="dxa"/>
                  </w:tcMar>
                  <w:vAlign w:val="center"/>
                </w:tcPr>
                <w:p w14:paraId="63EAD32B">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1</w:t>
                  </w:r>
                </w:p>
              </w:tc>
            </w:tr>
            <w:tr w14:paraId="4C26E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01DFECA4">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sz w:val="21"/>
                      <w:szCs w:val="21"/>
                      <w:lang w:val="en-US" w:eastAsia="zh-CN"/>
                    </w:rPr>
                    <w:t>保温</w:t>
                  </w:r>
                </w:p>
              </w:tc>
              <w:tc>
                <w:tcPr>
                  <w:tcW w:w="1215" w:type="dxa"/>
                  <w:noWrap/>
                  <w:tcMar>
                    <w:top w:w="15" w:type="dxa"/>
                    <w:left w:w="15" w:type="dxa"/>
                    <w:bottom w:w="0" w:type="dxa"/>
                    <w:right w:w="15" w:type="dxa"/>
                  </w:tcMar>
                  <w:vAlign w:val="center"/>
                </w:tcPr>
                <w:p w14:paraId="6D91320D">
                  <w:pPr>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保温</w:t>
                  </w:r>
                </w:p>
              </w:tc>
              <w:tc>
                <w:tcPr>
                  <w:tcW w:w="1950" w:type="dxa"/>
                  <w:noWrap/>
                  <w:tcMar>
                    <w:top w:w="15" w:type="dxa"/>
                    <w:left w:w="15" w:type="dxa"/>
                    <w:bottom w:w="0" w:type="dxa"/>
                    <w:right w:w="15" w:type="dxa"/>
                  </w:tcMar>
                  <w:vAlign w:val="center"/>
                </w:tcPr>
                <w:p w14:paraId="7CA82E27">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巧克力保温缸</w:t>
                  </w:r>
                </w:p>
              </w:tc>
              <w:tc>
                <w:tcPr>
                  <w:tcW w:w="2085" w:type="dxa"/>
                  <w:noWrap/>
                  <w:tcMar>
                    <w:top w:w="15" w:type="dxa"/>
                    <w:left w:w="15" w:type="dxa"/>
                    <w:bottom w:w="0" w:type="dxa"/>
                    <w:right w:w="15" w:type="dxa"/>
                  </w:tcMar>
                  <w:vAlign w:val="center"/>
                </w:tcPr>
                <w:p w14:paraId="37A603C9">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BWG1000</w:t>
                  </w:r>
                </w:p>
              </w:tc>
              <w:tc>
                <w:tcPr>
                  <w:tcW w:w="1376" w:type="dxa"/>
                  <w:noWrap/>
                  <w:tcMar>
                    <w:top w:w="15" w:type="dxa"/>
                    <w:left w:w="15" w:type="dxa"/>
                    <w:bottom w:w="0" w:type="dxa"/>
                    <w:right w:w="15" w:type="dxa"/>
                  </w:tcMar>
                  <w:vAlign w:val="center"/>
                </w:tcPr>
                <w:p w14:paraId="33DA603E">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1</w:t>
                  </w:r>
                </w:p>
              </w:tc>
            </w:tr>
            <w:tr w14:paraId="7E87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3DA205CA">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sz w:val="21"/>
                      <w:szCs w:val="21"/>
                      <w:lang w:val="en-US" w:eastAsia="zh-CN"/>
                    </w:rPr>
                    <w:t>纵切</w:t>
                  </w:r>
                </w:p>
              </w:tc>
              <w:tc>
                <w:tcPr>
                  <w:tcW w:w="1215" w:type="dxa"/>
                  <w:noWrap/>
                  <w:tcMar>
                    <w:top w:w="15" w:type="dxa"/>
                    <w:left w:w="15" w:type="dxa"/>
                    <w:bottom w:w="0" w:type="dxa"/>
                    <w:right w:w="15" w:type="dxa"/>
                  </w:tcMar>
                  <w:vAlign w:val="center"/>
                </w:tcPr>
                <w:p w14:paraId="6A3B0292">
                  <w:pPr>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val="en-US" w:eastAsia="zh-CN"/>
                    </w:rPr>
                  </w:pPr>
                  <w:r>
                    <w:rPr>
                      <w:rFonts w:hint="eastAsia"/>
                      <w:sz w:val="21"/>
                      <w:szCs w:val="21"/>
                      <w:lang w:val="en-US" w:eastAsia="zh-CN"/>
                    </w:rPr>
                    <w:t>纵切</w:t>
                  </w:r>
                </w:p>
              </w:tc>
              <w:tc>
                <w:tcPr>
                  <w:tcW w:w="1950" w:type="dxa"/>
                  <w:noWrap/>
                  <w:tcMar>
                    <w:top w:w="15" w:type="dxa"/>
                    <w:left w:w="15" w:type="dxa"/>
                    <w:bottom w:w="0" w:type="dxa"/>
                    <w:right w:w="15" w:type="dxa"/>
                  </w:tcMar>
                  <w:vAlign w:val="center"/>
                </w:tcPr>
                <w:p w14:paraId="07856FA0">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糖排线</w:t>
                  </w:r>
                </w:p>
              </w:tc>
              <w:tc>
                <w:tcPr>
                  <w:tcW w:w="2085" w:type="dxa"/>
                  <w:noWrap/>
                  <w:tcMar>
                    <w:top w:w="15" w:type="dxa"/>
                    <w:left w:w="15" w:type="dxa"/>
                    <w:bottom w:w="0" w:type="dxa"/>
                    <w:right w:w="15" w:type="dxa"/>
                  </w:tcMar>
                  <w:vAlign w:val="center"/>
                </w:tcPr>
                <w:p w14:paraId="3DBD4CD9">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400型</w:t>
                  </w:r>
                </w:p>
              </w:tc>
              <w:tc>
                <w:tcPr>
                  <w:tcW w:w="1376" w:type="dxa"/>
                  <w:noWrap/>
                  <w:tcMar>
                    <w:top w:w="15" w:type="dxa"/>
                    <w:left w:w="15" w:type="dxa"/>
                    <w:bottom w:w="0" w:type="dxa"/>
                    <w:right w:w="15" w:type="dxa"/>
                  </w:tcMar>
                  <w:vAlign w:val="center"/>
                </w:tcPr>
                <w:p w14:paraId="6D0D8D32">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1</w:t>
                  </w:r>
                </w:p>
              </w:tc>
            </w:tr>
            <w:tr w14:paraId="6D303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601569A6">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包装</w:t>
                  </w:r>
                </w:p>
              </w:tc>
              <w:tc>
                <w:tcPr>
                  <w:tcW w:w="1215" w:type="dxa"/>
                  <w:noWrap/>
                  <w:tcMar>
                    <w:top w:w="15" w:type="dxa"/>
                    <w:left w:w="15" w:type="dxa"/>
                    <w:bottom w:w="0" w:type="dxa"/>
                    <w:right w:w="15" w:type="dxa"/>
                  </w:tcMar>
                  <w:vAlign w:val="center"/>
                </w:tcPr>
                <w:p w14:paraId="2E3D47ED">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包装</w:t>
                  </w:r>
                </w:p>
              </w:tc>
              <w:tc>
                <w:tcPr>
                  <w:tcW w:w="1950" w:type="dxa"/>
                  <w:noWrap/>
                  <w:tcMar>
                    <w:top w:w="15" w:type="dxa"/>
                    <w:left w:w="15" w:type="dxa"/>
                    <w:bottom w:w="0" w:type="dxa"/>
                    <w:right w:w="15" w:type="dxa"/>
                  </w:tcMar>
                  <w:vAlign w:val="center"/>
                </w:tcPr>
                <w:p w14:paraId="791AEBA6">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枕式包装机</w:t>
                  </w:r>
                </w:p>
              </w:tc>
              <w:tc>
                <w:tcPr>
                  <w:tcW w:w="2085" w:type="dxa"/>
                  <w:noWrap/>
                  <w:tcMar>
                    <w:top w:w="15" w:type="dxa"/>
                    <w:left w:w="15" w:type="dxa"/>
                    <w:bottom w:w="0" w:type="dxa"/>
                    <w:right w:w="15" w:type="dxa"/>
                  </w:tcMar>
                  <w:vAlign w:val="center"/>
                </w:tcPr>
                <w:p w14:paraId="194087B2">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JH-Z1222-2A</w:t>
                  </w:r>
                </w:p>
              </w:tc>
              <w:tc>
                <w:tcPr>
                  <w:tcW w:w="1376" w:type="dxa"/>
                  <w:noWrap/>
                  <w:tcMar>
                    <w:top w:w="15" w:type="dxa"/>
                    <w:left w:w="15" w:type="dxa"/>
                    <w:bottom w:w="0" w:type="dxa"/>
                    <w:right w:w="15" w:type="dxa"/>
                  </w:tcMar>
                  <w:vAlign w:val="center"/>
                </w:tcPr>
                <w:p w14:paraId="10356CFA">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1</w:t>
                  </w:r>
                </w:p>
              </w:tc>
            </w:tr>
            <w:tr w14:paraId="5620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3687359E">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充填</w:t>
                  </w:r>
                </w:p>
              </w:tc>
              <w:tc>
                <w:tcPr>
                  <w:tcW w:w="1215" w:type="dxa"/>
                  <w:noWrap/>
                  <w:tcMar>
                    <w:top w:w="15" w:type="dxa"/>
                    <w:left w:w="15" w:type="dxa"/>
                    <w:bottom w:w="0" w:type="dxa"/>
                    <w:right w:w="15" w:type="dxa"/>
                  </w:tcMar>
                  <w:vAlign w:val="center"/>
                </w:tcPr>
                <w:p w14:paraId="04CA9CCB">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充填</w:t>
                  </w:r>
                </w:p>
              </w:tc>
              <w:tc>
                <w:tcPr>
                  <w:tcW w:w="1950" w:type="dxa"/>
                  <w:noWrap/>
                  <w:tcMar>
                    <w:top w:w="15" w:type="dxa"/>
                    <w:left w:w="15" w:type="dxa"/>
                    <w:bottom w:w="0" w:type="dxa"/>
                    <w:right w:w="15" w:type="dxa"/>
                  </w:tcMar>
                  <w:vAlign w:val="center"/>
                </w:tcPr>
                <w:p w14:paraId="5C51E287">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凝胶灌装设备</w:t>
                  </w:r>
                </w:p>
              </w:tc>
              <w:tc>
                <w:tcPr>
                  <w:tcW w:w="2085" w:type="dxa"/>
                  <w:noWrap/>
                  <w:tcMar>
                    <w:top w:w="15" w:type="dxa"/>
                    <w:left w:w="15" w:type="dxa"/>
                    <w:bottom w:w="0" w:type="dxa"/>
                    <w:right w:w="15" w:type="dxa"/>
                  </w:tcMar>
                  <w:vAlign w:val="center"/>
                </w:tcPr>
                <w:p w14:paraId="5BC9FA16">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G3</w:t>
                  </w:r>
                </w:p>
              </w:tc>
              <w:tc>
                <w:tcPr>
                  <w:tcW w:w="1376" w:type="dxa"/>
                  <w:noWrap/>
                  <w:tcMar>
                    <w:top w:w="15" w:type="dxa"/>
                    <w:left w:w="15" w:type="dxa"/>
                    <w:bottom w:w="0" w:type="dxa"/>
                    <w:right w:w="15" w:type="dxa"/>
                  </w:tcMar>
                  <w:vAlign w:val="center"/>
                </w:tcPr>
                <w:p w14:paraId="451CE95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1</w:t>
                  </w:r>
                </w:p>
              </w:tc>
            </w:tr>
            <w:tr w14:paraId="3BF9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noWrap/>
                  <w:tcMar>
                    <w:top w:w="15" w:type="dxa"/>
                    <w:left w:w="15" w:type="dxa"/>
                    <w:bottom w:w="0" w:type="dxa"/>
                    <w:right w:w="15" w:type="dxa"/>
                  </w:tcMar>
                  <w:vAlign w:val="center"/>
                </w:tcPr>
                <w:p w14:paraId="2E14A8EF">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eastAsia" w:ascii="Times New Roman" w:hAnsi="Times New Roman" w:eastAsia="宋体" w:cs="Times New Roman"/>
                      <w:kern w:val="0"/>
                      <w:sz w:val="21"/>
                      <w:szCs w:val="21"/>
                      <w:lang w:val="en-US" w:eastAsia="zh-CN"/>
                      <w:woUserID w:val="2"/>
                    </w:rPr>
                    <w:t>乳化</w:t>
                  </w:r>
                </w:p>
              </w:tc>
              <w:tc>
                <w:tcPr>
                  <w:tcW w:w="1215" w:type="dxa"/>
                  <w:noWrap/>
                  <w:tcMar>
                    <w:top w:w="15" w:type="dxa"/>
                    <w:left w:w="15" w:type="dxa"/>
                    <w:bottom w:w="0" w:type="dxa"/>
                    <w:right w:w="15" w:type="dxa"/>
                  </w:tcMar>
                  <w:vAlign w:val="center"/>
                </w:tcPr>
                <w:p w14:paraId="6B35FC57">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乳化</w:t>
                  </w:r>
                </w:p>
              </w:tc>
              <w:tc>
                <w:tcPr>
                  <w:tcW w:w="1950" w:type="dxa"/>
                  <w:noWrap/>
                  <w:tcMar>
                    <w:top w:w="15" w:type="dxa"/>
                    <w:left w:w="15" w:type="dxa"/>
                    <w:bottom w:w="0" w:type="dxa"/>
                    <w:right w:w="15" w:type="dxa"/>
                  </w:tcMar>
                  <w:vAlign w:val="center"/>
                </w:tcPr>
                <w:p w14:paraId="6AED5902">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真空乳化机</w:t>
                  </w:r>
                </w:p>
              </w:tc>
              <w:tc>
                <w:tcPr>
                  <w:tcW w:w="2085" w:type="dxa"/>
                  <w:noWrap/>
                  <w:tcMar>
                    <w:top w:w="15" w:type="dxa"/>
                    <w:left w:w="15" w:type="dxa"/>
                    <w:bottom w:w="0" w:type="dxa"/>
                    <w:right w:w="15" w:type="dxa"/>
                  </w:tcMar>
                  <w:vAlign w:val="center"/>
                </w:tcPr>
                <w:p w14:paraId="5601EE88">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BXZRJ-100L</w:t>
                  </w:r>
                </w:p>
              </w:tc>
              <w:tc>
                <w:tcPr>
                  <w:tcW w:w="1376" w:type="dxa"/>
                  <w:noWrap/>
                  <w:tcMar>
                    <w:top w:w="15" w:type="dxa"/>
                    <w:left w:w="15" w:type="dxa"/>
                    <w:bottom w:w="0" w:type="dxa"/>
                    <w:right w:w="15" w:type="dxa"/>
                  </w:tcMar>
                  <w:vAlign w:val="center"/>
                </w:tcPr>
                <w:p w14:paraId="3D9D239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1</w:t>
                  </w:r>
                </w:p>
              </w:tc>
            </w:tr>
            <w:tr w14:paraId="4829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vMerge w:val="restart"/>
                  <w:noWrap/>
                  <w:tcMar>
                    <w:top w:w="15" w:type="dxa"/>
                    <w:left w:w="15" w:type="dxa"/>
                    <w:bottom w:w="0" w:type="dxa"/>
                    <w:right w:w="15" w:type="dxa"/>
                  </w:tcMar>
                  <w:vAlign w:val="center"/>
                </w:tcPr>
                <w:p w14:paraId="270CAB8C">
                  <w:pPr>
                    <w:adjustRightInd w:val="0"/>
                    <w:snapToGrid w:val="0"/>
                    <w:jc w:val="center"/>
                    <w:rPr>
                      <w:sz w:val="21"/>
                      <w:szCs w:val="21"/>
                    </w:rPr>
                  </w:pPr>
                  <w:r>
                    <w:rPr>
                      <w:rFonts w:hint="eastAsia"/>
                      <w:sz w:val="21"/>
                      <w:szCs w:val="21"/>
                      <w:lang w:val="en-US" w:eastAsia="zh-CN"/>
                    </w:rPr>
                    <w:t>公用</w:t>
                  </w:r>
                </w:p>
              </w:tc>
              <w:tc>
                <w:tcPr>
                  <w:tcW w:w="1215" w:type="dxa"/>
                  <w:vMerge w:val="restart"/>
                  <w:noWrap/>
                  <w:tcMar>
                    <w:top w:w="15" w:type="dxa"/>
                    <w:left w:w="15" w:type="dxa"/>
                    <w:bottom w:w="0" w:type="dxa"/>
                    <w:right w:w="15" w:type="dxa"/>
                  </w:tcMar>
                  <w:vAlign w:val="center"/>
                </w:tcPr>
                <w:p w14:paraId="6BD37B49">
                  <w:pPr>
                    <w:keepNext w:val="0"/>
                    <w:keepLines w:val="0"/>
                    <w:suppressLineNumbers w:val="0"/>
                    <w:spacing w:before="0" w:beforeAutospacing="0" w:after="0" w:afterAutospacing="0"/>
                    <w:ind w:left="0" w:leftChars="0" w:right="0" w:rightChars="0" w:firstLine="0" w:firstLineChars="0"/>
                    <w:jc w:val="center"/>
                    <w:rPr>
                      <w:rFonts w:hint="eastAsia" w:eastAsia="宋体"/>
                      <w:sz w:val="21"/>
                      <w:szCs w:val="21"/>
                      <w:lang w:eastAsia="zh-CN"/>
                    </w:rPr>
                  </w:pPr>
                  <w:r>
                    <w:rPr>
                      <w:rFonts w:hint="eastAsia"/>
                      <w:sz w:val="21"/>
                      <w:szCs w:val="21"/>
                      <w:lang w:val="en-US" w:eastAsia="zh-CN"/>
                    </w:rPr>
                    <w:t>公用</w:t>
                  </w:r>
                </w:p>
              </w:tc>
              <w:tc>
                <w:tcPr>
                  <w:tcW w:w="1950" w:type="dxa"/>
                  <w:noWrap/>
                  <w:tcMar>
                    <w:top w:w="15" w:type="dxa"/>
                    <w:left w:w="15" w:type="dxa"/>
                    <w:bottom w:w="0" w:type="dxa"/>
                    <w:right w:w="15" w:type="dxa"/>
                  </w:tcMar>
                  <w:vAlign w:val="center"/>
                </w:tcPr>
                <w:p w14:paraId="7BCF363A">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螺杆式空气压缩机</w:t>
                  </w:r>
                </w:p>
              </w:tc>
              <w:tc>
                <w:tcPr>
                  <w:tcW w:w="2085" w:type="dxa"/>
                  <w:noWrap/>
                  <w:tcMar>
                    <w:top w:w="15" w:type="dxa"/>
                    <w:left w:w="15" w:type="dxa"/>
                    <w:bottom w:w="0" w:type="dxa"/>
                    <w:right w:w="15" w:type="dxa"/>
                  </w:tcMar>
                  <w:vAlign w:val="center"/>
                </w:tcPr>
                <w:p w14:paraId="7FA22A7C">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BMVF75</w:t>
                  </w:r>
                </w:p>
              </w:tc>
              <w:tc>
                <w:tcPr>
                  <w:tcW w:w="1376" w:type="dxa"/>
                  <w:noWrap/>
                  <w:tcMar>
                    <w:top w:w="15" w:type="dxa"/>
                    <w:left w:w="15" w:type="dxa"/>
                    <w:bottom w:w="0" w:type="dxa"/>
                    <w:right w:w="15" w:type="dxa"/>
                  </w:tcMar>
                  <w:vAlign w:val="center"/>
                </w:tcPr>
                <w:p w14:paraId="287AD6CD">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1</w:t>
                  </w:r>
                </w:p>
              </w:tc>
            </w:tr>
            <w:tr w14:paraId="2865C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vMerge w:val="continue"/>
                  <w:noWrap/>
                  <w:tcMar>
                    <w:top w:w="15" w:type="dxa"/>
                    <w:left w:w="15" w:type="dxa"/>
                    <w:bottom w:w="0" w:type="dxa"/>
                    <w:right w:w="15" w:type="dxa"/>
                  </w:tcMar>
                  <w:vAlign w:val="center"/>
                </w:tcPr>
                <w:p w14:paraId="2595A55C">
                  <w:pPr>
                    <w:adjustRightInd w:val="0"/>
                    <w:snapToGrid w:val="0"/>
                    <w:jc w:val="center"/>
                    <w:rPr>
                      <w:sz w:val="21"/>
                      <w:szCs w:val="21"/>
                    </w:rPr>
                  </w:pPr>
                </w:p>
              </w:tc>
              <w:tc>
                <w:tcPr>
                  <w:tcW w:w="1215" w:type="dxa"/>
                  <w:vMerge w:val="continue"/>
                  <w:noWrap/>
                  <w:tcMar>
                    <w:top w:w="15" w:type="dxa"/>
                    <w:left w:w="15" w:type="dxa"/>
                    <w:bottom w:w="0" w:type="dxa"/>
                    <w:right w:w="15" w:type="dxa"/>
                  </w:tcMar>
                  <w:vAlign w:val="center"/>
                </w:tcPr>
                <w:p w14:paraId="23075BA1">
                  <w:pPr>
                    <w:keepNext w:val="0"/>
                    <w:keepLines w:val="0"/>
                    <w:suppressLineNumbers w:val="0"/>
                    <w:spacing w:before="0" w:beforeAutospacing="0" w:after="0" w:afterAutospacing="0"/>
                    <w:ind w:left="0" w:leftChars="0" w:right="0" w:rightChars="0" w:firstLine="0" w:firstLineChars="0"/>
                    <w:jc w:val="center"/>
                    <w:rPr>
                      <w:sz w:val="21"/>
                      <w:szCs w:val="21"/>
                    </w:rPr>
                  </w:pPr>
                </w:p>
              </w:tc>
              <w:tc>
                <w:tcPr>
                  <w:tcW w:w="1950" w:type="dxa"/>
                  <w:noWrap/>
                  <w:tcMar>
                    <w:top w:w="15" w:type="dxa"/>
                    <w:left w:w="15" w:type="dxa"/>
                    <w:bottom w:w="0" w:type="dxa"/>
                    <w:right w:w="15" w:type="dxa"/>
                  </w:tcMar>
                  <w:vAlign w:val="center"/>
                </w:tcPr>
                <w:p w14:paraId="33F1145C">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2"/>
                    </w:rPr>
                    <w:t>冷冻式压缩空气干燥器</w:t>
                  </w:r>
                </w:p>
              </w:tc>
              <w:tc>
                <w:tcPr>
                  <w:tcW w:w="2085" w:type="dxa"/>
                  <w:noWrap/>
                  <w:tcMar>
                    <w:top w:w="15" w:type="dxa"/>
                    <w:left w:w="15" w:type="dxa"/>
                    <w:bottom w:w="0" w:type="dxa"/>
                    <w:right w:w="15" w:type="dxa"/>
                  </w:tcMar>
                  <w:vAlign w:val="center"/>
                </w:tcPr>
                <w:p w14:paraId="621AF0EA">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2"/>
                    </w:rPr>
                    <w:t>KSAD-12HF</w:t>
                  </w:r>
                </w:p>
              </w:tc>
              <w:tc>
                <w:tcPr>
                  <w:tcW w:w="1376" w:type="dxa"/>
                  <w:noWrap/>
                  <w:tcMar>
                    <w:top w:w="15" w:type="dxa"/>
                    <w:left w:w="15" w:type="dxa"/>
                    <w:bottom w:w="0" w:type="dxa"/>
                    <w:right w:w="15" w:type="dxa"/>
                  </w:tcMar>
                  <w:vAlign w:val="center"/>
                </w:tcPr>
                <w:p w14:paraId="69AD767F">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2"/>
                    </w:rPr>
                    <w:t>1</w:t>
                  </w:r>
                </w:p>
              </w:tc>
            </w:tr>
            <w:tr w14:paraId="7EA9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89" w:type="dxa"/>
                  <w:vMerge w:val="continue"/>
                  <w:noWrap/>
                  <w:tcMar>
                    <w:top w:w="15" w:type="dxa"/>
                    <w:left w:w="15" w:type="dxa"/>
                    <w:bottom w:w="0" w:type="dxa"/>
                    <w:right w:w="15" w:type="dxa"/>
                  </w:tcMar>
                  <w:vAlign w:val="center"/>
                </w:tcPr>
                <w:p w14:paraId="39CCD064">
                  <w:pPr>
                    <w:adjustRightInd w:val="0"/>
                    <w:snapToGrid w:val="0"/>
                    <w:jc w:val="center"/>
                    <w:rPr>
                      <w:sz w:val="21"/>
                      <w:szCs w:val="21"/>
                    </w:rPr>
                  </w:pPr>
                </w:p>
              </w:tc>
              <w:tc>
                <w:tcPr>
                  <w:tcW w:w="1215" w:type="dxa"/>
                  <w:vMerge w:val="continue"/>
                  <w:noWrap/>
                  <w:tcMar>
                    <w:top w:w="15" w:type="dxa"/>
                    <w:left w:w="15" w:type="dxa"/>
                    <w:bottom w:w="0" w:type="dxa"/>
                    <w:right w:w="15" w:type="dxa"/>
                  </w:tcMar>
                  <w:vAlign w:val="center"/>
                </w:tcPr>
                <w:p w14:paraId="06D429DF">
                  <w:pPr>
                    <w:keepNext w:val="0"/>
                    <w:keepLines w:val="0"/>
                    <w:suppressLineNumbers w:val="0"/>
                    <w:spacing w:before="0" w:beforeAutospacing="0" w:after="0" w:afterAutospacing="0"/>
                    <w:ind w:left="0" w:leftChars="0" w:right="0" w:rightChars="0" w:firstLine="0" w:firstLineChars="0"/>
                    <w:jc w:val="center"/>
                    <w:rPr>
                      <w:rFonts w:hint="default"/>
                      <w:sz w:val="21"/>
                      <w:szCs w:val="21"/>
                      <w:lang w:val="en-US"/>
                    </w:rPr>
                  </w:pPr>
                </w:p>
              </w:tc>
              <w:tc>
                <w:tcPr>
                  <w:tcW w:w="1950" w:type="dxa"/>
                  <w:noWrap/>
                  <w:tcMar>
                    <w:top w:w="15" w:type="dxa"/>
                    <w:left w:w="15" w:type="dxa"/>
                    <w:bottom w:w="0" w:type="dxa"/>
                    <w:right w:w="15" w:type="dxa"/>
                  </w:tcMar>
                  <w:vAlign w:val="center"/>
                </w:tcPr>
                <w:p w14:paraId="4117B73C">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eastAsia" w:ascii="Times New Roman" w:hAnsi="Times New Roman" w:eastAsia="宋体" w:cs="Times New Roman"/>
                      <w:kern w:val="0"/>
                      <w:sz w:val="21"/>
                      <w:szCs w:val="21"/>
                      <w:lang w:eastAsia="zh"/>
                      <w:woUserID w:val="3"/>
                    </w:rPr>
                    <w:t>纯水设备</w:t>
                  </w:r>
                </w:p>
              </w:tc>
              <w:tc>
                <w:tcPr>
                  <w:tcW w:w="2085" w:type="dxa"/>
                  <w:noWrap/>
                  <w:tcMar>
                    <w:top w:w="15" w:type="dxa"/>
                    <w:left w:w="15" w:type="dxa"/>
                    <w:bottom w:w="0" w:type="dxa"/>
                    <w:right w:w="15" w:type="dxa"/>
                  </w:tcMar>
                  <w:vAlign w:val="center"/>
                </w:tcPr>
                <w:p w14:paraId="16629806">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eastAsia" w:ascii="Times New Roman" w:hAnsi="Times New Roman" w:eastAsia="宋体" w:cs="Times New Roman"/>
                      <w:kern w:val="0"/>
                      <w:sz w:val="21"/>
                      <w:szCs w:val="21"/>
                      <w:lang w:eastAsia="zh"/>
                      <w:woUserID w:val="3"/>
                    </w:rPr>
                    <w:t>MG-ROI-2000</w:t>
                  </w:r>
                </w:p>
              </w:tc>
              <w:tc>
                <w:tcPr>
                  <w:tcW w:w="1376" w:type="dxa"/>
                  <w:noWrap/>
                  <w:tcMar>
                    <w:top w:w="15" w:type="dxa"/>
                    <w:left w:w="15" w:type="dxa"/>
                    <w:bottom w:w="0" w:type="dxa"/>
                    <w:right w:w="15" w:type="dxa"/>
                  </w:tcMar>
                  <w:vAlign w:val="center"/>
                </w:tcPr>
                <w:p w14:paraId="0B1FE3AA">
                  <w:pPr>
                    <w:keepNext w:val="0"/>
                    <w:keepLines w:val="0"/>
                    <w:suppressLineNumbers w:val="0"/>
                    <w:spacing w:before="0" w:beforeAutospacing="0" w:after="0" w:afterAutospacing="0"/>
                    <w:ind w:left="0" w:leftChars="0" w:right="0" w:rightChars="0"/>
                    <w:jc w:val="center"/>
                    <w:rPr>
                      <w:rFonts w:hint="eastAsia"/>
                      <w:sz w:val="21"/>
                      <w:szCs w:val="21"/>
                    </w:rPr>
                  </w:pPr>
                  <w:r>
                    <w:rPr>
                      <w:rFonts w:hint="eastAsia" w:ascii="Times New Roman" w:hAnsi="Times New Roman" w:eastAsia="宋体" w:cs="Times New Roman"/>
                      <w:kern w:val="0"/>
                      <w:sz w:val="21"/>
                      <w:szCs w:val="21"/>
                      <w:lang w:eastAsia="zh"/>
                      <w:woUserID w:val="3"/>
                    </w:rPr>
                    <w:t>1</w:t>
                  </w:r>
                </w:p>
              </w:tc>
            </w:tr>
          </w:tbl>
          <w:p w14:paraId="254CFF47">
            <w:pPr>
              <w:widowControl/>
              <w:adjustRightInd w:val="0"/>
              <w:snapToGrid w:val="0"/>
              <w:spacing w:before="120" w:beforeLines="50" w:line="360" w:lineRule="auto"/>
              <w:textAlignment w:val="center"/>
              <w:rPr>
                <w:b/>
                <w:kern w:val="0"/>
              </w:rPr>
            </w:pPr>
            <w:r>
              <w:rPr>
                <w:rFonts w:hint="eastAsia"/>
                <w:b/>
                <w:kern w:val="0"/>
              </w:rPr>
              <w:t>4</w:t>
            </w:r>
            <w:r>
              <w:rPr>
                <w:b/>
                <w:kern w:val="0"/>
              </w:rPr>
              <w:t>、原辅料及能源消耗</w:t>
            </w:r>
          </w:p>
          <w:p w14:paraId="32D4F410">
            <w:pPr>
              <w:pStyle w:val="72"/>
              <w:spacing w:before="0" w:beforeAutospacing="0" w:after="0" w:afterAutospacing="0" w:line="360" w:lineRule="auto"/>
              <w:ind w:firstLine="480" w:firstLineChars="200"/>
              <w:rPr>
                <w:rFonts w:ascii="Times New Roman" w:hAnsi="Times New Roman"/>
                <w:b/>
                <w:bCs/>
              </w:rPr>
            </w:pPr>
            <w:r>
              <w:rPr>
                <w:rFonts w:ascii="Times New Roman" w:hAnsi="Times New Roman"/>
              </w:rPr>
              <w:t>本项目原辅材料及能源消耗情况如下表所示：</w:t>
            </w:r>
          </w:p>
          <w:p w14:paraId="552197B9">
            <w:pPr>
              <w:pStyle w:val="72"/>
              <w:adjustRightInd w:val="0"/>
              <w:snapToGrid w:val="0"/>
              <w:spacing w:before="0" w:beforeAutospacing="0" w:after="0" w:afterAutospacing="0"/>
              <w:jc w:val="center"/>
              <w:rPr>
                <w:rFonts w:ascii="Times New Roman" w:hAnsi="Times New Roman"/>
                <w:b/>
                <w:bCs/>
              </w:rPr>
            </w:pPr>
            <w:r>
              <w:rPr>
                <w:rFonts w:ascii="Times New Roman" w:hAnsi="Times New Roman"/>
                <w:b/>
                <w:bCs/>
              </w:rPr>
              <w:t>表</w:t>
            </w:r>
            <w:r>
              <w:rPr>
                <w:rFonts w:hint="eastAsia" w:ascii="Times New Roman" w:hAnsi="Times New Roman"/>
                <w:b/>
                <w:bCs/>
              </w:rPr>
              <w:t>2.4</w:t>
            </w:r>
            <w:r>
              <w:rPr>
                <w:rFonts w:ascii="Times New Roman" w:hAnsi="Times New Roman"/>
                <w:b/>
                <w:bCs/>
              </w:rPr>
              <w:t xml:space="preserve">  主要原辅材料及能源消耗一览表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661"/>
              <w:gridCol w:w="894"/>
              <w:gridCol w:w="795"/>
              <w:gridCol w:w="1935"/>
              <w:gridCol w:w="1125"/>
              <w:gridCol w:w="788"/>
            </w:tblGrid>
            <w:tr w14:paraId="33E2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0F039B1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类别</w:t>
                  </w:r>
                </w:p>
              </w:tc>
              <w:tc>
                <w:tcPr>
                  <w:tcW w:w="1661" w:type="dxa"/>
                  <w:tcBorders>
                    <w:top w:val="single" w:color="auto" w:sz="4" w:space="0"/>
                    <w:left w:val="nil"/>
                    <w:bottom w:val="single" w:color="auto" w:sz="4" w:space="0"/>
                    <w:right w:val="single" w:color="auto" w:sz="4" w:space="0"/>
                  </w:tcBorders>
                  <w:vAlign w:val="center"/>
                </w:tcPr>
                <w:p w14:paraId="381A8DC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894" w:type="dxa"/>
                  <w:tcBorders>
                    <w:top w:val="single" w:color="auto" w:sz="4" w:space="0"/>
                    <w:left w:val="nil"/>
                    <w:bottom w:val="single" w:color="auto" w:sz="4" w:space="0"/>
                    <w:right w:val="single" w:color="auto" w:sz="4" w:space="0"/>
                  </w:tcBorders>
                  <w:vAlign w:val="center"/>
                </w:tcPr>
                <w:p w14:paraId="4B638F36">
                  <w:pPr>
                    <w:keepNext w:val="0"/>
                    <w:keepLines w:val="0"/>
                    <w:pageBreakBefore w:val="0"/>
                    <w:kinsoku/>
                    <w:wordWrap/>
                    <w:overflowPunct/>
                    <w:topLinePunct w:val="0"/>
                    <w:autoSpaceDE/>
                    <w:autoSpaceDN/>
                    <w:bidi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bidi="ar"/>
                    </w:rPr>
                    <w:t>消耗量</w:t>
                  </w:r>
                </w:p>
              </w:tc>
              <w:tc>
                <w:tcPr>
                  <w:tcW w:w="795" w:type="dxa"/>
                  <w:tcBorders>
                    <w:top w:val="single" w:color="auto" w:sz="4" w:space="0"/>
                    <w:left w:val="nil"/>
                    <w:bottom w:val="single" w:color="auto" w:sz="4" w:space="0"/>
                    <w:right w:val="single" w:color="auto" w:sz="4" w:space="0"/>
                  </w:tcBorders>
                  <w:vAlign w:val="center"/>
                </w:tcPr>
                <w:p w14:paraId="2E3DD48D">
                  <w:pPr>
                    <w:keepNext w:val="0"/>
                    <w:keepLines w:val="0"/>
                    <w:pageBreakBefore w:val="0"/>
                    <w:kinsoku/>
                    <w:wordWrap/>
                    <w:overflowPunct/>
                    <w:topLinePunct w:val="0"/>
                    <w:autoSpaceDE/>
                    <w:autoSpaceDN/>
                    <w:bidi w:val="0"/>
                    <w:jc w:val="center"/>
                    <w:rPr>
                      <w:rFonts w:hint="default" w:ascii="Times New Roman" w:hAnsi="Times New Roman" w:eastAsia="宋体" w:cs="Times New Roman"/>
                      <w:b/>
                      <w:sz w:val="21"/>
                      <w:szCs w:val="21"/>
                      <w:lang w:bidi="ar"/>
                    </w:rPr>
                  </w:pPr>
                  <w:r>
                    <w:rPr>
                      <w:rFonts w:hint="default" w:ascii="Times New Roman" w:hAnsi="Times New Roman" w:eastAsia="宋体" w:cs="Times New Roman"/>
                      <w:b/>
                      <w:bCs/>
                      <w:sz w:val="21"/>
                      <w:szCs w:val="21"/>
                    </w:rPr>
                    <w:t>单位</w:t>
                  </w:r>
                </w:p>
              </w:tc>
              <w:tc>
                <w:tcPr>
                  <w:tcW w:w="1935" w:type="dxa"/>
                  <w:tcBorders>
                    <w:top w:val="single" w:color="auto" w:sz="4" w:space="0"/>
                    <w:left w:val="nil"/>
                    <w:bottom w:val="single" w:color="auto" w:sz="4" w:space="0"/>
                    <w:right w:val="single" w:color="auto" w:sz="4" w:space="0"/>
                  </w:tcBorders>
                  <w:vAlign w:val="center"/>
                </w:tcPr>
                <w:p w14:paraId="6392E034">
                  <w:pPr>
                    <w:keepNext w:val="0"/>
                    <w:keepLines w:val="0"/>
                    <w:pageBreakBefore w:val="0"/>
                    <w:kinsoku/>
                    <w:wordWrap/>
                    <w:overflowPunct/>
                    <w:topLinePunct w:val="0"/>
                    <w:autoSpaceDE/>
                    <w:autoSpaceDN/>
                    <w:bidi w:val="0"/>
                    <w:jc w:val="center"/>
                    <w:rPr>
                      <w:rFonts w:hint="default" w:ascii="Times New Roman" w:hAnsi="Times New Roman" w:eastAsia="宋体" w:cs="Times New Roman"/>
                      <w:b/>
                      <w:sz w:val="21"/>
                      <w:szCs w:val="21"/>
                      <w:lang w:eastAsia="zh-CN" w:bidi="ar"/>
                    </w:rPr>
                  </w:pPr>
                  <w:r>
                    <w:rPr>
                      <w:rFonts w:hint="default" w:ascii="Times New Roman" w:hAnsi="Times New Roman" w:eastAsia="宋体" w:cs="Times New Roman"/>
                      <w:b/>
                      <w:sz w:val="21"/>
                      <w:szCs w:val="21"/>
                      <w:lang w:bidi="ar"/>
                    </w:rPr>
                    <w:t>最大储存量/</w:t>
                  </w:r>
                  <w:r>
                    <w:rPr>
                      <w:rFonts w:hint="default" w:ascii="Times New Roman" w:hAnsi="Times New Roman" w:eastAsia="宋体" w:cs="Times New Roman"/>
                      <w:b/>
                      <w:sz w:val="21"/>
                      <w:szCs w:val="21"/>
                      <w:lang w:val="en-US" w:eastAsia="zh-CN" w:bidi="ar"/>
                    </w:rPr>
                    <w:t>形态</w:t>
                  </w:r>
                </w:p>
              </w:tc>
              <w:tc>
                <w:tcPr>
                  <w:tcW w:w="1125" w:type="dxa"/>
                  <w:tcBorders>
                    <w:top w:val="single" w:color="auto" w:sz="4" w:space="0"/>
                    <w:left w:val="nil"/>
                    <w:bottom w:val="single" w:color="auto" w:sz="4" w:space="0"/>
                    <w:right w:val="single" w:color="auto" w:sz="4" w:space="0"/>
                  </w:tcBorders>
                  <w:vAlign w:val="center"/>
                </w:tcPr>
                <w:p w14:paraId="54FF9528">
                  <w:pPr>
                    <w:keepNext w:val="0"/>
                    <w:keepLines w:val="0"/>
                    <w:pageBreakBefore w:val="0"/>
                    <w:kinsoku/>
                    <w:wordWrap/>
                    <w:overflowPunct/>
                    <w:topLinePunct w:val="0"/>
                    <w:autoSpaceDE/>
                    <w:autoSpaceDN/>
                    <w:bidi w:val="0"/>
                    <w:jc w:val="center"/>
                    <w:rPr>
                      <w:rFonts w:hint="default" w:ascii="Times New Roman" w:hAnsi="Times New Roman" w:eastAsia="宋体" w:cs="Times New Roman"/>
                      <w:b/>
                      <w:sz w:val="21"/>
                      <w:szCs w:val="21"/>
                      <w:lang w:bidi="ar"/>
                    </w:rPr>
                  </w:pPr>
                  <w:r>
                    <w:rPr>
                      <w:rFonts w:hint="default" w:ascii="Times New Roman" w:hAnsi="Times New Roman" w:eastAsia="宋体" w:cs="Times New Roman"/>
                      <w:b/>
                      <w:sz w:val="21"/>
                      <w:szCs w:val="21"/>
                      <w:lang w:bidi="ar"/>
                    </w:rPr>
                    <w:t>储存周期</w:t>
                  </w:r>
                </w:p>
              </w:tc>
              <w:tc>
                <w:tcPr>
                  <w:tcW w:w="788" w:type="dxa"/>
                  <w:tcBorders>
                    <w:top w:val="single" w:color="auto" w:sz="4" w:space="0"/>
                    <w:left w:val="nil"/>
                    <w:bottom w:val="single" w:color="auto" w:sz="4" w:space="0"/>
                    <w:right w:val="single" w:color="auto" w:sz="4" w:space="0"/>
                  </w:tcBorders>
                  <w:vAlign w:val="center"/>
                </w:tcPr>
                <w:p w14:paraId="16357E15">
                  <w:pPr>
                    <w:keepNext w:val="0"/>
                    <w:keepLines w:val="0"/>
                    <w:pageBreakBefore w:val="0"/>
                    <w:kinsoku/>
                    <w:wordWrap/>
                    <w:overflowPunct/>
                    <w:topLinePunct w:val="0"/>
                    <w:autoSpaceDE/>
                    <w:autoSpaceDN/>
                    <w:bidi w:val="0"/>
                    <w:jc w:val="center"/>
                    <w:rPr>
                      <w:rFonts w:hint="default" w:ascii="Times New Roman" w:hAnsi="Times New Roman" w:eastAsia="宋体" w:cs="Times New Roman"/>
                      <w:b/>
                      <w:sz w:val="21"/>
                      <w:szCs w:val="21"/>
                      <w:lang w:bidi="ar"/>
                    </w:rPr>
                  </w:pPr>
                  <w:r>
                    <w:rPr>
                      <w:rFonts w:hint="default" w:ascii="Times New Roman" w:hAnsi="Times New Roman" w:eastAsia="宋体" w:cs="Times New Roman"/>
                      <w:b/>
                      <w:sz w:val="21"/>
                      <w:szCs w:val="21"/>
                      <w:lang w:bidi="ar"/>
                    </w:rPr>
                    <w:t>备注</w:t>
                  </w:r>
                </w:p>
              </w:tc>
            </w:tr>
            <w:tr w14:paraId="0DDC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restart"/>
                  <w:tcBorders>
                    <w:top w:val="single" w:color="auto" w:sz="4" w:space="0"/>
                    <w:left w:val="single" w:color="auto" w:sz="4" w:space="0"/>
                    <w:right w:val="single" w:color="auto" w:sz="4" w:space="0"/>
                  </w:tcBorders>
                  <w:vAlign w:val="center"/>
                </w:tcPr>
                <w:p w14:paraId="1B71604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sz w:val="21"/>
                      <w:szCs w:val="21"/>
                    </w:rPr>
                    <w:t>原辅料</w:t>
                  </w:r>
                </w:p>
              </w:tc>
              <w:tc>
                <w:tcPr>
                  <w:tcW w:w="1661" w:type="dxa"/>
                  <w:tcBorders>
                    <w:top w:val="single" w:color="auto" w:sz="4" w:space="0"/>
                    <w:left w:val="nil"/>
                    <w:bottom w:val="single" w:color="auto" w:sz="4" w:space="0"/>
                    <w:right w:val="single" w:color="auto" w:sz="4" w:space="0"/>
                  </w:tcBorders>
                  <w:vAlign w:val="center"/>
                </w:tcPr>
                <w:p w14:paraId="0E61C0BB">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低聚异麦芽糖</w:t>
                  </w:r>
                </w:p>
              </w:tc>
              <w:tc>
                <w:tcPr>
                  <w:tcW w:w="894" w:type="dxa"/>
                  <w:tcBorders>
                    <w:top w:val="single" w:color="auto" w:sz="4" w:space="0"/>
                    <w:left w:val="nil"/>
                    <w:bottom w:val="single" w:color="auto" w:sz="4" w:space="0"/>
                    <w:right w:val="single" w:color="auto" w:sz="4" w:space="0"/>
                  </w:tcBorders>
                  <w:vAlign w:val="center"/>
                </w:tcPr>
                <w:p w14:paraId="63293B0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lang w:val="en-US" w:eastAsia="zh-CN"/>
                    </w:rPr>
                  </w:pPr>
                  <w:r>
                    <w:rPr>
                      <w:rFonts w:hint="default" w:ascii="Times New Roman" w:hAnsi="Times New Roman" w:eastAsia="宋体" w:cs="PingFang SC"/>
                      <w:i w:val="0"/>
                      <w:iCs w:val="0"/>
                      <w:color w:val="000000"/>
                      <w:kern w:val="0"/>
                      <w:sz w:val="21"/>
                      <w:szCs w:val="21"/>
                      <w:u w:val="none"/>
                      <w:lang w:val="en-US" w:eastAsia="zh-CN" w:bidi="ar"/>
                      <w:woUserID w:val="2"/>
                    </w:rPr>
                    <w:t>96</w:t>
                  </w:r>
                </w:p>
              </w:tc>
              <w:tc>
                <w:tcPr>
                  <w:tcW w:w="795" w:type="dxa"/>
                  <w:tcBorders>
                    <w:top w:val="single" w:color="auto" w:sz="4" w:space="0"/>
                    <w:left w:val="nil"/>
                    <w:bottom w:val="single" w:color="auto" w:sz="4" w:space="0"/>
                    <w:right w:val="single" w:color="auto" w:sz="4" w:space="0"/>
                  </w:tcBorders>
                  <w:vAlign w:val="center"/>
                </w:tcPr>
                <w:p w14:paraId="2FDB45F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7C7729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420" w:firstLineChars="20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woUserID w:val="2"/>
                    </w:rPr>
                    <w:t>9.6t/粉剂</w:t>
                  </w:r>
                </w:p>
              </w:tc>
              <w:tc>
                <w:tcPr>
                  <w:tcW w:w="1125" w:type="dxa"/>
                  <w:tcBorders>
                    <w:top w:val="single" w:color="auto" w:sz="4" w:space="0"/>
                    <w:left w:val="nil"/>
                    <w:bottom w:val="single" w:color="auto" w:sz="4" w:space="0"/>
                    <w:right w:val="single" w:color="auto" w:sz="4" w:space="0"/>
                  </w:tcBorders>
                  <w:vAlign w:val="center"/>
                </w:tcPr>
                <w:p w14:paraId="09D393D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0E24091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color w:val="auto"/>
                      <w:kern w:val="0"/>
                      <w:sz w:val="21"/>
                      <w:szCs w:val="21"/>
                      <w:lang w:val="en-US" w:eastAsia="zh-CN"/>
                    </w:rPr>
                    <w:t>外购</w:t>
                  </w:r>
                </w:p>
              </w:tc>
            </w:tr>
            <w:tr w14:paraId="0647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7BBE9522">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05425BC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麦芽糊精</w:t>
                  </w:r>
                </w:p>
              </w:tc>
              <w:tc>
                <w:tcPr>
                  <w:tcW w:w="894" w:type="dxa"/>
                  <w:tcBorders>
                    <w:top w:val="single" w:color="auto" w:sz="4" w:space="0"/>
                    <w:left w:val="nil"/>
                    <w:bottom w:val="single" w:color="auto" w:sz="4" w:space="0"/>
                    <w:right w:val="single" w:color="auto" w:sz="4" w:space="0"/>
                  </w:tcBorders>
                  <w:vAlign w:val="center"/>
                </w:tcPr>
                <w:p w14:paraId="4D03797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243</w:t>
                  </w:r>
                </w:p>
              </w:tc>
              <w:tc>
                <w:tcPr>
                  <w:tcW w:w="795" w:type="dxa"/>
                  <w:tcBorders>
                    <w:top w:val="single" w:color="auto" w:sz="4" w:space="0"/>
                    <w:left w:val="nil"/>
                    <w:bottom w:val="single" w:color="auto" w:sz="4" w:space="0"/>
                    <w:right w:val="single" w:color="auto" w:sz="4" w:space="0"/>
                  </w:tcBorders>
                  <w:vAlign w:val="center"/>
                </w:tcPr>
                <w:p w14:paraId="1FCC91B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685488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woUserID w:val="2"/>
                    </w:rPr>
                    <w:t>24.3t/粉剂</w:t>
                  </w:r>
                </w:p>
              </w:tc>
              <w:tc>
                <w:tcPr>
                  <w:tcW w:w="1125" w:type="dxa"/>
                  <w:tcBorders>
                    <w:top w:val="single" w:color="auto" w:sz="4" w:space="0"/>
                    <w:left w:val="nil"/>
                    <w:bottom w:val="single" w:color="auto" w:sz="4" w:space="0"/>
                    <w:right w:val="single" w:color="auto" w:sz="4" w:space="0"/>
                  </w:tcBorders>
                  <w:vAlign w:val="center"/>
                </w:tcPr>
                <w:p w14:paraId="3467C48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65D4EC2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lang w:val="en-US" w:eastAsia="zh-CN"/>
                    </w:rPr>
                    <w:t>外购</w:t>
                  </w:r>
                </w:p>
              </w:tc>
            </w:tr>
            <w:tr w14:paraId="7B70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3146CBCC">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72F7CD9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山梨糖醇</w:t>
                  </w:r>
                </w:p>
              </w:tc>
              <w:tc>
                <w:tcPr>
                  <w:tcW w:w="894" w:type="dxa"/>
                  <w:tcBorders>
                    <w:top w:val="single" w:color="auto" w:sz="4" w:space="0"/>
                    <w:left w:val="nil"/>
                    <w:bottom w:val="single" w:color="auto" w:sz="4" w:space="0"/>
                    <w:right w:val="single" w:color="auto" w:sz="4" w:space="0"/>
                  </w:tcBorders>
                  <w:vAlign w:val="center"/>
                </w:tcPr>
                <w:p w14:paraId="57BBE25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187</w:t>
                  </w:r>
                </w:p>
              </w:tc>
              <w:tc>
                <w:tcPr>
                  <w:tcW w:w="795" w:type="dxa"/>
                  <w:tcBorders>
                    <w:top w:val="single" w:color="auto" w:sz="4" w:space="0"/>
                    <w:left w:val="nil"/>
                    <w:bottom w:val="single" w:color="auto" w:sz="4" w:space="0"/>
                    <w:right w:val="single" w:color="auto" w:sz="4" w:space="0"/>
                  </w:tcBorders>
                  <w:vAlign w:val="center"/>
                </w:tcPr>
                <w:p w14:paraId="488224B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44C215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woUserID w:val="2"/>
                    </w:rPr>
                    <w:t>18.7</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nil"/>
                    <w:bottom w:val="single" w:color="auto" w:sz="4" w:space="0"/>
                    <w:right w:val="single" w:color="auto" w:sz="4" w:space="0"/>
                  </w:tcBorders>
                  <w:vAlign w:val="center"/>
                </w:tcPr>
                <w:p w14:paraId="0474B24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7BC30CF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lang w:val="en-US" w:eastAsia="zh-CN"/>
                    </w:rPr>
                    <w:t>外购</w:t>
                  </w:r>
                </w:p>
              </w:tc>
            </w:tr>
            <w:tr w14:paraId="4E2E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613C4E38">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044C21A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color w:val="auto"/>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水苏糖</w:t>
                  </w:r>
                </w:p>
              </w:tc>
              <w:tc>
                <w:tcPr>
                  <w:tcW w:w="894" w:type="dxa"/>
                  <w:tcBorders>
                    <w:top w:val="single" w:color="auto" w:sz="4" w:space="0"/>
                    <w:left w:val="nil"/>
                    <w:bottom w:val="single" w:color="auto" w:sz="4" w:space="0"/>
                    <w:right w:val="single" w:color="auto" w:sz="4" w:space="0"/>
                  </w:tcBorders>
                  <w:vAlign w:val="center"/>
                </w:tcPr>
                <w:p w14:paraId="0AFB6E2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color w:val="auto"/>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153</w:t>
                  </w:r>
                </w:p>
              </w:tc>
              <w:tc>
                <w:tcPr>
                  <w:tcW w:w="795" w:type="dxa"/>
                  <w:tcBorders>
                    <w:top w:val="single" w:color="auto" w:sz="4" w:space="0"/>
                    <w:left w:val="nil"/>
                    <w:bottom w:val="single" w:color="auto" w:sz="4" w:space="0"/>
                    <w:right w:val="single" w:color="auto" w:sz="4" w:space="0"/>
                  </w:tcBorders>
                  <w:vAlign w:val="center"/>
                </w:tcPr>
                <w:p w14:paraId="74360C3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7EE8BA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kern w:val="0"/>
                      <w:sz w:val="21"/>
                      <w:szCs w:val="21"/>
                      <w:lang w:val="en-US" w:eastAsia="zh-CN"/>
                      <w:woUserID w:val="2"/>
                    </w:rPr>
                    <w:t>15.3</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nil"/>
                    <w:bottom w:val="single" w:color="auto" w:sz="4" w:space="0"/>
                    <w:right w:val="single" w:color="auto" w:sz="4" w:space="0"/>
                  </w:tcBorders>
                  <w:vAlign w:val="center"/>
                </w:tcPr>
                <w:p w14:paraId="7A58C38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53EF971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外购</w:t>
                  </w:r>
                </w:p>
              </w:tc>
            </w:tr>
            <w:tr w14:paraId="51B42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6361E698">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56C4FAA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麦芽糖醇液</w:t>
                  </w:r>
                </w:p>
              </w:tc>
              <w:tc>
                <w:tcPr>
                  <w:tcW w:w="894" w:type="dxa"/>
                  <w:tcBorders>
                    <w:top w:val="single" w:color="auto" w:sz="4" w:space="0"/>
                    <w:left w:val="nil"/>
                    <w:bottom w:val="single" w:color="auto" w:sz="4" w:space="0"/>
                    <w:right w:val="single" w:color="auto" w:sz="4" w:space="0"/>
                  </w:tcBorders>
                  <w:vAlign w:val="center"/>
                </w:tcPr>
                <w:p w14:paraId="5B745B16">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40</w:t>
                  </w:r>
                </w:p>
              </w:tc>
              <w:tc>
                <w:tcPr>
                  <w:tcW w:w="795" w:type="dxa"/>
                  <w:tcBorders>
                    <w:top w:val="single" w:color="auto" w:sz="4" w:space="0"/>
                    <w:left w:val="nil"/>
                    <w:bottom w:val="single" w:color="auto" w:sz="4" w:space="0"/>
                    <w:right w:val="single" w:color="auto" w:sz="4" w:space="0"/>
                  </w:tcBorders>
                  <w:vAlign w:val="center"/>
                </w:tcPr>
                <w:p w14:paraId="399B7DE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410313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woUserID w:val="2"/>
                    </w:rPr>
                    <w:t>4</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/液体</w:t>
                  </w:r>
                </w:p>
              </w:tc>
              <w:tc>
                <w:tcPr>
                  <w:tcW w:w="1125" w:type="dxa"/>
                  <w:tcBorders>
                    <w:top w:val="single" w:color="auto" w:sz="4" w:space="0"/>
                    <w:left w:val="nil"/>
                    <w:bottom w:val="single" w:color="auto" w:sz="4" w:space="0"/>
                    <w:right w:val="single" w:color="auto" w:sz="4" w:space="0"/>
                  </w:tcBorders>
                  <w:vAlign w:val="center"/>
                </w:tcPr>
                <w:p w14:paraId="416F1F0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0C89960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lang w:val="en-US" w:eastAsia="zh-CN"/>
                    </w:rPr>
                    <w:t>外购</w:t>
                  </w:r>
                </w:p>
              </w:tc>
            </w:tr>
            <w:tr w14:paraId="633C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0E49073E">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656FCD1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可可味涂层糖果</w:t>
                  </w:r>
                </w:p>
              </w:tc>
              <w:tc>
                <w:tcPr>
                  <w:tcW w:w="894" w:type="dxa"/>
                  <w:tcBorders>
                    <w:top w:val="single" w:color="auto" w:sz="4" w:space="0"/>
                    <w:left w:val="nil"/>
                    <w:bottom w:val="single" w:color="auto" w:sz="4" w:space="0"/>
                    <w:right w:val="single" w:color="auto" w:sz="4" w:space="0"/>
                  </w:tcBorders>
                  <w:vAlign w:val="center"/>
                </w:tcPr>
                <w:p w14:paraId="5A13F5D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40</w:t>
                  </w:r>
                </w:p>
              </w:tc>
              <w:tc>
                <w:tcPr>
                  <w:tcW w:w="795" w:type="dxa"/>
                  <w:tcBorders>
                    <w:top w:val="single" w:color="auto" w:sz="4" w:space="0"/>
                    <w:left w:val="nil"/>
                    <w:bottom w:val="single" w:color="auto" w:sz="4" w:space="0"/>
                    <w:right w:val="single" w:color="auto" w:sz="4" w:space="0"/>
                  </w:tcBorders>
                  <w:vAlign w:val="center"/>
                </w:tcPr>
                <w:p w14:paraId="6A4FB1F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598979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woUserID w:val="2"/>
                    </w:rPr>
                    <w:t>4</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/固态</w:t>
                  </w:r>
                </w:p>
              </w:tc>
              <w:tc>
                <w:tcPr>
                  <w:tcW w:w="1125" w:type="dxa"/>
                  <w:tcBorders>
                    <w:top w:val="single" w:color="auto" w:sz="4" w:space="0"/>
                    <w:left w:val="nil"/>
                    <w:bottom w:val="single" w:color="auto" w:sz="4" w:space="0"/>
                    <w:right w:val="single" w:color="auto" w:sz="4" w:space="0"/>
                  </w:tcBorders>
                  <w:vAlign w:val="center"/>
                </w:tcPr>
                <w:p w14:paraId="01CCD65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7B567D8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lang w:val="en-US" w:eastAsia="zh-CN"/>
                    </w:rPr>
                    <w:t>外购</w:t>
                  </w:r>
                </w:p>
              </w:tc>
            </w:tr>
            <w:tr w14:paraId="2B9D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1D24F151">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0F5A247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赤藓糖醇</w:t>
                  </w:r>
                </w:p>
              </w:tc>
              <w:tc>
                <w:tcPr>
                  <w:tcW w:w="894" w:type="dxa"/>
                  <w:tcBorders>
                    <w:top w:val="single" w:color="auto" w:sz="4" w:space="0"/>
                    <w:left w:val="nil"/>
                    <w:bottom w:val="single" w:color="auto" w:sz="4" w:space="0"/>
                    <w:right w:val="single" w:color="auto" w:sz="4" w:space="0"/>
                  </w:tcBorders>
                  <w:vAlign w:val="center"/>
                </w:tcPr>
                <w:p w14:paraId="11825FC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15</w:t>
                  </w:r>
                </w:p>
              </w:tc>
              <w:tc>
                <w:tcPr>
                  <w:tcW w:w="795" w:type="dxa"/>
                  <w:tcBorders>
                    <w:top w:val="single" w:color="auto" w:sz="4" w:space="0"/>
                    <w:left w:val="nil"/>
                    <w:bottom w:val="single" w:color="auto" w:sz="4" w:space="0"/>
                    <w:right w:val="single" w:color="auto" w:sz="4" w:space="0"/>
                  </w:tcBorders>
                  <w:vAlign w:val="center"/>
                </w:tcPr>
                <w:p w14:paraId="0D97B3A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nil"/>
                    <w:bottom w:val="single" w:color="auto" w:sz="4" w:space="0"/>
                    <w:right w:val="single" w:color="auto" w:sz="4" w:space="0"/>
                  </w:tcBorders>
                  <w:vAlign w:val="center"/>
                </w:tcPr>
                <w:p w14:paraId="5A678A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woUserID w:val="2"/>
                    </w:rPr>
                    <w:t>1.5</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nil"/>
                    <w:bottom w:val="single" w:color="auto" w:sz="4" w:space="0"/>
                    <w:right w:val="single" w:color="auto" w:sz="4" w:space="0"/>
                  </w:tcBorders>
                  <w:vAlign w:val="center"/>
                </w:tcPr>
                <w:p w14:paraId="7F7C88A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nil"/>
                    <w:bottom w:val="single" w:color="auto" w:sz="4" w:space="0"/>
                    <w:right w:val="single" w:color="auto" w:sz="4" w:space="0"/>
                  </w:tcBorders>
                  <w:vAlign w:val="center"/>
                </w:tcPr>
                <w:p w14:paraId="207528C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color w:val="auto"/>
                      <w:kern w:val="0"/>
                      <w:sz w:val="21"/>
                      <w:szCs w:val="21"/>
                      <w:lang w:val="en-US" w:eastAsia="zh-CN"/>
                    </w:rPr>
                    <w:t>外购</w:t>
                  </w:r>
                </w:p>
              </w:tc>
            </w:tr>
            <w:tr w14:paraId="3571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5931BD1A">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22175F1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聚葡萄糖</w:t>
                  </w:r>
                </w:p>
              </w:tc>
              <w:tc>
                <w:tcPr>
                  <w:tcW w:w="894" w:type="dxa"/>
                  <w:tcBorders>
                    <w:top w:val="single" w:color="auto" w:sz="4" w:space="0"/>
                    <w:left w:val="nil"/>
                    <w:bottom w:val="single" w:color="auto" w:sz="4" w:space="0"/>
                    <w:right w:val="single" w:color="auto" w:sz="4" w:space="0"/>
                  </w:tcBorders>
                  <w:vAlign w:val="center"/>
                </w:tcPr>
                <w:p w14:paraId="0529D242">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222</w:t>
                  </w:r>
                </w:p>
              </w:tc>
              <w:tc>
                <w:tcPr>
                  <w:tcW w:w="795" w:type="dxa"/>
                  <w:tcBorders>
                    <w:top w:val="single" w:color="auto" w:sz="4" w:space="0"/>
                    <w:left w:val="nil"/>
                    <w:bottom w:val="single" w:color="auto" w:sz="4" w:space="0"/>
                    <w:right w:val="single" w:color="auto" w:sz="4" w:space="0"/>
                  </w:tcBorders>
                  <w:vAlign w:val="center"/>
                </w:tcPr>
                <w:p w14:paraId="7811754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5599FF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kern w:val="0"/>
                      <w:sz w:val="21"/>
                      <w:szCs w:val="21"/>
                      <w:lang w:val="en-US" w:eastAsia="zh-CN"/>
                      <w:woUserID w:val="2"/>
                    </w:rPr>
                    <w:t>22.2</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10EC78C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70C6D0E8">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58A6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5CEC7AEB">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373F26E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大豆分离蛋白</w:t>
                  </w:r>
                </w:p>
              </w:tc>
              <w:tc>
                <w:tcPr>
                  <w:tcW w:w="894" w:type="dxa"/>
                  <w:tcBorders>
                    <w:top w:val="single" w:color="auto" w:sz="4" w:space="0"/>
                    <w:left w:val="nil"/>
                    <w:bottom w:val="single" w:color="auto" w:sz="4" w:space="0"/>
                    <w:right w:val="single" w:color="auto" w:sz="4" w:space="0"/>
                  </w:tcBorders>
                  <w:vAlign w:val="center"/>
                </w:tcPr>
                <w:p w14:paraId="1FE90DF4">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154</w:t>
                  </w:r>
                </w:p>
              </w:tc>
              <w:tc>
                <w:tcPr>
                  <w:tcW w:w="795" w:type="dxa"/>
                  <w:tcBorders>
                    <w:top w:val="single" w:color="auto" w:sz="4" w:space="0"/>
                    <w:left w:val="nil"/>
                    <w:bottom w:val="single" w:color="auto" w:sz="4" w:space="0"/>
                    <w:right w:val="single" w:color="auto" w:sz="4" w:space="0"/>
                  </w:tcBorders>
                  <w:vAlign w:val="center"/>
                </w:tcPr>
                <w:p w14:paraId="32578FC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0C38B8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15.4</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0739CF0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7F52825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28FDA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6C2F48B8">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065287A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抗性糊精</w:t>
                  </w:r>
                </w:p>
              </w:tc>
              <w:tc>
                <w:tcPr>
                  <w:tcW w:w="894" w:type="dxa"/>
                  <w:tcBorders>
                    <w:top w:val="single" w:color="auto" w:sz="4" w:space="0"/>
                    <w:left w:val="nil"/>
                    <w:bottom w:val="single" w:color="auto" w:sz="4" w:space="0"/>
                    <w:right w:val="single" w:color="auto" w:sz="4" w:space="0"/>
                  </w:tcBorders>
                  <w:vAlign w:val="center"/>
                </w:tcPr>
                <w:p w14:paraId="5CBCBBE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181</w:t>
                  </w:r>
                </w:p>
              </w:tc>
              <w:tc>
                <w:tcPr>
                  <w:tcW w:w="795" w:type="dxa"/>
                  <w:tcBorders>
                    <w:top w:val="single" w:color="auto" w:sz="4" w:space="0"/>
                    <w:left w:val="nil"/>
                    <w:bottom w:val="single" w:color="auto" w:sz="4" w:space="0"/>
                    <w:right w:val="single" w:color="auto" w:sz="4" w:space="0"/>
                  </w:tcBorders>
                  <w:vAlign w:val="center"/>
                </w:tcPr>
                <w:p w14:paraId="5F5357E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1A4C4B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18.1</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064C699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24DAFBC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5155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7E5EF30A">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59FED44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低聚果糖</w:t>
                  </w:r>
                </w:p>
              </w:tc>
              <w:tc>
                <w:tcPr>
                  <w:tcW w:w="894" w:type="dxa"/>
                  <w:tcBorders>
                    <w:top w:val="single" w:color="auto" w:sz="4" w:space="0"/>
                    <w:left w:val="nil"/>
                    <w:bottom w:val="single" w:color="auto" w:sz="4" w:space="0"/>
                    <w:right w:val="single" w:color="auto" w:sz="4" w:space="0"/>
                  </w:tcBorders>
                  <w:vAlign w:val="center"/>
                </w:tcPr>
                <w:p w14:paraId="599EEBA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5</w:t>
                  </w:r>
                </w:p>
              </w:tc>
              <w:tc>
                <w:tcPr>
                  <w:tcW w:w="795" w:type="dxa"/>
                  <w:tcBorders>
                    <w:top w:val="single" w:color="auto" w:sz="4" w:space="0"/>
                    <w:left w:val="nil"/>
                    <w:bottom w:val="single" w:color="auto" w:sz="4" w:space="0"/>
                    <w:right w:val="single" w:color="auto" w:sz="4" w:space="0"/>
                  </w:tcBorders>
                  <w:vAlign w:val="center"/>
                </w:tcPr>
                <w:p w14:paraId="57F7459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2E8156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0.5</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5F3EBEF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516EDC5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47EB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4478D695">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1B82ABE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纯豆浆粉</w:t>
                  </w:r>
                </w:p>
              </w:tc>
              <w:tc>
                <w:tcPr>
                  <w:tcW w:w="894" w:type="dxa"/>
                  <w:tcBorders>
                    <w:top w:val="single" w:color="auto" w:sz="4" w:space="0"/>
                    <w:left w:val="nil"/>
                    <w:bottom w:val="single" w:color="auto" w:sz="4" w:space="0"/>
                    <w:right w:val="single" w:color="auto" w:sz="4" w:space="0"/>
                  </w:tcBorders>
                  <w:vAlign w:val="center"/>
                </w:tcPr>
                <w:p w14:paraId="31A3B78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248</w:t>
                  </w:r>
                </w:p>
              </w:tc>
              <w:tc>
                <w:tcPr>
                  <w:tcW w:w="795" w:type="dxa"/>
                  <w:tcBorders>
                    <w:top w:val="single" w:color="auto" w:sz="4" w:space="0"/>
                    <w:left w:val="nil"/>
                    <w:bottom w:val="single" w:color="auto" w:sz="4" w:space="0"/>
                    <w:right w:val="single" w:color="auto" w:sz="4" w:space="0"/>
                  </w:tcBorders>
                  <w:vAlign w:val="center"/>
                </w:tcPr>
                <w:p w14:paraId="4DBA0FE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156E84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24.8</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410BF31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23E55C2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6A286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352CC812">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7AFBD88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低聚果糖</w:t>
                  </w:r>
                </w:p>
              </w:tc>
              <w:tc>
                <w:tcPr>
                  <w:tcW w:w="894" w:type="dxa"/>
                  <w:tcBorders>
                    <w:top w:val="single" w:color="auto" w:sz="4" w:space="0"/>
                    <w:left w:val="nil"/>
                    <w:bottom w:val="single" w:color="auto" w:sz="4" w:space="0"/>
                    <w:right w:val="single" w:color="auto" w:sz="4" w:space="0"/>
                  </w:tcBorders>
                  <w:vAlign w:val="center"/>
                </w:tcPr>
                <w:p w14:paraId="2873E83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213</w:t>
                  </w:r>
                </w:p>
              </w:tc>
              <w:tc>
                <w:tcPr>
                  <w:tcW w:w="795" w:type="dxa"/>
                  <w:tcBorders>
                    <w:top w:val="single" w:color="auto" w:sz="4" w:space="0"/>
                    <w:left w:val="nil"/>
                    <w:bottom w:val="single" w:color="auto" w:sz="4" w:space="0"/>
                    <w:right w:val="single" w:color="auto" w:sz="4" w:space="0"/>
                  </w:tcBorders>
                  <w:vAlign w:val="center"/>
                </w:tcPr>
                <w:p w14:paraId="106CAF4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4EB7C1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21.3</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5EEA925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7B09059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40715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77A6157B">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3E5D36D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无水乳糖醇</w:t>
                  </w:r>
                </w:p>
              </w:tc>
              <w:tc>
                <w:tcPr>
                  <w:tcW w:w="894" w:type="dxa"/>
                  <w:tcBorders>
                    <w:top w:val="single" w:color="auto" w:sz="4" w:space="0"/>
                    <w:left w:val="nil"/>
                    <w:bottom w:val="single" w:color="auto" w:sz="4" w:space="0"/>
                    <w:right w:val="single" w:color="auto" w:sz="4" w:space="0"/>
                  </w:tcBorders>
                  <w:vAlign w:val="center"/>
                </w:tcPr>
                <w:p w14:paraId="2376576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54</w:t>
                  </w:r>
                </w:p>
              </w:tc>
              <w:tc>
                <w:tcPr>
                  <w:tcW w:w="795" w:type="dxa"/>
                  <w:tcBorders>
                    <w:top w:val="single" w:color="auto" w:sz="4" w:space="0"/>
                    <w:left w:val="nil"/>
                    <w:bottom w:val="single" w:color="auto" w:sz="4" w:space="0"/>
                    <w:right w:val="single" w:color="auto" w:sz="4" w:space="0"/>
                  </w:tcBorders>
                  <w:vAlign w:val="center"/>
                </w:tcPr>
                <w:p w14:paraId="4C95BE8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78DB08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5.4</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23DEFE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05B23F9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2393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717263D9">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1FCEEC6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无水葡萄糖</w:t>
                  </w:r>
                </w:p>
              </w:tc>
              <w:tc>
                <w:tcPr>
                  <w:tcW w:w="894" w:type="dxa"/>
                  <w:tcBorders>
                    <w:top w:val="single" w:color="auto" w:sz="4" w:space="0"/>
                    <w:left w:val="nil"/>
                    <w:bottom w:val="single" w:color="auto" w:sz="4" w:space="0"/>
                    <w:right w:val="single" w:color="auto" w:sz="4" w:space="0"/>
                  </w:tcBorders>
                  <w:vAlign w:val="center"/>
                </w:tcPr>
                <w:p w14:paraId="2D88757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47</w:t>
                  </w:r>
                </w:p>
              </w:tc>
              <w:tc>
                <w:tcPr>
                  <w:tcW w:w="795" w:type="dxa"/>
                  <w:tcBorders>
                    <w:top w:val="single" w:color="auto" w:sz="4" w:space="0"/>
                    <w:left w:val="nil"/>
                    <w:bottom w:val="single" w:color="auto" w:sz="4" w:space="0"/>
                    <w:right w:val="single" w:color="auto" w:sz="4" w:space="0"/>
                  </w:tcBorders>
                  <w:vAlign w:val="center"/>
                </w:tcPr>
                <w:p w14:paraId="30655B5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5660F6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4.7</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43AE7B4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06F3ACD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585F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159798EC">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44E3816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低聚半乳糖</w:t>
                  </w:r>
                </w:p>
              </w:tc>
              <w:tc>
                <w:tcPr>
                  <w:tcW w:w="894" w:type="dxa"/>
                  <w:tcBorders>
                    <w:top w:val="single" w:color="auto" w:sz="4" w:space="0"/>
                    <w:left w:val="nil"/>
                    <w:bottom w:val="single" w:color="auto" w:sz="4" w:space="0"/>
                    <w:right w:val="single" w:color="auto" w:sz="4" w:space="0"/>
                  </w:tcBorders>
                  <w:vAlign w:val="center"/>
                </w:tcPr>
                <w:p w14:paraId="3E4CF9C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47</w:t>
                  </w:r>
                </w:p>
              </w:tc>
              <w:tc>
                <w:tcPr>
                  <w:tcW w:w="795" w:type="dxa"/>
                  <w:tcBorders>
                    <w:top w:val="single" w:color="auto" w:sz="4" w:space="0"/>
                    <w:left w:val="nil"/>
                    <w:bottom w:val="single" w:color="auto" w:sz="4" w:space="0"/>
                    <w:right w:val="single" w:color="auto" w:sz="4" w:space="0"/>
                  </w:tcBorders>
                  <w:vAlign w:val="center"/>
                </w:tcPr>
                <w:p w14:paraId="2143993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77670B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4.7</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28B7819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5F5E06FB">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14BFE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19F78CBC">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13B0259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Danubama®精炼椰子油</w:t>
                  </w:r>
                </w:p>
              </w:tc>
              <w:tc>
                <w:tcPr>
                  <w:tcW w:w="894" w:type="dxa"/>
                  <w:tcBorders>
                    <w:top w:val="single" w:color="auto" w:sz="4" w:space="0"/>
                    <w:left w:val="nil"/>
                    <w:bottom w:val="single" w:color="auto" w:sz="4" w:space="0"/>
                    <w:right w:val="single" w:color="auto" w:sz="4" w:space="0"/>
                  </w:tcBorders>
                  <w:vAlign w:val="center"/>
                </w:tcPr>
                <w:p w14:paraId="23D641B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78</w:t>
                  </w:r>
                </w:p>
              </w:tc>
              <w:tc>
                <w:tcPr>
                  <w:tcW w:w="795" w:type="dxa"/>
                  <w:tcBorders>
                    <w:top w:val="single" w:color="auto" w:sz="4" w:space="0"/>
                    <w:left w:val="nil"/>
                    <w:bottom w:val="single" w:color="auto" w:sz="4" w:space="0"/>
                    <w:right w:val="single" w:color="auto" w:sz="4" w:space="0"/>
                  </w:tcBorders>
                  <w:vAlign w:val="center"/>
                </w:tcPr>
                <w:p w14:paraId="43F0330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6C9A18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7.8</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/液体</w:t>
                  </w:r>
                </w:p>
              </w:tc>
              <w:tc>
                <w:tcPr>
                  <w:tcW w:w="1125" w:type="dxa"/>
                  <w:tcBorders>
                    <w:top w:val="single" w:color="auto" w:sz="4" w:space="0"/>
                    <w:left w:val="single" w:color="auto" w:sz="4" w:space="0"/>
                    <w:bottom w:val="single" w:color="auto" w:sz="4" w:space="0"/>
                    <w:right w:val="single" w:color="auto" w:sz="4" w:space="0"/>
                  </w:tcBorders>
                  <w:vAlign w:val="center"/>
                </w:tcPr>
                <w:p w14:paraId="453DE05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5845774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287D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53446F4F">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1F9F878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浓缩乳清蛋白</w:t>
                  </w:r>
                </w:p>
              </w:tc>
              <w:tc>
                <w:tcPr>
                  <w:tcW w:w="894" w:type="dxa"/>
                  <w:tcBorders>
                    <w:top w:val="single" w:color="auto" w:sz="4" w:space="0"/>
                    <w:left w:val="nil"/>
                    <w:bottom w:val="single" w:color="auto" w:sz="4" w:space="0"/>
                    <w:right w:val="single" w:color="auto" w:sz="4" w:space="0"/>
                  </w:tcBorders>
                  <w:vAlign w:val="center"/>
                </w:tcPr>
                <w:p w14:paraId="0892B23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134</w:t>
                  </w:r>
                </w:p>
              </w:tc>
              <w:tc>
                <w:tcPr>
                  <w:tcW w:w="795" w:type="dxa"/>
                  <w:tcBorders>
                    <w:top w:val="single" w:color="auto" w:sz="4" w:space="0"/>
                    <w:left w:val="nil"/>
                    <w:bottom w:val="single" w:color="auto" w:sz="4" w:space="0"/>
                    <w:right w:val="single" w:color="auto" w:sz="4" w:space="0"/>
                  </w:tcBorders>
                  <w:vAlign w:val="center"/>
                </w:tcPr>
                <w:p w14:paraId="68A8B3A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134B25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13.4/</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7AEFA92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07D966E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02F4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46075FFB">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0A201D8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益萃质®益生菌</w:t>
                  </w:r>
                </w:p>
              </w:tc>
              <w:tc>
                <w:tcPr>
                  <w:tcW w:w="894" w:type="dxa"/>
                  <w:tcBorders>
                    <w:top w:val="single" w:color="auto" w:sz="4" w:space="0"/>
                    <w:left w:val="nil"/>
                    <w:bottom w:val="single" w:color="auto" w:sz="4" w:space="0"/>
                    <w:right w:val="single" w:color="auto" w:sz="4" w:space="0"/>
                  </w:tcBorders>
                  <w:vAlign w:val="center"/>
                </w:tcPr>
                <w:p w14:paraId="521CD2F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111</w:t>
                  </w:r>
                </w:p>
              </w:tc>
              <w:tc>
                <w:tcPr>
                  <w:tcW w:w="795" w:type="dxa"/>
                  <w:tcBorders>
                    <w:top w:val="single" w:color="auto" w:sz="4" w:space="0"/>
                    <w:left w:val="nil"/>
                    <w:bottom w:val="single" w:color="auto" w:sz="4" w:space="0"/>
                    <w:right w:val="single" w:color="auto" w:sz="4" w:space="0"/>
                  </w:tcBorders>
                  <w:vAlign w:val="center"/>
                </w:tcPr>
                <w:p w14:paraId="652BA6B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4AF6CB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11.1</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74C622B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60FDC6C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3FDC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6BC7B2F9">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127E42D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eastAsia" w:ascii="Times New Roman" w:hAnsi="Times New Roman" w:eastAsia="宋体" w:cs="宋体"/>
                      <w:i w:val="0"/>
                      <w:iCs w:val="0"/>
                      <w:color w:val="000000"/>
                      <w:kern w:val="0"/>
                      <w:sz w:val="21"/>
                      <w:szCs w:val="20"/>
                      <w:u w:val="none"/>
                      <w:lang w:val="en-US" w:eastAsia="zh-CN" w:bidi="ar"/>
                      <w:woUserID w:val="2"/>
                    </w:rPr>
                    <w:t>全脂乳粉</w:t>
                  </w:r>
                </w:p>
              </w:tc>
              <w:tc>
                <w:tcPr>
                  <w:tcW w:w="894" w:type="dxa"/>
                  <w:tcBorders>
                    <w:top w:val="single" w:color="auto" w:sz="4" w:space="0"/>
                    <w:left w:val="nil"/>
                    <w:bottom w:val="single" w:color="auto" w:sz="4" w:space="0"/>
                    <w:right w:val="single" w:color="auto" w:sz="4" w:space="0"/>
                  </w:tcBorders>
                  <w:vAlign w:val="center"/>
                </w:tcPr>
                <w:p w14:paraId="600C6AA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rPr>
                  </w:pPr>
                  <w:r>
                    <w:rPr>
                      <w:rFonts w:hint="default" w:ascii="Times New Roman" w:hAnsi="Times New Roman" w:eastAsia="宋体" w:cs="PingFang SC"/>
                      <w:i w:val="0"/>
                      <w:iCs w:val="0"/>
                      <w:color w:val="000000"/>
                      <w:kern w:val="0"/>
                      <w:sz w:val="21"/>
                      <w:szCs w:val="21"/>
                      <w:u w:val="none"/>
                      <w:lang w:val="en-US" w:eastAsia="zh-CN" w:bidi="ar"/>
                      <w:woUserID w:val="2"/>
                    </w:rPr>
                    <w:t>75</w:t>
                  </w:r>
                </w:p>
              </w:tc>
              <w:tc>
                <w:tcPr>
                  <w:tcW w:w="795" w:type="dxa"/>
                  <w:tcBorders>
                    <w:top w:val="single" w:color="auto" w:sz="4" w:space="0"/>
                    <w:left w:val="nil"/>
                    <w:bottom w:val="single" w:color="auto" w:sz="4" w:space="0"/>
                    <w:right w:val="single" w:color="auto" w:sz="4" w:space="0"/>
                  </w:tcBorders>
                  <w:vAlign w:val="center"/>
                </w:tcPr>
                <w:p w14:paraId="42244B7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3EE3A3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woUserID w:val="2"/>
                    </w:rPr>
                    <w:t>7.5</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/粉剂</w:t>
                  </w:r>
                </w:p>
              </w:tc>
              <w:tc>
                <w:tcPr>
                  <w:tcW w:w="1125" w:type="dxa"/>
                  <w:tcBorders>
                    <w:top w:val="single" w:color="auto" w:sz="4" w:space="0"/>
                    <w:left w:val="single" w:color="auto" w:sz="4" w:space="0"/>
                    <w:bottom w:val="single" w:color="auto" w:sz="4" w:space="0"/>
                    <w:right w:val="single" w:color="auto" w:sz="4" w:space="0"/>
                  </w:tcBorders>
                  <w:vAlign w:val="center"/>
                </w:tcPr>
                <w:p w14:paraId="259D26F2">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5C9BD9D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127B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72E5902E">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4B98DA2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woUserID w:val="2"/>
                    </w:rPr>
                  </w:pPr>
                  <w:r>
                    <w:rPr>
                      <w:rFonts w:hint="eastAsia" w:ascii="Times New Roman" w:hAnsi="Times New Roman" w:eastAsia="宋体" w:cs="宋体"/>
                      <w:i w:val="0"/>
                      <w:iCs w:val="0"/>
                      <w:color w:val="000000"/>
                      <w:kern w:val="0"/>
                      <w:sz w:val="21"/>
                      <w:szCs w:val="20"/>
                      <w:u w:val="none"/>
                      <w:lang w:val="en-US" w:eastAsia="zh-CN" w:bidi="ar"/>
                      <w:woUserID w:val="2"/>
                    </w:rPr>
                    <w:t>低聚异麦芽糖</w:t>
                  </w:r>
                </w:p>
              </w:tc>
              <w:tc>
                <w:tcPr>
                  <w:tcW w:w="894" w:type="dxa"/>
                  <w:tcBorders>
                    <w:top w:val="single" w:color="auto" w:sz="4" w:space="0"/>
                    <w:left w:val="nil"/>
                    <w:bottom w:val="single" w:color="auto" w:sz="4" w:space="0"/>
                    <w:right w:val="single" w:color="auto" w:sz="4" w:space="0"/>
                  </w:tcBorders>
                  <w:vAlign w:val="center"/>
                </w:tcPr>
                <w:p w14:paraId="2BD742AA">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woUserID w:val="2"/>
                    </w:rPr>
                  </w:pPr>
                  <w:r>
                    <w:rPr>
                      <w:rFonts w:hint="default" w:ascii="Times New Roman" w:hAnsi="Times New Roman" w:eastAsia="宋体" w:cs="PingFang SC"/>
                      <w:i w:val="0"/>
                      <w:iCs w:val="0"/>
                      <w:color w:val="000000"/>
                      <w:kern w:val="0"/>
                      <w:sz w:val="21"/>
                      <w:szCs w:val="21"/>
                      <w:u w:val="none"/>
                      <w:lang w:val="en-US" w:eastAsia="zh-CN" w:bidi="ar"/>
                      <w:woUserID w:val="2"/>
                    </w:rPr>
                    <w:t>157</w:t>
                  </w:r>
                </w:p>
              </w:tc>
              <w:tc>
                <w:tcPr>
                  <w:tcW w:w="795" w:type="dxa"/>
                  <w:tcBorders>
                    <w:top w:val="single" w:color="auto" w:sz="4" w:space="0"/>
                    <w:left w:val="nil"/>
                    <w:bottom w:val="single" w:color="auto" w:sz="4" w:space="0"/>
                    <w:right w:val="single" w:color="auto" w:sz="4" w:space="0"/>
                  </w:tcBorders>
                  <w:vAlign w:val="center"/>
                </w:tcPr>
                <w:p w14:paraId="348A201C">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13D280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default" w:ascii="Times New Roman" w:hAnsi="Times New Roman" w:eastAsia="宋体" w:cs="Times New Roman"/>
                      <w:kern w:val="0"/>
                      <w:sz w:val="21"/>
                      <w:szCs w:val="21"/>
                      <w:lang w:val="en-US" w:eastAsia="zh-CN"/>
                      <w:woUserID w:val="2"/>
                    </w:rPr>
                    <w:t>15.7</w:t>
                  </w:r>
                  <w:r>
                    <w:rPr>
                      <w:rFonts w:hint="eastAsia" w:ascii="Times New Roman" w:hAnsi="Times New Roman" w:eastAsia="宋体" w:cs="Times New Roman"/>
                      <w:kern w:val="0"/>
                      <w:sz w:val="21"/>
                      <w:szCs w:val="21"/>
                      <w:lang w:val="en-US" w:eastAsia="zh-CN"/>
                      <w:woUserID w:val="2"/>
                    </w:rPr>
                    <w:t>t</w:t>
                  </w:r>
                  <w:r>
                    <w:rPr>
                      <w:rFonts w:hint="default" w:ascii="Times New Roman" w:hAnsi="Times New Roman" w:eastAsia="宋体" w:cs="Times New Roman"/>
                      <w:kern w:val="0"/>
                      <w:sz w:val="21"/>
                      <w:szCs w:val="21"/>
                      <w:lang w:val="en-US" w:eastAsia="zh-CN"/>
                      <w:woUserID w:val="2"/>
                    </w:rPr>
                    <w:t>/液体</w:t>
                  </w:r>
                </w:p>
              </w:tc>
              <w:tc>
                <w:tcPr>
                  <w:tcW w:w="1125" w:type="dxa"/>
                  <w:tcBorders>
                    <w:top w:val="single" w:color="auto" w:sz="4" w:space="0"/>
                    <w:left w:val="single" w:color="auto" w:sz="4" w:space="0"/>
                    <w:bottom w:val="single" w:color="auto" w:sz="4" w:space="0"/>
                    <w:right w:val="single" w:color="auto" w:sz="4" w:space="0"/>
                  </w:tcBorders>
                  <w:vAlign w:val="center"/>
                </w:tcPr>
                <w:p w14:paraId="0CA10B8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6C11290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rPr>
                    <w:t>外购</w:t>
                  </w:r>
                </w:p>
              </w:tc>
            </w:tr>
            <w:tr w14:paraId="104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5D52E883">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4D92397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woUserID w:val="2"/>
                    </w:rPr>
                  </w:pPr>
                  <w:r>
                    <w:rPr>
                      <w:rFonts w:hint="eastAsia" w:ascii="Times New Roman" w:hAnsi="Times New Roman" w:eastAsia="宋体" w:cs="宋体"/>
                      <w:i w:val="0"/>
                      <w:iCs w:val="0"/>
                      <w:color w:val="000000"/>
                      <w:kern w:val="0"/>
                      <w:sz w:val="21"/>
                      <w:szCs w:val="20"/>
                      <w:u w:val="none"/>
                      <w:lang w:val="en-US" w:eastAsia="zh-CN" w:bidi="ar"/>
                    </w:rPr>
                    <w:t>甘油</w:t>
                  </w:r>
                </w:p>
              </w:tc>
              <w:tc>
                <w:tcPr>
                  <w:tcW w:w="894" w:type="dxa"/>
                  <w:tcBorders>
                    <w:top w:val="single" w:color="auto" w:sz="4" w:space="0"/>
                    <w:left w:val="nil"/>
                    <w:bottom w:val="single" w:color="auto" w:sz="4" w:space="0"/>
                    <w:right w:val="single" w:color="auto" w:sz="4" w:space="0"/>
                  </w:tcBorders>
                  <w:vAlign w:val="center"/>
                </w:tcPr>
                <w:p w14:paraId="213611CF">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lang w:val="en-US" w:eastAsia="zh-CN"/>
                      <w:woUserID w:val="2"/>
                    </w:rPr>
                  </w:pPr>
                  <w:r>
                    <w:rPr>
                      <w:rFonts w:hint="eastAsia" w:ascii="Times New Roman" w:hAnsi="Times New Roman" w:eastAsia="宋体" w:cs="PingFang SC"/>
                      <w:i w:val="0"/>
                      <w:iCs w:val="0"/>
                      <w:color w:val="000000"/>
                      <w:kern w:val="0"/>
                      <w:sz w:val="21"/>
                      <w:szCs w:val="21"/>
                      <w:u w:val="none"/>
                      <w:lang w:val="en-US" w:eastAsia="zh-CN" w:bidi="ar"/>
                      <w:woUserID w:val="2"/>
                    </w:rPr>
                    <w:t>3</w:t>
                  </w:r>
                </w:p>
              </w:tc>
              <w:tc>
                <w:tcPr>
                  <w:tcW w:w="795" w:type="dxa"/>
                  <w:tcBorders>
                    <w:top w:val="single" w:color="auto" w:sz="4" w:space="0"/>
                    <w:left w:val="nil"/>
                    <w:bottom w:val="single" w:color="auto" w:sz="4" w:space="0"/>
                    <w:right w:val="single" w:color="auto" w:sz="4" w:space="0"/>
                  </w:tcBorders>
                  <w:vAlign w:val="center"/>
                </w:tcPr>
                <w:p w14:paraId="6C91F35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7FAA91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0.3t液体</w:t>
                  </w:r>
                </w:p>
              </w:tc>
              <w:tc>
                <w:tcPr>
                  <w:tcW w:w="1125" w:type="dxa"/>
                  <w:tcBorders>
                    <w:top w:val="single" w:color="auto" w:sz="4" w:space="0"/>
                    <w:left w:val="single" w:color="auto" w:sz="4" w:space="0"/>
                    <w:bottom w:val="single" w:color="auto" w:sz="4" w:space="0"/>
                    <w:right w:val="single" w:color="auto" w:sz="4" w:space="0"/>
                  </w:tcBorders>
                  <w:vAlign w:val="center"/>
                </w:tcPr>
                <w:p w14:paraId="0FEEADDF">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1DCD456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42F7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73251511">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0AFFE90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kern w:val="0"/>
                      <w:sz w:val="21"/>
                      <w:szCs w:val="21"/>
                      <w:u w:val="none"/>
                      <w:lang w:val="en-US" w:eastAsia="zh-CN" w:bidi="ar"/>
                      <w:woUserID w:val="2"/>
                    </w:rPr>
                  </w:pPr>
                  <w:r>
                    <w:rPr>
                      <w:rFonts w:hint="eastAsia" w:ascii="Times New Roman" w:hAnsi="Times New Roman" w:eastAsia="宋体" w:cs="宋体"/>
                      <w:i w:val="0"/>
                      <w:iCs w:val="0"/>
                      <w:color w:val="000000"/>
                      <w:kern w:val="0"/>
                      <w:sz w:val="21"/>
                      <w:szCs w:val="20"/>
                      <w:u w:val="none"/>
                      <w:lang w:val="en-US" w:eastAsia="zh-CN" w:bidi="ar"/>
                    </w:rPr>
                    <w:t>海藻活性肽</w:t>
                  </w:r>
                </w:p>
              </w:tc>
              <w:tc>
                <w:tcPr>
                  <w:tcW w:w="894" w:type="dxa"/>
                  <w:tcBorders>
                    <w:top w:val="single" w:color="auto" w:sz="4" w:space="0"/>
                    <w:left w:val="nil"/>
                    <w:bottom w:val="single" w:color="auto" w:sz="4" w:space="0"/>
                    <w:right w:val="single" w:color="auto" w:sz="4" w:space="0"/>
                  </w:tcBorders>
                  <w:vAlign w:val="center"/>
                </w:tcPr>
                <w:p w14:paraId="0F5C260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lang w:val="en-US" w:eastAsia="zh-CN"/>
                      <w:woUserID w:val="2"/>
                    </w:rPr>
                  </w:pPr>
                  <w:r>
                    <w:rPr>
                      <w:rFonts w:hint="eastAsia" w:ascii="Times New Roman" w:hAnsi="Times New Roman" w:eastAsia="宋体" w:cs="PingFang SC"/>
                      <w:i w:val="0"/>
                      <w:iCs w:val="0"/>
                      <w:color w:val="000000"/>
                      <w:kern w:val="0"/>
                      <w:sz w:val="21"/>
                      <w:szCs w:val="21"/>
                      <w:u w:val="none"/>
                      <w:lang w:val="en-US" w:eastAsia="zh-CN" w:bidi="ar"/>
                      <w:woUserID w:val="2"/>
                    </w:rPr>
                    <w:t>1</w:t>
                  </w:r>
                </w:p>
              </w:tc>
              <w:tc>
                <w:tcPr>
                  <w:tcW w:w="795" w:type="dxa"/>
                  <w:tcBorders>
                    <w:top w:val="single" w:color="auto" w:sz="4" w:space="0"/>
                    <w:left w:val="nil"/>
                    <w:bottom w:val="single" w:color="auto" w:sz="4" w:space="0"/>
                    <w:right w:val="single" w:color="auto" w:sz="4" w:space="0"/>
                  </w:tcBorders>
                  <w:vAlign w:val="center"/>
                </w:tcPr>
                <w:p w14:paraId="3770D68D">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5309DE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0.1t/液体</w:t>
                  </w:r>
                </w:p>
              </w:tc>
              <w:tc>
                <w:tcPr>
                  <w:tcW w:w="1125" w:type="dxa"/>
                  <w:tcBorders>
                    <w:top w:val="single" w:color="auto" w:sz="4" w:space="0"/>
                    <w:left w:val="single" w:color="auto" w:sz="4" w:space="0"/>
                    <w:bottom w:val="single" w:color="auto" w:sz="4" w:space="0"/>
                    <w:right w:val="single" w:color="auto" w:sz="4" w:space="0"/>
                  </w:tcBorders>
                  <w:vAlign w:val="center"/>
                </w:tcPr>
                <w:p w14:paraId="6A2CA56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6DFB2C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48ED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3BEE5B17">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33E57C89">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eastAsia" w:ascii="Times New Roman" w:hAnsi="Times New Roman" w:eastAsia="宋体" w:cs="宋体"/>
                      <w:i w:val="0"/>
                      <w:iCs w:val="0"/>
                      <w:color w:val="000000"/>
                      <w:kern w:val="0"/>
                      <w:sz w:val="21"/>
                      <w:szCs w:val="20"/>
                      <w:u w:val="none"/>
                      <w:lang w:val="en-US" w:eastAsia="zh-CN" w:bidi="ar"/>
                    </w:rPr>
                  </w:pPr>
                  <w:r>
                    <w:rPr>
                      <w:rFonts w:hint="eastAsia" w:ascii="Times New Roman" w:hAnsi="Times New Roman" w:eastAsia="宋体" w:cs="宋体"/>
                      <w:i w:val="0"/>
                      <w:iCs w:val="0"/>
                      <w:color w:val="000000"/>
                      <w:kern w:val="0"/>
                      <w:sz w:val="21"/>
                      <w:szCs w:val="20"/>
                      <w:u w:val="none"/>
                      <w:lang w:val="en-US" w:eastAsia="zh-CN" w:bidi="ar"/>
                    </w:rPr>
                    <w:t>金缕梅提取液</w:t>
                  </w:r>
                </w:p>
              </w:tc>
              <w:tc>
                <w:tcPr>
                  <w:tcW w:w="894" w:type="dxa"/>
                  <w:tcBorders>
                    <w:top w:val="single" w:color="auto" w:sz="4" w:space="0"/>
                    <w:left w:val="nil"/>
                    <w:bottom w:val="single" w:color="auto" w:sz="4" w:space="0"/>
                    <w:right w:val="single" w:color="auto" w:sz="4" w:space="0"/>
                  </w:tcBorders>
                  <w:vAlign w:val="center"/>
                </w:tcPr>
                <w:p w14:paraId="1263DA9D">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lang w:val="en-US" w:eastAsia="zh"/>
                      <w:woUserID w:val="2"/>
                    </w:rPr>
                  </w:pPr>
                  <w:r>
                    <w:rPr>
                      <w:rFonts w:hint="eastAsia" w:ascii="Times New Roman" w:hAnsi="Times New Roman" w:eastAsia="宋体" w:cs="PingFang SC"/>
                      <w:i w:val="0"/>
                      <w:iCs w:val="0"/>
                      <w:color w:val="000000"/>
                      <w:kern w:val="0"/>
                      <w:sz w:val="21"/>
                      <w:szCs w:val="21"/>
                      <w:u w:val="none"/>
                      <w:lang w:val="en-US" w:eastAsia="zh-CN" w:bidi="ar"/>
                      <w:woUserID w:val="2"/>
                    </w:rPr>
                    <w:t>1</w:t>
                  </w:r>
                </w:p>
              </w:tc>
              <w:tc>
                <w:tcPr>
                  <w:tcW w:w="795" w:type="dxa"/>
                  <w:tcBorders>
                    <w:top w:val="single" w:color="auto" w:sz="4" w:space="0"/>
                    <w:left w:val="nil"/>
                    <w:bottom w:val="single" w:color="auto" w:sz="4" w:space="0"/>
                    <w:right w:val="single" w:color="auto" w:sz="4" w:space="0"/>
                  </w:tcBorders>
                  <w:vAlign w:val="center"/>
                </w:tcPr>
                <w:p w14:paraId="1B91BF33">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eastAsia="zh"/>
                      <w:woUserID w:val="2"/>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103787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0.1t/液体</w:t>
                  </w:r>
                </w:p>
              </w:tc>
              <w:tc>
                <w:tcPr>
                  <w:tcW w:w="1125" w:type="dxa"/>
                  <w:tcBorders>
                    <w:top w:val="single" w:color="auto" w:sz="4" w:space="0"/>
                    <w:left w:val="single" w:color="auto" w:sz="4" w:space="0"/>
                    <w:bottom w:val="single" w:color="auto" w:sz="4" w:space="0"/>
                    <w:right w:val="single" w:color="auto" w:sz="4" w:space="0"/>
                  </w:tcBorders>
                  <w:vAlign w:val="center"/>
                </w:tcPr>
                <w:p w14:paraId="45F5634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285270E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0BF7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5F6F6A16">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5CC3B91E">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eastAsia" w:ascii="Times New Roman" w:hAnsi="Times New Roman" w:eastAsia="宋体" w:cs="宋体"/>
                      <w:i w:val="0"/>
                      <w:iCs w:val="0"/>
                      <w:color w:val="000000"/>
                      <w:kern w:val="0"/>
                      <w:sz w:val="21"/>
                      <w:szCs w:val="20"/>
                      <w:u w:val="none"/>
                      <w:lang w:val="en-US" w:eastAsia="zh-CN" w:bidi="ar"/>
                    </w:rPr>
                  </w:pPr>
                  <w:r>
                    <w:rPr>
                      <w:rFonts w:hint="eastAsia" w:ascii="Times New Roman" w:hAnsi="Times New Roman" w:eastAsia="宋体" w:cs="宋体"/>
                      <w:i w:val="0"/>
                      <w:iCs w:val="0"/>
                      <w:color w:val="000000"/>
                      <w:kern w:val="0"/>
                      <w:sz w:val="21"/>
                      <w:szCs w:val="20"/>
                      <w:u w:val="none"/>
                      <w:lang w:val="en-US" w:eastAsia="zh-CN" w:bidi="ar"/>
                    </w:rPr>
                    <w:t>黄柏提取液</w:t>
                  </w:r>
                </w:p>
              </w:tc>
              <w:tc>
                <w:tcPr>
                  <w:tcW w:w="894" w:type="dxa"/>
                  <w:tcBorders>
                    <w:top w:val="single" w:color="auto" w:sz="4" w:space="0"/>
                    <w:left w:val="nil"/>
                    <w:bottom w:val="single" w:color="auto" w:sz="4" w:space="0"/>
                    <w:right w:val="single" w:color="auto" w:sz="4" w:space="0"/>
                  </w:tcBorders>
                  <w:vAlign w:val="center"/>
                </w:tcPr>
                <w:p w14:paraId="186971E3">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lang w:val="en-US" w:eastAsia="zh"/>
                      <w:woUserID w:val="2"/>
                    </w:rPr>
                  </w:pPr>
                  <w:r>
                    <w:rPr>
                      <w:rFonts w:hint="eastAsia" w:ascii="Times New Roman" w:hAnsi="Times New Roman" w:eastAsia="宋体" w:cs="PingFang SC"/>
                      <w:i w:val="0"/>
                      <w:iCs w:val="0"/>
                      <w:color w:val="000000"/>
                      <w:kern w:val="0"/>
                      <w:sz w:val="21"/>
                      <w:szCs w:val="21"/>
                      <w:u w:val="none"/>
                      <w:lang w:val="en-US" w:eastAsia="zh-CN" w:bidi="ar"/>
                      <w:woUserID w:val="2"/>
                    </w:rPr>
                    <w:t>1</w:t>
                  </w:r>
                </w:p>
              </w:tc>
              <w:tc>
                <w:tcPr>
                  <w:tcW w:w="795" w:type="dxa"/>
                  <w:tcBorders>
                    <w:top w:val="single" w:color="auto" w:sz="4" w:space="0"/>
                    <w:left w:val="nil"/>
                    <w:bottom w:val="single" w:color="auto" w:sz="4" w:space="0"/>
                    <w:right w:val="single" w:color="auto" w:sz="4" w:space="0"/>
                  </w:tcBorders>
                  <w:vAlign w:val="center"/>
                </w:tcPr>
                <w:p w14:paraId="2A18BFC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eastAsia="zh"/>
                      <w:woUserID w:val="2"/>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6A484E4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0.1t/液体</w:t>
                  </w:r>
                </w:p>
              </w:tc>
              <w:tc>
                <w:tcPr>
                  <w:tcW w:w="1125" w:type="dxa"/>
                  <w:tcBorders>
                    <w:top w:val="single" w:color="auto" w:sz="4" w:space="0"/>
                    <w:left w:val="single" w:color="auto" w:sz="4" w:space="0"/>
                    <w:bottom w:val="single" w:color="auto" w:sz="4" w:space="0"/>
                    <w:right w:val="single" w:color="auto" w:sz="4" w:space="0"/>
                  </w:tcBorders>
                  <w:vAlign w:val="center"/>
                </w:tcPr>
                <w:p w14:paraId="5F2C46F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0BC1B2A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39D2D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49163DAA">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1440BCC7">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eastAsia" w:ascii="Times New Roman" w:hAnsi="Times New Roman" w:eastAsia="宋体" w:cs="宋体"/>
                      <w:i w:val="0"/>
                      <w:iCs w:val="0"/>
                      <w:color w:val="000000"/>
                      <w:kern w:val="0"/>
                      <w:sz w:val="21"/>
                      <w:szCs w:val="20"/>
                      <w:u w:val="none"/>
                      <w:lang w:val="en-US" w:eastAsia="zh-CN" w:bidi="ar"/>
                    </w:rPr>
                  </w:pPr>
                  <w:r>
                    <w:rPr>
                      <w:rFonts w:hint="eastAsia" w:ascii="Times New Roman" w:hAnsi="Times New Roman" w:eastAsia="宋体" w:cs="宋体"/>
                      <w:i w:val="0"/>
                      <w:iCs w:val="0"/>
                      <w:color w:val="000000"/>
                      <w:kern w:val="0"/>
                      <w:sz w:val="21"/>
                      <w:szCs w:val="20"/>
                      <w:u w:val="none"/>
                      <w:lang w:val="en-US" w:eastAsia="zh-CN" w:bidi="ar"/>
                    </w:rPr>
                    <w:t>卡波姆POLYGEL CA</w:t>
                  </w:r>
                </w:p>
              </w:tc>
              <w:tc>
                <w:tcPr>
                  <w:tcW w:w="894" w:type="dxa"/>
                  <w:tcBorders>
                    <w:top w:val="single" w:color="auto" w:sz="4" w:space="0"/>
                    <w:left w:val="nil"/>
                    <w:bottom w:val="single" w:color="auto" w:sz="4" w:space="0"/>
                    <w:right w:val="single" w:color="auto" w:sz="4" w:space="0"/>
                  </w:tcBorders>
                  <w:vAlign w:val="center"/>
                </w:tcPr>
                <w:p w14:paraId="6845E960">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textAlignment w:val="bottom"/>
                    <w:rPr>
                      <w:rFonts w:hint="default" w:ascii="Times New Roman" w:hAnsi="Times New Roman" w:eastAsia="宋体" w:cs="Times New Roman"/>
                      <w:bCs/>
                      <w:kern w:val="0"/>
                      <w:sz w:val="21"/>
                      <w:szCs w:val="21"/>
                      <w:lang w:val="en-US" w:eastAsia="zh"/>
                      <w:woUserID w:val="2"/>
                    </w:rPr>
                  </w:pPr>
                  <w:r>
                    <w:rPr>
                      <w:rFonts w:hint="eastAsia" w:ascii="Times New Roman" w:hAnsi="Times New Roman" w:eastAsia="宋体" w:cs="PingFang SC"/>
                      <w:i w:val="0"/>
                      <w:iCs w:val="0"/>
                      <w:color w:val="000000"/>
                      <w:kern w:val="0"/>
                      <w:sz w:val="21"/>
                      <w:szCs w:val="21"/>
                      <w:u w:val="none"/>
                      <w:lang w:val="en-US" w:eastAsia="zh-CN" w:bidi="ar"/>
                      <w:woUserID w:val="2"/>
                    </w:rPr>
                    <w:t>0.4</w:t>
                  </w:r>
                </w:p>
              </w:tc>
              <w:tc>
                <w:tcPr>
                  <w:tcW w:w="795" w:type="dxa"/>
                  <w:tcBorders>
                    <w:top w:val="single" w:color="auto" w:sz="4" w:space="0"/>
                    <w:left w:val="nil"/>
                    <w:bottom w:val="single" w:color="auto" w:sz="4" w:space="0"/>
                    <w:right w:val="single" w:color="auto" w:sz="4" w:space="0"/>
                  </w:tcBorders>
                  <w:vAlign w:val="center"/>
                </w:tcPr>
                <w:p w14:paraId="50F854A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eastAsia="zh"/>
                      <w:woUserID w:val="2"/>
                    </w:rPr>
                  </w:pPr>
                  <w:r>
                    <w:rPr>
                      <w:rFonts w:hint="default" w:ascii="Times New Roman" w:hAnsi="Times New Roman" w:eastAsia="宋体" w:cs="Times New Roman"/>
                      <w:sz w:val="21"/>
                      <w:szCs w:val="21"/>
                    </w:rPr>
                    <w:t>t/a</w:t>
                  </w:r>
                </w:p>
              </w:tc>
              <w:tc>
                <w:tcPr>
                  <w:tcW w:w="1935" w:type="dxa"/>
                  <w:tcBorders>
                    <w:top w:val="single" w:color="auto" w:sz="4" w:space="0"/>
                    <w:left w:val="single" w:color="auto" w:sz="4" w:space="0"/>
                    <w:bottom w:val="single" w:color="auto" w:sz="4" w:space="0"/>
                    <w:right w:val="single" w:color="auto" w:sz="4" w:space="0"/>
                  </w:tcBorders>
                  <w:vAlign w:val="center"/>
                </w:tcPr>
                <w:p w14:paraId="0E7F90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0.04t/粉剂</w:t>
                  </w:r>
                </w:p>
              </w:tc>
              <w:tc>
                <w:tcPr>
                  <w:tcW w:w="1125" w:type="dxa"/>
                  <w:tcBorders>
                    <w:top w:val="single" w:color="auto" w:sz="4" w:space="0"/>
                    <w:left w:val="single" w:color="auto" w:sz="4" w:space="0"/>
                    <w:bottom w:val="single" w:color="auto" w:sz="4" w:space="0"/>
                    <w:right w:val="single" w:color="auto" w:sz="4" w:space="0"/>
                  </w:tcBorders>
                  <w:vAlign w:val="center"/>
                </w:tcPr>
                <w:p w14:paraId="4B46E2B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2B108220">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445A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04470CC1">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2DEB9EE1">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bottom"/>
                    <w:rPr>
                      <w:rFonts w:hint="eastAsia" w:ascii="Times New Roman" w:hAnsi="Times New Roman" w:eastAsia="宋体" w:cs="宋体"/>
                      <w:i w:val="0"/>
                      <w:iCs w:val="0"/>
                      <w:color w:val="000000"/>
                      <w:kern w:val="0"/>
                      <w:sz w:val="21"/>
                      <w:szCs w:val="20"/>
                      <w:u w:val="none"/>
                      <w:lang w:val="en-US" w:eastAsia="zh-CN" w:bidi="ar"/>
                    </w:rPr>
                  </w:pPr>
                  <w:r>
                    <w:rPr>
                      <w:rFonts w:hint="eastAsia" w:ascii="Times New Roman" w:hAnsi="Times New Roman" w:eastAsia="宋体" w:cs="宋体"/>
                      <w:i w:val="0"/>
                      <w:iCs w:val="0"/>
                      <w:color w:val="000000"/>
                      <w:kern w:val="0"/>
                      <w:sz w:val="21"/>
                      <w:szCs w:val="20"/>
                      <w:u w:val="none"/>
                      <w:lang w:val="en-US" w:eastAsia="zh-CN" w:bidi="ar"/>
                      <w:woUserID w:val="2"/>
                    </w:rPr>
                    <w:t>胶块</w:t>
                  </w:r>
                </w:p>
              </w:tc>
              <w:tc>
                <w:tcPr>
                  <w:tcW w:w="894" w:type="dxa"/>
                  <w:tcBorders>
                    <w:top w:val="single" w:color="auto" w:sz="4" w:space="0"/>
                    <w:left w:val="nil"/>
                    <w:bottom w:val="single" w:color="auto" w:sz="4" w:space="0"/>
                    <w:right w:val="single" w:color="auto" w:sz="4" w:space="0"/>
                  </w:tcBorders>
                  <w:vAlign w:val="center"/>
                </w:tcPr>
                <w:p w14:paraId="6D8A559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val="en-US" w:eastAsia="zh"/>
                      <w:woUserID w:val="2"/>
                    </w:rPr>
                  </w:pPr>
                  <w:r>
                    <w:rPr>
                      <w:rFonts w:hint="eastAsia" w:ascii="Times New Roman" w:hAnsi="Times New Roman" w:eastAsia="宋体" w:cs="Times New Roman"/>
                      <w:bCs/>
                      <w:kern w:val="0"/>
                      <w:sz w:val="21"/>
                      <w:szCs w:val="21"/>
                      <w:lang w:val="en-US" w:eastAsia="zh-CN"/>
                      <w:woUserID w:val="2"/>
                    </w:rPr>
                    <w:t>1000</w:t>
                  </w:r>
                </w:p>
              </w:tc>
              <w:tc>
                <w:tcPr>
                  <w:tcW w:w="795" w:type="dxa"/>
                  <w:tcBorders>
                    <w:top w:val="single" w:color="auto" w:sz="4" w:space="0"/>
                    <w:left w:val="nil"/>
                    <w:bottom w:val="single" w:color="auto" w:sz="4" w:space="0"/>
                    <w:right w:val="single" w:color="auto" w:sz="4" w:space="0"/>
                  </w:tcBorders>
                  <w:vAlign w:val="center"/>
                </w:tcPr>
                <w:p w14:paraId="1CF90E7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bCs/>
                      <w:kern w:val="0"/>
                      <w:sz w:val="21"/>
                      <w:szCs w:val="21"/>
                      <w:lang w:val="en-US" w:eastAsia="zh"/>
                      <w:woUserID w:val="2"/>
                    </w:rPr>
                  </w:pPr>
                  <w:r>
                    <w:rPr>
                      <w:rFonts w:hint="eastAsia" w:ascii="Times New Roman" w:hAnsi="Times New Roman" w:eastAsia="宋体"/>
                      <w:bCs/>
                      <w:kern w:val="0"/>
                      <w:sz w:val="21"/>
                      <w:szCs w:val="21"/>
                      <w:lang w:val="en-US" w:eastAsia="zh-CN"/>
                      <w:woUserID w:val="2"/>
                    </w:rPr>
                    <w:t>Kg/a</w:t>
                  </w:r>
                </w:p>
              </w:tc>
              <w:tc>
                <w:tcPr>
                  <w:tcW w:w="1935" w:type="dxa"/>
                  <w:tcBorders>
                    <w:top w:val="single" w:color="auto" w:sz="4" w:space="0"/>
                    <w:left w:val="single" w:color="auto" w:sz="4" w:space="0"/>
                    <w:bottom w:val="single" w:color="auto" w:sz="4" w:space="0"/>
                    <w:right w:val="single" w:color="auto" w:sz="4" w:space="0"/>
                  </w:tcBorders>
                  <w:vAlign w:val="center"/>
                </w:tcPr>
                <w:p w14:paraId="2B4C9B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eastAsia" w:ascii="Times New Roman" w:hAnsi="Times New Roman" w:eastAsia="宋体" w:cs="Times New Roman"/>
                      <w:kern w:val="0"/>
                      <w:sz w:val="21"/>
                      <w:szCs w:val="21"/>
                      <w:lang w:val="en-US" w:eastAsia="zh-CN"/>
                      <w:woUserID w:val="2"/>
                    </w:rPr>
                    <w:t>100</w:t>
                  </w:r>
                </w:p>
              </w:tc>
              <w:tc>
                <w:tcPr>
                  <w:tcW w:w="1125" w:type="dxa"/>
                  <w:tcBorders>
                    <w:top w:val="single" w:color="auto" w:sz="4" w:space="0"/>
                    <w:left w:val="single" w:color="auto" w:sz="4" w:space="0"/>
                    <w:bottom w:val="single" w:color="auto" w:sz="4" w:space="0"/>
                    <w:right w:val="single" w:color="auto" w:sz="4" w:space="0"/>
                  </w:tcBorders>
                  <w:vAlign w:val="center"/>
                </w:tcPr>
                <w:p w14:paraId="689C6EE7">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23C07FF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2157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211690F3">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3DC21D75">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bottom"/>
                    <w:rPr>
                      <w:rFonts w:hint="eastAsia" w:ascii="Times New Roman" w:hAnsi="Times New Roman" w:eastAsia="宋体" w:cs="宋体"/>
                      <w:i w:val="0"/>
                      <w:iCs w:val="0"/>
                      <w:color w:val="000000"/>
                      <w:kern w:val="0"/>
                      <w:sz w:val="21"/>
                      <w:szCs w:val="20"/>
                      <w:u w:val="none"/>
                      <w:lang w:val="en-US" w:eastAsia="zh-CN" w:bidi="ar"/>
                    </w:rPr>
                  </w:pPr>
                  <w:r>
                    <w:rPr>
                      <w:rFonts w:hint="eastAsia" w:ascii="Times New Roman" w:hAnsi="Times New Roman" w:eastAsia="宋体" w:cs="宋体"/>
                      <w:i w:val="0"/>
                      <w:iCs w:val="0"/>
                      <w:color w:val="000000"/>
                      <w:kern w:val="0"/>
                      <w:sz w:val="21"/>
                      <w:szCs w:val="20"/>
                      <w:u w:val="none"/>
                      <w:lang w:val="en-US" w:eastAsia="zh" w:bidi="ar"/>
                      <w:woUserID w:val="2"/>
                    </w:rPr>
                    <w:t>卷膜</w:t>
                  </w:r>
                </w:p>
              </w:tc>
              <w:tc>
                <w:tcPr>
                  <w:tcW w:w="894" w:type="dxa"/>
                  <w:tcBorders>
                    <w:top w:val="single" w:color="auto" w:sz="4" w:space="0"/>
                    <w:left w:val="nil"/>
                    <w:bottom w:val="single" w:color="auto" w:sz="4" w:space="0"/>
                    <w:right w:val="single" w:color="auto" w:sz="4" w:space="0"/>
                  </w:tcBorders>
                  <w:vAlign w:val="center"/>
                </w:tcPr>
                <w:p w14:paraId="4B08CBD8">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val="en-US" w:eastAsia="zh"/>
                      <w:woUserID w:val="2"/>
                    </w:rPr>
                  </w:pPr>
                  <w:r>
                    <w:rPr>
                      <w:rFonts w:hint="eastAsia" w:ascii="Times New Roman" w:hAnsi="Times New Roman" w:eastAsia="宋体" w:cs="Times New Roman"/>
                      <w:bCs/>
                      <w:kern w:val="0"/>
                      <w:sz w:val="21"/>
                      <w:szCs w:val="21"/>
                      <w:lang w:val="en-US" w:eastAsia="zh"/>
                      <w:woUserID w:val="2"/>
                    </w:rPr>
                    <w:t>100</w:t>
                  </w:r>
                </w:p>
              </w:tc>
              <w:tc>
                <w:tcPr>
                  <w:tcW w:w="795" w:type="dxa"/>
                  <w:tcBorders>
                    <w:top w:val="single" w:color="auto" w:sz="4" w:space="0"/>
                    <w:left w:val="nil"/>
                    <w:bottom w:val="single" w:color="auto" w:sz="4" w:space="0"/>
                    <w:right w:val="single" w:color="auto" w:sz="4" w:space="0"/>
                  </w:tcBorders>
                  <w:vAlign w:val="center"/>
                </w:tcPr>
                <w:p w14:paraId="12814692">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val="en-US" w:eastAsia="zh-CN"/>
                      <w:woUserID w:val="2"/>
                    </w:rPr>
                  </w:pPr>
                  <w:r>
                    <w:rPr>
                      <w:rFonts w:hint="eastAsia" w:ascii="Times New Roman" w:hAnsi="Times New Roman" w:eastAsia="宋体" w:cs="Times New Roman"/>
                      <w:bCs/>
                      <w:kern w:val="0"/>
                      <w:sz w:val="21"/>
                      <w:szCs w:val="21"/>
                      <w:lang w:val="en-US" w:eastAsia="zh-CN"/>
                      <w:woUserID w:val="2"/>
                    </w:rPr>
                    <w:t>t/a</w:t>
                  </w:r>
                </w:p>
              </w:tc>
              <w:tc>
                <w:tcPr>
                  <w:tcW w:w="1935" w:type="dxa"/>
                  <w:tcBorders>
                    <w:top w:val="single" w:color="auto" w:sz="4" w:space="0"/>
                    <w:left w:val="single" w:color="auto" w:sz="4" w:space="0"/>
                    <w:bottom w:val="single" w:color="auto" w:sz="4" w:space="0"/>
                    <w:right w:val="single" w:color="auto" w:sz="4" w:space="0"/>
                  </w:tcBorders>
                  <w:vAlign w:val="center"/>
                </w:tcPr>
                <w:p w14:paraId="13A76D6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default" w:ascii="Times New Roman" w:hAnsi="Times New Roman" w:eastAsia="宋体" w:cs="Times New Roman"/>
                      <w:kern w:val="0"/>
                      <w:sz w:val="21"/>
                      <w:szCs w:val="21"/>
                      <w:lang w:val="en-US" w:eastAsia="zh-CN"/>
                      <w:woUserID w:val="2"/>
                    </w:rPr>
                    <w:t>10t</w:t>
                  </w:r>
                </w:p>
              </w:tc>
              <w:tc>
                <w:tcPr>
                  <w:tcW w:w="1125" w:type="dxa"/>
                  <w:tcBorders>
                    <w:top w:val="single" w:color="auto" w:sz="4" w:space="0"/>
                    <w:left w:val="single" w:color="auto" w:sz="4" w:space="0"/>
                    <w:bottom w:val="single" w:color="auto" w:sz="4" w:space="0"/>
                    <w:right w:val="single" w:color="auto" w:sz="4" w:space="0"/>
                  </w:tcBorders>
                  <w:vAlign w:val="center"/>
                </w:tcPr>
                <w:p w14:paraId="6FE5A90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30天</w:t>
                  </w:r>
                </w:p>
              </w:tc>
              <w:tc>
                <w:tcPr>
                  <w:tcW w:w="788" w:type="dxa"/>
                  <w:tcBorders>
                    <w:top w:val="single" w:color="auto" w:sz="4" w:space="0"/>
                    <w:left w:val="single" w:color="auto" w:sz="4" w:space="0"/>
                    <w:bottom w:val="single" w:color="auto" w:sz="4" w:space="0"/>
                    <w:right w:val="single" w:color="auto" w:sz="4" w:space="0"/>
                  </w:tcBorders>
                  <w:vAlign w:val="center"/>
                </w:tcPr>
                <w:p w14:paraId="18E5045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186ED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4A851C1B">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41DF6D08">
                  <w:pPr>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firstLine="0" w:firstLineChars="0"/>
                    <w:jc w:val="center"/>
                    <w:textAlignment w:val="bottom"/>
                    <w:rPr>
                      <w:rFonts w:hint="eastAsia" w:ascii="Times New Roman" w:hAnsi="Times New Roman" w:eastAsia="宋体" w:cs="宋体"/>
                      <w:i w:val="0"/>
                      <w:iCs w:val="0"/>
                      <w:color w:val="000000"/>
                      <w:kern w:val="0"/>
                      <w:sz w:val="21"/>
                      <w:szCs w:val="20"/>
                      <w:u w:val="none"/>
                      <w:lang w:val="en-US" w:eastAsia="zh-CN" w:bidi="ar"/>
                    </w:rPr>
                  </w:pPr>
                  <w:r>
                    <w:rPr>
                      <w:rFonts w:hint="eastAsia" w:ascii="Times New Roman" w:hAnsi="Times New Roman" w:eastAsia="宋体" w:cs="宋体"/>
                      <w:i w:val="0"/>
                      <w:iCs w:val="0"/>
                      <w:color w:val="000000"/>
                      <w:kern w:val="0"/>
                      <w:sz w:val="21"/>
                      <w:szCs w:val="20"/>
                      <w:u w:val="none"/>
                      <w:lang w:val="en-US" w:eastAsia="zh" w:bidi="ar"/>
                      <w:woUserID w:val="2"/>
                    </w:rPr>
                    <w:t>彩盒</w:t>
                  </w:r>
                </w:p>
              </w:tc>
              <w:tc>
                <w:tcPr>
                  <w:tcW w:w="894" w:type="dxa"/>
                  <w:tcBorders>
                    <w:top w:val="single" w:color="auto" w:sz="4" w:space="0"/>
                    <w:left w:val="nil"/>
                    <w:bottom w:val="single" w:color="auto" w:sz="4" w:space="0"/>
                    <w:right w:val="single" w:color="auto" w:sz="4" w:space="0"/>
                  </w:tcBorders>
                  <w:vAlign w:val="center"/>
                </w:tcPr>
                <w:p w14:paraId="1BA2657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val="en-US" w:eastAsia="zh"/>
                      <w:woUserID w:val="2"/>
                    </w:rPr>
                  </w:pPr>
                  <w:r>
                    <w:rPr>
                      <w:rFonts w:hint="eastAsia" w:ascii="Times New Roman" w:hAnsi="Times New Roman" w:eastAsia="宋体" w:cs="Times New Roman"/>
                      <w:bCs/>
                      <w:kern w:val="0"/>
                      <w:sz w:val="21"/>
                      <w:szCs w:val="21"/>
                      <w:lang w:val="en-US" w:eastAsia="zh"/>
                      <w:woUserID w:val="2"/>
                    </w:rPr>
                    <w:t>6000000</w:t>
                  </w:r>
                </w:p>
              </w:tc>
              <w:tc>
                <w:tcPr>
                  <w:tcW w:w="795" w:type="dxa"/>
                  <w:tcBorders>
                    <w:top w:val="single" w:color="auto" w:sz="4" w:space="0"/>
                    <w:left w:val="nil"/>
                    <w:bottom w:val="single" w:color="auto" w:sz="4" w:space="0"/>
                    <w:right w:val="single" w:color="auto" w:sz="4" w:space="0"/>
                  </w:tcBorders>
                  <w:vAlign w:val="center"/>
                </w:tcPr>
                <w:p w14:paraId="1B077BB9">
                  <w:pPr>
                    <w:keepNext w:val="0"/>
                    <w:keepLines w:val="0"/>
                    <w:pageBreakBefore w:val="0"/>
                    <w:suppressLineNumbers w:val="0"/>
                    <w:kinsoku/>
                    <w:wordWrap/>
                    <w:overflowPunct/>
                    <w:topLinePunct w:val="0"/>
                    <w:autoSpaceDE/>
                    <w:autoSpaceDN/>
                    <w:bidi w:val="0"/>
                    <w:spacing w:before="0" w:beforeAutospacing="0" w:after="0" w:afterAutospacing="0"/>
                    <w:ind w:left="0" w:leftChars="0" w:right="0" w:rightChars="0" w:firstLine="0" w:firstLineChars="0"/>
                    <w:jc w:val="center"/>
                    <w:rPr>
                      <w:rFonts w:hint="default" w:ascii="Times New Roman" w:hAnsi="Times New Roman" w:eastAsia="宋体" w:cs="Times New Roman"/>
                      <w:bCs/>
                      <w:kern w:val="0"/>
                      <w:sz w:val="21"/>
                      <w:szCs w:val="21"/>
                      <w:lang w:val="en-US" w:eastAsia="zh-CN"/>
                      <w:woUserID w:val="2"/>
                    </w:rPr>
                  </w:pPr>
                  <w:r>
                    <w:rPr>
                      <w:rFonts w:hint="eastAsia" w:ascii="Times New Roman" w:hAnsi="Times New Roman" w:eastAsia="宋体" w:cs="Times New Roman"/>
                      <w:bCs/>
                      <w:kern w:val="0"/>
                      <w:sz w:val="21"/>
                      <w:szCs w:val="21"/>
                      <w:lang w:val="en-US" w:eastAsia="zh-CN"/>
                      <w:woUserID w:val="2"/>
                    </w:rPr>
                    <w:t>个/a</w:t>
                  </w:r>
                </w:p>
              </w:tc>
              <w:tc>
                <w:tcPr>
                  <w:tcW w:w="1935" w:type="dxa"/>
                  <w:tcBorders>
                    <w:top w:val="single" w:color="auto" w:sz="4" w:space="0"/>
                    <w:left w:val="single" w:color="auto" w:sz="4" w:space="0"/>
                    <w:bottom w:val="single" w:color="auto" w:sz="4" w:space="0"/>
                    <w:right w:val="single" w:color="auto" w:sz="4" w:space="0"/>
                  </w:tcBorders>
                  <w:vAlign w:val="center"/>
                </w:tcPr>
                <w:p w14:paraId="5F3948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leftChars="0" w:right="0" w:rightChars="0" w:firstLine="0" w:firstLineChars="0"/>
                    <w:jc w:val="center"/>
                    <w:rPr>
                      <w:rFonts w:hint="default" w:ascii="Times New Roman" w:hAnsi="Times New Roman" w:eastAsia="宋体" w:cs="Times New Roman"/>
                      <w:kern w:val="0"/>
                      <w:sz w:val="21"/>
                      <w:szCs w:val="21"/>
                      <w:lang w:val="en-US" w:eastAsia="zh-CN"/>
                      <w:woUserID w:val="2"/>
                    </w:rPr>
                  </w:pPr>
                  <w:r>
                    <w:rPr>
                      <w:rFonts w:hint="default" w:ascii="Times New Roman" w:hAnsi="Times New Roman" w:eastAsia="宋体" w:cs="Times New Roman"/>
                      <w:kern w:val="0"/>
                      <w:sz w:val="21"/>
                      <w:szCs w:val="21"/>
                      <w:lang w:val="en-US" w:eastAsia="zh-CN"/>
                      <w:woUserID w:val="2"/>
                    </w:rPr>
                    <w:t>200000个</w:t>
                  </w:r>
                </w:p>
              </w:tc>
              <w:tc>
                <w:tcPr>
                  <w:tcW w:w="1125" w:type="dxa"/>
                  <w:tcBorders>
                    <w:top w:val="single" w:color="auto" w:sz="4" w:space="0"/>
                    <w:left w:val="single" w:color="auto" w:sz="4" w:space="0"/>
                    <w:bottom w:val="single" w:color="auto" w:sz="4" w:space="0"/>
                    <w:right w:val="single" w:color="auto" w:sz="4" w:space="0"/>
                  </w:tcBorders>
                  <w:vAlign w:val="center"/>
                </w:tcPr>
                <w:p w14:paraId="43BBF16D">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1</w:t>
                  </w:r>
                  <w:r>
                    <w:rPr>
                      <w:rFonts w:hint="default" w:ascii="Times New Roman" w:hAnsi="Times New Roman" w:eastAsia="宋体" w:cs="Times New Roman"/>
                      <w:color w:val="auto"/>
                      <w:kern w:val="0"/>
                      <w:sz w:val="21"/>
                      <w:szCs w:val="21"/>
                    </w:rPr>
                    <w:t>0天</w:t>
                  </w:r>
                </w:p>
              </w:tc>
              <w:tc>
                <w:tcPr>
                  <w:tcW w:w="788" w:type="dxa"/>
                  <w:tcBorders>
                    <w:top w:val="single" w:color="auto" w:sz="4" w:space="0"/>
                    <w:left w:val="single" w:color="auto" w:sz="4" w:space="0"/>
                    <w:bottom w:val="single" w:color="auto" w:sz="4" w:space="0"/>
                    <w:right w:val="single" w:color="auto" w:sz="4" w:space="0"/>
                  </w:tcBorders>
                  <w:vAlign w:val="center"/>
                </w:tcPr>
                <w:p w14:paraId="0F82767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w:t>
                  </w:r>
                </w:p>
              </w:tc>
            </w:tr>
            <w:tr w14:paraId="4907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restart"/>
                  <w:tcBorders>
                    <w:left w:val="single" w:color="auto" w:sz="4" w:space="0"/>
                    <w:right w:val="single" w:color="auto" w:sz="4" w:space="0"/>
                  </w:tcBorders>
                  <w:vAlign w:val="center"/>
                </w:tcPr>
                <w:p w14:paraId="4ECF8A96">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能源</w:t>
                  </w:r>
                </w:p>
              </w:tc>
              <w:tc>
                <w:tcPr>
                  <w:tcW w:w="1661" w:type="dxa"/>
                  <w:tcBorders>
                    <w:top w:val="single" w:color="auto" w:sz="4" w:space="0"/>
                    <w:left w:val="nil"/>
                    <w:bottom w:val="single" w:color="auto" w:sz="4" w:space="0"/>
                    <w:right w:val="single" w:color="auto" w:sz="4" w:space="0"/>
                  </w:tcBorders>
                  <w:vAlign w:val="center"/>
                </w:tcPr>
                <w:p w14:paraId="7E5CFD61">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kern w:val="0"/>
                      <w:sz w:val="21"/>
                      <w:szCs w:val="21"/>
                      <w:highlight w:val="none"/>
                      <w:lang w:val="en-US" w:eastAsia="zh-CN"/>
                    </w:rPr>
                    <w:t>水</w:t>
                  </w:r>
                </w:p>
              </w:tc>
              <w:tc>
                <w:tcPr>
                  <w:tcW w:w="894" w:type="dxa"/>
                  <w:tcBorders>
                    <w:top w:val="single" w:color="auto" w:sz="4" w:space="0"/>
                    <w:left w:val="nil"/>
                    <w:bottom w:val="single" w:color="auto" w:sz="4" w:space="0"/>
                    <w:right w:val="single" w:color="auto" w:sz="4" w:space="0"/>
                  </w:tcBorders>
                  <w:vAlign w:val="center"/>
                </w:tcPr>
                <w:p w14:paraId="5C40D98C">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kern w:val="0"/>
                      <w:sz w:val="21"/>
                      <w:szCs w:val="21"/>
                      <w:lang w:val="en-US" w:eastAsia="zh-CN"/>
                    </w:rPr>
                  </w:pPr>
                </w:p>
              </w:tc>
              <w:tc>
                <w:tcPr>
                  <w:tcW w:w="2730" w:type="dxa"/>
                  <w:gridSpan w:val="2"/>
                  <w:tcBorders>
                    <w:top w:val="single" w:color="auto" w:sz="4" w:space="0"/>
                    <w:left w:val="nil"/>
                    <w:bottom w:val="single" w:color="auto" w:sz="4" w:space="0"/>
                    <w:right w:val="single" w:color="auto" w:sz="4" w:space="0"/>
                  </w:tcBorders>
                  <w:vAlign w:val="center"/>
                </w:tcPr>
                <w:p w14:paraId="2B5C89A6">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t/a</w:t>
                  </w:r>
                </w:p>
              </w:tc>
              <w:tc>
                <w:tcPr>
                  <w:tcW w:w="1913" w:type="dxa"/>
                  <w:gridSpan w:val="2"/>
                  <w:tcBorders>
                    <w:top w:val="single" w:color="auto" w:sz="4" w:space="0"/>
                    <w:left w:val="single" w:color="auto" w:sz="4" w:space="0"/>
                    <w:bottom w:val="single" w:color="auto" w:sz="4" w:space="0"/>
                    <w:right w:val="single" w:color="auto" w:sz="4" w:space="0"/>
                  </w:tcBorders>
                  <w:vAlign w:val="center"/>
                </w:tcPr>
                <w:p w14:paraId="33D27E94">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开发区</w:t>
                  </w:r>
                  <w:r>
                    <w:rPr>
                      <w:rFonts w:hint="default" w:ascii="Times New Roman" w:hAnsi="Times New Roman" w:eastAsia="宋体" w:cs="Times New Roman"/>
                      <w:sz w:val="21"/>
                      <w:szCs w:val="21"/>
                    </w:rPr>
                    <w:t>供电</w:t>
                  </w:r>
                  <w:r>
                    <w:rPr>
                      <w:rFonts w:hint="default" w:ascii="Times New Roman" w:hAnsi="Times New Roman" w:eastAsia="宋体" w:cs="Times New Roman"/>
                      <w:bCs/>
                      <w:sz w:val="21"/>
                      <w:szCs w:val="21"/>
                    </w:rPr>
                    <w:t>管网</w:t>
                  </w:r>
                </w:p>
              </w:tc>
            </w:tr>
            <w:tr w14:paraId="5496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37" w:type="dxa"/>
                  <w:vMerge w:val="continue"/>
                  <w:tcBorders>
                    <w:left w:val="single" w:color="auto" w:sz="4" w:space="0"/>
                    <w:right w:val="single" w:color="auto" w:sz="4" w:space="0"/>
                  </w:tcBorders>
                  <w:vAlign w:val="center"/>
                </w:tcPr>
                <w:p w14:paraId="533F8142">
                  <w:pPr>
                    <w:keepNext w:val="0"/>
                    <w:keepLines w:val="0"/>
                    <w:pageBreakBefore w:val="0"/>
                    <w:kinsoku/>
                    <w:wordWrap/>
                    <w:overflowPunct/>
                    <w:topLinePunct w:val="0"/>
                    <w:autoSpaceDE/>
                    <w:autoSpaceDN/>
                    <w:bidi w:val="0"/>
                    <w:jc w:val="center"/>
                    <w:rPr>
                      <w:rFonts w:hint="default" w:ascii="Times New Roman" w:hAnsi="Times New Roman" w:eastAsia="宋体" w:cs="Times New Roman"/>
                      <w:bCs/>
                      <w:kern w:val="0"/>
                      <w:sz w:val="21"/>
                      <w:szCs w:val="21"/>
                    </w:rPr>
                  </w:pPr>
                </w:p>
              </w:tc>
              <w:tc>
                <w:tcPr>
                  <w:tcW w:w="1661" w:type="dxa"/>
                  <w:tcBorders>
                    <w:top w:val="single" w:color="auto" w:sz="4" w:space="0"/>
                    <w:left w:val="nil"/>
                    <w:bottom w:val="single" w:color="auto" w:sz="4" w:space="0"/>
                    <w:right w:val="single" w:color="auto" w:sz="4" w:space="0"/>
                  </w:tcBorders>
                  <w:vAlign w:val="center"/>
                </w:tcPr>
                <w:p w14:paraId="43D061C2">
                  <w:pPr>
                    <w:keepNext w:val="0"/>
                    <w:keepLines w:val="0"/>
                    <w:pageBreakBefore w:val="0"/>
                    <w:kinsoku/>
                    <w:wordWrap/>
                    <w:overflowPunct/>
                    <w:topLinePunct w:val="0"/>
                    <w:autoSpaceDE/>
                    <w:autoSpaceDN/>
                    <w:bidi w:val="0"/>
                    <w:adjustRightInd/>
                    <w:spacing w:line="240" w:lineRule="auto"/>
                    <w:ind w:right="0" w:rightChars="0"/>
                    <w:jc w:val="center"/>
                    <w:rPr>
                      <w:rFonts w:hint="default" w:ascii="Times New Roman" w:hAnsi="Times New Roman" w:eastAsia="宋体" w:cs="Times New Roman"/>
                      <w:sz w:val="21"/>
                      <w:szCs w:val="21"/>
                    </w:rPr>
                  </w:pPr>
                  <w:r>
                    <w:rPr>
                      <w:rFonts w:hint="default" w:ascii="Times New Roman" w:hAnsi="Times New Roman" w:eastAsia="宋体" w:cs="Times New Roman"/>
                      <w:b w:val="0"/>
                      <w:bCs w:val="0"/>
                      <w:color w:val="auto"/>
                      <w:kern w:val="0"/>
                      <w:sz w:val="21"/>
                      <w:szCs w:val="21"/>
                      <w:highlight w:val="none"/>
                      <w:lang w:val="en-US" w:eastAsia="zh-CN"/>
                    </w:rPr>
                    <w:t>电</w:t>
                  </w:r>
                </w:p>
              </w:tc>
              <w:tc>
                <w:tcPr>
                  <w:tcW w:w="894" w:type="dxa"/>
                  <w:tcBorders>
                    <w:top w:val="single" w:color="auto" w:sz="4" w:space="0"/>
                    <w:left w:val="nil"/>
                    <w:bottom w:val="single" w:color="auto" w:sz="4" w:space="0"/>
                    <w:right w:val="single" w:color="auto" w:sz="4" w:space="0"/>
                  </w:tcBorders>
                  <w:vAlign w:val="center"/>
                </w:tcPr>
                <w:p w14:paraId="50C6417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
                      <w:woUserID w:val="3"/>
                    </w:rPr>
                    <w:t>90</w:t>
                  </w:r>
                  <w:r>
                    <w:rPr>
                      <w:rFonts w:hint="default" w:ascii="Times New Roman" w:hAnsi="Times New Roman" w:eastAsia="宋体" w:cs="Times New Roman"/>
                      <w:bCs/>
                      <w:kern w:val="0"/>
                      <w:sz w:val="21"/>
                      <w:szCs w:val="21"/>
                      <w:lang w:val="en-US" w:eastAsia="zh-CN"/>
                      <w:woUserID w:val="3"/>
                    </w:rPr>
                    <w:t>0</w:t>
                  </w:r>
                </w:p>
              </w:tc>
              <w:tc>
                <w:tcPr>
                  <w:tcW w:w="2730" w:type="dxa"/>
                  <w:gridSpan w:val="2"/>
                  <w:tcBorders>
                    <w:top w:val="single" w:color="auto" w:sz="4" w:space="0"/>
                    <w:left w:val="nil"/>
                    <w:bottom w:val="single" w:color="auto" w:sz="4" w:space="0"/>
                    <w:right w:val="single" w:color="auto" w:sz="4" w:space="0"/>
                  </w:tcBorders>
                  <w:vAlign w:val="center"/>
                </w:tcPr>
                <w:p w14:paraId="271EF929">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highlight w:val="none"/>
                      <w:lang w:val="en-US" w:eastAsia="zh-CN"/>
                    </w:rPr>
                    <w:t>万</w:t>
                  </w:r>
                  <w:r>
                    <w:rPr>
                      <w:rFonts w:hint="default" w:ascii="Times New Roman" w:hAnsi="Times New Roman" w:eastAsia="宋体" w:cs="Times New Roman"/>
                      <w:b w:val="0"/>
                      <w:bCs w:val="0"/>
                      <w:color w:val="auto"/>
                      <w:sz w:val="21"/>
                      <w:szCs w:val="21"/>
                      <w:highlight w:val="none"/>
                    </w:rPr>
                    <w:t>kW·h/a</w:t>
                  </w:r>
                </w:p>
              </w:tc>
              <w:tc>
                <w:tcPr>
                  <w:tcW w:w="1913" w:type="dxa"/>
                  <w:gridSpan w:val="2"/>
                  <w:tcBorders>
                    <w:top w:val="single" w:color="auto" w:sz="4" w:space="0"/>
                    <w:left w:val="single" w:color="auto" w:sz="4" w:space="0"/>
                    <w:bottom w:val="single" w:color="auto" w:sz="4" w:space="0"/>
                    <w:right w:val="single" w:color="auto" w:sz="4" w:space="0"/>
                  </w:tcBorders>
                  <w:vAlign w:val="center"/>
                </w:tcPr>
                <w:p w14:paraId="18A82653">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开发区</w:t>
                  </w:r>
                  <w:r>
                    <w:rPr>
                      <w:rFonts w:hint="default" w:ascii="Times New Roman" w:hAnsi="Times New Roman" w:eastAsia="宋体" w:cs="Times New Roman"/>
                      <w:sz w:val="21"/>
                      <w:szCs w:val="21"/>
                    </w:rPr>
                    <w:t>供</w:t>
                  </w:r>
                  <w:r>
                    <w:rPr>
                      <w:rFonts w:hint="default" w:ascii="Times New Roman" w:hAnsi="Times New Roman" w:eastAsia="宋体" w:cs="Times New Roman"/>
                      <w:bCs/>
                      <w:sz w:val="21"/>
                      <w:szCs w:val="21"/>
                    </w:rPr>
                    <w:t>水管网</w:t>
                  </w:r>
                </w:p>
              </w:tc>
            </w:tr>
          </w:tbl>
          <w:p w14:paraId="5E6A9B24">
            <w:pPr>
              <w:adjustRightInd w:val="0"/>
              <w:snapToGrid w:val="0"/>
              <w:spacing w:before="120" w:beforeLines="50" w:line="360" w:lineRule="auto"/>
              <w:ind w:firstLine="482" w:firstLineChars="200"/>
              <w:rPr>
                <w:b/>
                <w:bCs/>
              </w:rPr>
            </w:pPr>
            <w:r>
              <w:rPr>
                <w:b/>
                <w:szCs w:val="20"/>
              </w:rPr>
              <w:t>主要原辅材料物化性质：</w:t>
            </w:r>
          </w:p>
          <w:p w14:paraId="7F1802BA">
            <w:pPr>
              <w:adjustRightInd w:val="0"/>
              <w:snapToGrid w:val="0"/>
              <w:jc w:val="center"/>
              <w:rPr>
                <w:b/>
                <w:kern w:val="0"/>
              </w:rPr>
            </w:pPr>
            <w:r>
              <w:rPr>
                <w:rFonts w:hint="eastAsia"/>
                <w:b/>
                <w:bCs/>
              </w:rPr>
              <w:t>表2.5  涉及物质主要理化性质及成分</w:t>
            </w:r>
          </w:p>
          <w:tbl>
            <w:tblPr>
              <w:tblStyle w:val="28"/>
              <w:tblW w:w="4978" w:type="pct"/>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Layout w:type="fixed"/>
              <w:tblCellMar>
                <w:top w:w="15" w:type="dxa"/>
                <w:left w:w="15" w:type="dxa"/>
                <w:bottom w:w="15" w:type="dxa"/>
                <w:right w:w="15" w:type="dxa"/>
              </w:tblCellMar>
            </w:tblPr>
            <w:tblGrid>
              <w:gridCol w:w="908"/>
              <w:gridCol w:w="1426"/>
              <w:gridCol w:w="2050"/>
              <w:gridCol w:w="2294"/>
              <w:gridCol w:w="1216"/>
            </w:tblGrid>
            <w:tr w14:paraId="4A84DE48">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trHeight w:val="340" w:hRule="atLeast"/>
                <w:tblHeader/>
                <w:jc w:val="center"/>
              </w:trPr>
              <w:tc>
                <w:tcPr>
                  <w:tcW w:w="574" w:type="pct"/>
                  <w:tcBorders>
                    <w:tl2br w:val="nil"/>
                    <w:tr2bl w:val="nil"/>
                  </w:tcBorders>
                  <w:shd w:val="clear" w:color="auto" w:fill="auto"/>
                  <w:tcMar>
                    <w:top w:w="120" w:type="dxa"/>
                    <w:left w:w="120" w:type="dxa"/>
                    <w:bottom w:w="120" w:type="dxa"/>
                    <w:right w:w="120" w:type="dxa"/>
                  </w:tcMar>
                  <w:vAlign w:val="center"/>
                </w:tcPr>
                <w:p w14:paraId="25078DE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val="en-US" w:eastAsia="zh-CN" w:bidi="ar"/>
                    </w:rPr>
                    <w:t>物质名称</w:t>
                  </w:r>
                </w:p>
              </w:tc>
              <w:tc>
                <w:tcPr>
                  <w:tcW w:w="902" w:type="pct"/>
                  <w:tcBorders>
                    <w:tl2br w:val="nil"/>
                    <w:tr2bl w:val="nil"/>
                  </w:tcBorders>
                  <w:shd w:val="clear" w:color="auto" w:fill="auto"/>
                  <w:tcMar>
                    <w:top w:w="120" w:type="dxa"/>
                    <w:left w:w="120" w:type="dxa"/>
                    <w:bottom w:w="120" w:type="dxa"/>
                    <w:right w:w="120" w:type="dxa"/>
                  </w:tcMar>
                  <w:vAlign w:val="center"/>
                </w:tcPr>
                <w:p w14:paraId="080A0F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val="en-US" w:eastAsia="zh-CN" w:bidi="ar"/>
                    </w:rPr>
                    <w:t>形态/性状</w:t>
                  </w:r>
                </w:p>
              </w:tc>
              <w:tc>
                <w:tcPr>
                  <w:tcW w:w="2752" w:type="pct"/>
                  <w:gridSpan w:val="2"/>
                  <w:tcBorders>
                    <w:tl2br w:val="nil"/>
                    <w:tr2bl w:val="nil"/>
                  </w:tcBorders>
                  <w:shd w:val="clear" w:color="auto" w:fill="auto"/>
                  <w:tcMar>
                    <w:top w:w="120" w:type="dxa"/>
                    <w:left w:w="120" w:type="dxa"/>
                    <w:bottom w:w="120" w:type="dxa"/>
                    <w:right w:w="120" w:type="dxa"/>
                  </w:tcMar>
                  <w:vAlign w:val="center"/>
                </w:tcPr>
                <w:p w14:paraId="513FF7C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val="en-US" w:eastAsia="zh-CN" w:bidi="ar"/>
                    </w:rPr>
                    <w:t>核心理化特性</w:t>
                  </w:r>
                </w:p>
              </w:tc>
              <w:tc>
                <w:tcPr>
                  <w:tcW w:w="770" w:type="pct"/>
                  <w:tcBorders>
                    <w:tl2br w:val="nil"/>
                    <w:tr2bl w:val="nil"/>
                  </w:tcBorders>
                  <w:shd w:val="clear" w:color="auto" w:fill="auto"/>
                  <w:tcMar>
                    <w:top w:w="120" w:type="dxa"/>
                    <w:left w:w="120" w:type="dxa"/>
                    <w:bottom w:w="120" w:type="dxa"/>
                    <w:right w:w="120" w:type="dxa"/>
                  </w:tcMar>
                  <w:vAlign w:val="center"/>
                </w:tcPr>
                <w:p w14:paraId="333E963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kern w:val="0"/>
                      <w:sz w:val="21"/>
                      <w:szCs w:val="21"/>
                      <w:lang w:val="en-US" w:eastAsia="zh-CN" w:bidi="ar"/>
                    </w:rPr>
                    <w:t>来源</w:t>
                  </w:r>
                  <w:r>
                    <w:rPr>
                      <w:rFonts w:hint="eastAsia" w:ascii="Times New Roman" w:hAnsi="Times New Roman" w:eastAsia="宋体" w:cs="Times New Roman"/>
                      <w:b/>
                      <w:bCs/>
                      <w:kern w:val="0"/>
                      <w:sz w:val="21"/>
                      <w:szCs w:val="21"/>
                      <w:lang w:val="en-US" w:eastAsia="zh-CN" w:bidi="ar"/>
                    </w:rPr>
                    <w:t>/</w:t>
                  </w:r>
                  <w:r>
                    <w:rPr>
                      <w:rFonts w:hint="default" w:ascii="Times New Roman" w:hAnsi="Times New Roman" w:eastAsia="宋体" w:cs="Times New Roman"/>
                      <w:b/>
                      <w:bCs/>
                      <w:kern w:val="0"/>
                      <w:sz w:val="21"/>
                      <w:szCs w:val="21"/>
                      <w:lang w:val="en-US" w:eastAsia="zh-CN" w:bidi="ar"/>
                    </w:rPr>
                    <w:t>备注</w:t>
                  </w:r>
                </w:p>
              </w:tc>
            </w:tr>
            <w:tr w14:paraId="15E6C31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5B1B9C9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低聚异麦芽糖</w:t>
                  </w:r>
                </w:p>
              </w:tc>
              <w:tc>
                <w:tcPr>
                  <w:tcW w:w="902" w:type="pct"/>
                  <w:tcBorders>
                    <w:tl2br w:val="nil"/>
                    <w:tr2bl w:val="nil"/>
                  </w:tcBorders>
                  <w:shd w:val="clear" w:color="auto" w:fill="auto"/>
                  <w:tcMar>
                    <w:top w:w="120" w:type="dxa"/>
                    <w:left w:w="120" w:type="dxa"/>
                    <w:bottom w:w="120" w:type="dxa"/>
                    <w:right w:w="120" w:type="dxa"/>
                  </w:tcMar>
                  <w:vAlign w:val="center"/>
                </w:tcPr>
                <w:p w14:paraId="3873A0D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糖浆：无色</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浅黄色透明粘稠液体；粉末：无定形粉末</w:t>
                  </w:r>
                </w:p>
              </w:tc>
              <w:tc>
                <w:tcPr>
                  <w:tcW w:w="1298" w:type="pct"/>
                  <w:tcBorders>
                    <w:tl2br w:val="nil"/>
                    <w:tr2bl w:val="nil"/>
                  </w:tcBorders>
                  <w:shd w:val="clear" w:color="auto" w:fill="auto"/>
                  <w:tcMar>
                    <w:top w:w="120" w:type="dxa"/>
                    <w:left w:w="120" w:type="dxa"/>
                    <w:bottom w:w="120" w:type="dxa"/>
                    <w:right w:w="120" w:type="dxa"/>
                  </w:tcMar>
                  <w:vAlign w:val="center"/>
                </w:tcPr>
                <w:p w14:paraId="7B89885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甜味柔和（约蔗糖45%~50%）、耐热耐酸、保湿性强</w:t>
                  </w:r>
                </w:p>
              </w:tc>
              <w:tc>
                <w:tcPr>
                  <w:tcW w:w="1453" w:type="pct"/>
                  <w:tcBorders>
                    <w:tl2br w:val="nil"/>
                    <w:tr2bl w:val="nil"/>
                  </w:tcBorders>
                  <w:shd w:val="clear" w:color="auto" w:fill="auto"/>
                  <w:tcMar>
                    <w:top w:w="120" w:type="dxa"/>
                    <w:left w:w="120" w:type="dxa"/>
                    <w:bottom w:w="120" w:type="dxa"/>
                    <w:right w:w="120" w:type="dxa"/>
                  </w:tcMar>
                  <w:vAlign w:val="center"/>
                </w:tcPr>
                <w:p w14:paraId="5D7C986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糖浆黏度高于蔗糖；pH3、120℃长期稳定不分解；易溶于水</w:t>
                  </w:r>
                </w:p>
              </w:tc>
              <w:tc>
                <w:tcPr>
                  <w:tcW w:w="770" w:type="pct"/>
                  <w:tcBorders>
                    <w:tl2br w:val="nil"/>
                    <w:tr2bl w:val="nil"/>
                  </w:tcBorders>
                  <w:shd w:val="clear" w:color="auto" w:fill="auto"/>
                  <w:tcMar>
                    <w:top w:w="120" w:type="dxa"/>
                    <w:left w:w="120" w:type="dxa"/>
                    <w:bottom w:w="120" w:type="dxa"/>
                    <w:right w:w="120" w:type="dxa"/>
                  </w:tcMar>
                  <w:vAlign w:val="center"/>
                </w:tcPr>
                <w:p w14:paraId="0792E6D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淀粉酶解转化，益生元</w:t>
                  </w:r>
                </w:p>
              </w:tc>
            </w:tr>
            <w:tr w14:paraId="164787D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26E1CD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麦芽糊精</w:t>
                  </w:r>
                </w:p>
              </w:tc>
              <w:tc>
                <w:tcPr>
                  <w:tcW w:w="902" w:type="pct"/>
                  <w:tcBorders>
                    <w:tl2br w:val="nil"/>
                    <w:tr2bl w:val="nil"/>
                  </w:tcBorders>
                  <w:shd w:val="clear" w:color="auto" w:fill="auto"/>
                  <w:tcMar>
                    <w:top w:w="120" w:type="dxa"/>
                    <w:left w:w="120" w:type="dxa"/>
                    <w:bottom w:w="120" w:type="dxa"/>
                    <w:right w:w="120" w:type="dxa"/>
                  </w:tcMar>
                  <w:vAlign w:val="center"/>
                </w:tcPr>
                <w:p w14:paraId="2B98972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白色无定形粉末</w:t>
                  </w:r>
                </w:p>
              </w:tc>
              <w:tc>
                <w:tcPr>
                  <w:tcW w:w="1298" w:type="pct"/>
                  <w:tcBorders>
                    <w:tl2br w:val="nil"/>
                    <w:tr2bl w:val="nil"/>
                  </w:tcBorders>
                  <w:shd w:val="clear" w:color="auto" w:fill="auto"/>
                  <w:tcMar>
                    <w:top w:w="120" w:type="dxa"/>
                    <w:left w:w="120" w:type="dxa"/>
                    <w:bottom w:w="120" w:type="dxa"/>
                    <w:right w:w="120" w:type="dxa"/>
                  </w:tcMar>
                  <w:vAlign w:val="center"/>
                </w:tcPr>
                <w:p w14:paraId="039F5CF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无臭、无味、吸湿性低、易溶于水</w:t>
                  </w:r>
                </w:p>
              </w:tc>
              <w:tc>
                <w:tcPr>
                  <w:tcW w:w="1453" w:type="pct"/>
                  <w:tcBorders>
                    <w:tl2br w:val="nil"/>
                    <w:tr2bl w:val="nil"/>
                  </w:tcBorders>
                  <w:shd w:val="clear" w:color="auto" w:fill="auto"/>
                  <w:tcMar>
                    <w:top w:w="120" w:type="dxa"/>
                    <w:left w:w="120" w:type="dxa"/>
                    <w:bottom w:w="120" w:type="dxa"/>
                    <w:right w:w="120" w:type="dxa"/>
                  </w:tcMar>
                  <w:vAlign w:val="center"/>
                </w:tcPr>
                <w:p w14:paraId="2CBE802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DE值（葡萄糖当量）9.6~15.7；溶于水呈透明澄清液</w:t>
                  </w:r>
                </w:p>
              </w:tc>
              <w:tc>
                <w:tcPr>
                  <w:tcW w:w="770" w:type="pct"/>
                  <w:tcBorders>
                    <w:tl2br w:val="nil"/>
                    <w:tr2bl w:val="nil"/>
                  </w:tcBorders>
                  <w:shd w:val="clear" w:color="auto" w:fill="auto"/>
                  <w:tcMar>
                    <w:top w:w="120" w:type="dxa"/>
                    <w:left w:w="120" w:type="dxa"/>
                    <w:bottom w:w="120" w:type="dxa"/>
                    <w:right w:w="120" w:type="dxa"/>
                  </w:tcMar>
                  <w:vAlign w:val="center"/>
                </w:tcPr>
                <w:p w14:paraId="07A31A5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淀粉水解产物，填充剂</w:t>
                  </w:r>
                </w:p>
              </w:tc>
            </w:tr>
            <w:tr w14:paraId="67B1E66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0E1CBB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山梨糖醇</w:t>
                  </w:r>
                </w:p>
              </w:tc>
              <w:tc>
                <w:tcPr>
                  <w:tcW w:w="902" w:type="pct"/>
                  <w:tcBorders>
                    <w:tl2br w:val="nil"/>
                    <w:tr2bl w:val="nil"/>
                  </w:tcBorders>
                  <w:shd w:val="clear" w:color="auto" w:fill="auto"/>
                  <w:tcMar>
                    <w:top w:w="120" w:type="dxa"/>
                    <w:left w:w="120" w:type="dxa"/>
                    <w:bottom w:w="120" w:type="dxa"/>
                    <w:right w:w="120" w:type="dxa"/>
                  </w:tcMar>
                  <w:vAlign w:val="center"/>
                </w:tcPr>
                <w:p w14:paraId="1B1A69C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白色结晶粉末</w:t>
                  </w:r>
                </w:p>
              </w:tc>
              <w:tc>
                <w:tcPr>
                  <w:tcW w:w="1298" w:type="pct"/>
                  <w:tcBorders>
                    <w:tl2br w:val="nil"/>
                    <w:tr2bl w:val="nil"/>
                  </w:tcBorders>
                  <w:shd w:val="clear" w:color="auto" w:fill="auto"/>
                  <w:tcMar>
                    <w:top w:w="120" w:type="dxa"/>
                    <w:left w:w="120" w:type="dxa"/>
                    <w:bottom w:w="120" w:type="dxa"/>
                    <w:right w:w="120" w:type="dxa"/>
                  </w:tcMar>
                  <w:vAlign w:val="center"/>
                </w:tcPr>
                <w:p w14:paraId="3BF816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无臭、甜味温和（蔗糖 60%）、不吸湿、还原性</w:t>
                  </w:r>
                </w:p>
              </w:tc>
              <w:tc>
                <w:tcPr>
                  <w:tcW w:w="1453" w:type="pct"/>
                  <w:tcBorders>
                    <w:tl2br w:val="nil"/>
                    <w:tr2bl w:val="nil"/>
                  </w:tcBorders>
                  <w:shd w:val="clear" w:color="auto" w:fill="auto"/>
                  <w:tcMar>
                    <w:top w:w="120" w:type="dxa"/>
                    <w:left w:w="120" w:type="dxa"/>
                    <w:bottom w:w="120" w:type="dxa"/>
                    <w:right w:w="120" w:type="dxa"/>
                  </w:tcMar>
                  <w:vAlign w:val="center"/>
                </w:tcPr>
                <w:p w14:paraId="53A4111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熔点 93~98℃；易溶于水，微溶于乙醇；水溶液呈右旋光性</w:t>
                  </w:r>
                </w:p>
              </w:tc>
              <w:tc>
                <w:tcPr>
                  <w:tcW w:w="770" w:type="pct"/>
                  <w:tcBorders>
                    <w:tl2br w:val="nil"/>
                    <w:tr2bl w:val="nil"/>
                  </w:tcBorders>
                  <w:shd w:val="clear" w:color="auto" w:fill="auto"/>
                  <w:tcMar>
                    <w:top w:w="120" w:type="dxa"/>
                    <w:left w:w="120" w:type="dxa"/>
                    <w:bottom w:w="120" w:type="dxa"/>
                    <w:right w:w="120" w:type="dxa"/>
                  </w:tcMar>
                  <w:vAlign w:val="center"/>
                </w:tcPr>
                <w:p w14:paraId="00942F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葡萄糖加氢还原，保湿剂</w:t>
                  </w:r>
                </w:p>
              </w:tc>
            </w:tr>
            <w:tr w14:paraId="2DCF272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6A1D53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水苏糖</w:t>
                  </w:r>
                </w:p>
              </w:tc>
              <w:tc>
                <w:tcPr>
                  <w:tcW w:w="902" w:type="pct"/>
                  <w:tcBorders>
                    <w:tl2br w:val="nil"/>
                    <w:tr2bl w:val="nil"/>
                  </w:tcBorders>
                  <w:shd w:val="clear" w:color="auto" w:fill="auto"/>
                  <w:tcMar>
                    <w:top w:w="120" w:type="dxa"/>
                    <w:left w:w="120" w:type="dxa"/>
                    <w:bottom w:w="120" w:type="dxa"/>
                    <w:right w:w="120" w:type="dxa"/>
                  </w:tcMar>
                  <w:vAlign w:val="center"/>
                </w:tcPr>
                <w:p w14:paraId="22CF47E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白色粉末</w:t>
                  </w:r>
                </w:p>
              </w:tc>
              <w:tc>
                <w:tcPr>
                  <w:tcW w:w="1298" w:type="pct"/>
                  <w:tcBorders>
                    <w:tl2br w:val="nil"/>
                    <w:tr2bl w:val="nil"/>
                  </w:tcBorders>
                  <w:shd w:val="clear" w:color="auto" w:fill="auto"/>
                  <w:tcMar>
                    <w:top w:w="120" w:type="dxa"/>
                    <w:left w:w="120" w:type="dxa"/>
                    <w:bottom w:w="120" w:type="dxa"/>
                    <w:right w:w="120" w:type="dxa"/>
                  </w:tcMar>
                  <w:vAlign w:val="center"/>
                </w:tcPr>
                <w:p w14:paraId="43C75A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无臭、微甜、耐热耐酸、非消化性</w:t>
                  </w:r>
                </w:p>
              </w:tc>
              <w:tc>
                <w:tcPr>
                  <w:tcW w:w="1453" w:type="pct"/>
                  <w:tcBorders>
                    <w:tl2br w:val="nil"/>
                    <w:tr2bl w:val="nil"/>
                  </w:tcBorders>
                  <w:shd w:val="clear" w:color="auto" w:fill="auto"/>
                  <w:tcMar>
                    <w:top w:w="120" w:type="dxa"/>
                    <w:left w:w="120" w:type="dxa"/>
                    <w:bottom w:w="120" w:type="dxa"/>
                    <w:right w:w="120" w:type="dxa"/>
                  </w:tcMar>
                  <w:vAlign w:val="center"/>
                </w:tcPr>
                <w:p w14:paraId="53874E5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易溶于水；高温（120℃）及酸性条件下稳定；不被口腔酶分解</w:t>
                  </w:r>
                </w:p>
              </w:tc>
              <w:tc>
                <w:tcPr>
                  <w:tcW w:w="770" w:type="pct"/>
                  <w:tcBorders>
                    <w:tl2br w:val="nil"/>
                    <w:tr2bl w:val="nil"/>
                  </w:tcBorders>
                  <w:shd w:val="clear" w:color="auto" w:fill="auto"/>
                  <w:tcMar>
                    <w:top w:w="120" w:type="dxa"/>
                    <w:left w:w="120" w:type="dxa"/>
                    <w:bottom w:w="120" w:type="dxa"/>
                    <w:right w:w="120" w:type="dxa"/>
                  </w:tcMar>
                  <w:vAlign w:val="center"/>
                </w:tcPr>
                <w:p w14:paraId="029B4D9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豆类</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植物提取，益生元</w:t>
                  </w:r>
                </w:p>
              </w:tc>
            </w:tr>
            <w:tr w14:paraId="06A29ED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3DB268E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麦芽糖醇液</w:t>
                  </w:r>
                </w:p>
              </w:tc>
              <w:tc>
                <w:tcPr>
                  <w:tcW w:w="902" w:type="pct"/>
                  <w:tcBorders>
                    <w:tl2br w:val="nil"/>
                    <w:tr2bl w:val="nil"/>
                  </w:tcBorders>
                  <w:shd w:val="clear" w:color="auto" w:fill="auto"/>
                  <w:tcMar>
                    <w:top w:w="120" w:type="dxa"/>
                    <w:left w:w="120" w:type="dxa"/>
                    <w:bottom w:w="120" w:type="dxa"/>
                    <w:right w:w="120" w:type="dxa"/>
                  </w:tcMar>
                  <w:vAlign w:val="center"/>
                </w:tcPr>
                <w:p w14:paraId="664E8EA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无色透明粘稠液体</w:t>
                  </w:r>
                </w:p>
              </w:tc>
              <w:tc>
                <w:tcPr>
                  <w:tcW w:w="1298" w:type="pct"/>
                  <w:tcBorders>
                    <w:tl2br w:val="nil"/>
                    <w:tr2bl w:val="nil"/>
                  </w:tcBorders>
                  <w:shd w:val="clear" w:color="auto" w:fill="auto"/>
                  <w:tcMar>
                    <w:top w:w="120" w:type="dxa"/>
                    <w:left w:w="120" w:type="dxa"/>
                    <w:bottom w:w="120" w:type="dxa"/>
                    <w:right w:w="120" w:type="dxa"/>
                  </w:tcMar>
                  <w:vAlign w:val="center"/>
                </w:tcPr>
                <w:p w14:paraId="1249405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甜味柔和（蔗糖 40%~50%）、保湿性好、无还原性</w:t>
                  </w:r>
                </w:p>
              </w:tc>
              <w:tc>
                <w:tcPr>
                  <w:tcW w:w="1453" w:type="pct"/>
                  <w:tcBorders>
                    <w:tl2br w:val="nil"/>
                    <w:tr2bl w:val="nil"/>
                  </w:tcBorders>
                  <w:shd w:val="clear" w:color="auto" w:fill="auto"/>
                  <w:tcMar>
                    <w:top w:w="120" w:type="dxa"/>
                    <w:left w:w="120" w:type="dxa"/>
                    <w:bottom w:w="120" w:type="dxa"/>
                    <w:right w:w="120" w:type="dxa"/>
                  </w:tcMar>
                  <w:vAlign w:val="center"/>
                </w:tcPr>
                <w:p w14:paraId="5F6955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易溶于水；耐热耐酸；黏度适中；不吸湿</w:t>
                  </w:r>
                </w:p>
              </w:tc>
              <w:tc>
                <w:tcPr>
                  <w:tcW w:w="770" w:type="pct"/>
                  <w:tcBorders>
                    <w:tl2br w:val="nil"/>
                    <w:tr2bl w:val="nil"/>
                  </w:tcBorders>
                  <w:shd w:val="clear" w:color="auto" w:fill="auto"/>
                  <w:tcMar>
                    <w:top w:w="120" w:type="dxa"/>
                    <w:left w:w="120" w:type="dxa"/>
                    <w:bottom w:w="120" w:type="dxa"/>
                    <w:right w:w="120" w:type="dxa"/>
                  </w:tcMar>
                  <w:vAlign w:val="center"/>
                </w:tcPr>
                <w:p w14:paraId="73C8070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麦芽糖醇加氢制备，代糖</w:t>
                  </w:r>
                </w:p>
              </w:tc>
            </w:tr>
            <w:tr w14:paraId="746D457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7FBB4D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可可味涂层糖果</w:t>
                  </w:r>
                </w:p>
              </w:tc>
              <w:tc>
                <w:tcPr>
                  <w:tcW w:w="902" w:type="pct"/>
                  <w:tcBorders>
                    <w:tl2br w:val="nil"/>
                    <w:tr2bl w:val="nil"/>
                  </w:tcBorders>
                  <w:shd w:val="clear" w:color="auto" w:fill="auto"/>
                  <w:tcMar>
                    <w:top w:w="120" w:type="dxa"/>
                    <w:left w:w="120" w:type="dxa"/>
                    <w:bottom w:w="120" w:type="dxa"/>
                    <w:right w:w="120" w:type="dxa"/>
                  </w:tcMar>
                  <w:vAlign w:val="center"/>
                </w:tcPr>
                <w:p w14:paraId="2668EBB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固态（涂层状）</w:t>
                  </w:r>
                </w:p>
              </w:tc>
              <w:tc>
                <w:tcPr>
                  <w:tcW w:w="1298" w:type="pct"/>
                  <w:tcBorders>
                    <w:tl2br w:val="nil"/>
                    <w:tr2bl w:val="nil"/>
                  </w:tcBorders>
                  <w:shd w:val="clear" w:color="auto" w:fill="auto"/>
                  <w:tcMar>
                    <w:top w:w="120" w:type="dxa"/>
                    <w:left w:w="120" w:type="dxa"/>
                    <w:bottom w:w="120" w:type="dxa"/>
                    <w:right w:w="120" w:type="dxa"/>
                  </w:tcMar>
                  <w:vAlign w:val="center"/>
                </w:tcPr>
                <w:p w14:paraId="4AEF23F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含高比例可可脂（≥31%）、熔点适中、易熔融</w:t>
                  </w:r>
                </w:p>
              </w:tc>
              <w:tc>
                <w:tcPr>
                  <w:tcW w:w="1453" w:type="pct"/>
                  <w:tcBorders>
                    <w:tl2br w:val="nil"/>
                    <w:tr2bl w:val="nil"/>
                  </w:tcBorders>
                  <w:shd w:val="clear" w:color="auto" w:fill="auto"/>
                  <w:tcMar>
                    <w:top w:w="120" w:type="dxa"/>
                    <w:left w:w="120" w:type="dxa"/>
                    <w:bottom w:w="120" w:type="dxa"/>
                    <w:right w:w="120" w:type="dxa"/>
                  </w:tcMar>
                  <w:vAlign w:val="center"/>
                </w:tcPr>
                <w:p w14:paraId="5CF29BE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可可脂含量31%~50%；调温后快速结晶成型；溶于油脂</w:t>
                  </w:r>
                </w:p>
              </w:tc>
              <w:tc>
                <w:tcPr>
                  <w:tcW w:w="770" w:type="pct"/>
                  <w:tcBorders>
                    <w:tl2br w:val="nil"/>
                    <w:tr2bl w:val="nil"/>
                  </w:tcBorders>
                  <w:shd w:val="clear" w:color="auto" w:fill="auto"/>
                  <w:tcMar>
                    <w:top w:w="120" w:type="dxa"/>
                    <w:left w:w="120" w:type="dxa"/>
                    <w:bottom w:w="120" w:type="dxa"/>
                    <w:right w:w="120" w:type="dxa"/>
                  </w:tcMar>
                  <w:vAlign w:val="center"/>
                </w:tcPr>
                <w:p w14:paraId="7544782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可可脂+糖+乳制品，烘焙涂层</w:t>
                  </w:r>
                </w:p>
              </w:tc>
            </w:tr>
            <w:tr w14:paraId="536A91C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15D3CF2D">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赤藓糖醇</w:t>
                  </w:r>
                </w:p>
              </w:tc>
              <w:tc>
                <w:tcPr>
                  <w:tcW w:w="902" w:type="pct"/>
                  <w:tcBorders>
                    <w:tl2br w:val="nil"/>
                    <w:tr2bl w:val="nil"/>
                  </w:tcBorders>
                  <w:shd w:val="clear" w:color="auto" w:fill="auto"/>
                  <w:tcMar>
                    <w:top w:w="120" w:type="dxa"/>
                    <w:left w:w="120" w:type="dxa"/>
                    <w:bottom w:w="120" w:type="dxa"/>
                    <w:right w:w="120" w:type="dxa"/>
                  </w:tcMar>
                  <w:vAlign w:val="center"/>
                </w:tcPr>
                <w:p w14:paraId="49E657A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白色结晶粉末</w:t>
                  </w:r>
                </w:p>
              </w:tc>
              <w:tc>
                <w:tcPr>
                  <w:tcW w:w="1298" w:type="pct"/>
                  <w:tcBorders>
                    <w:tl2br w:val="nil"/>
                    <w:tr2bl w:val="nil"/>
                  </w:tcBorders>
                  <w:shd w:val="clear" w:color="auto" w:fill="auto"/>
                  <w:tcMar>
                    <w:top w:w="120" w:type="dxa"/>
                    <w:left w:w="120" w:type="dxa"/>
                    <w:bottom w:w="120" w:type="dxa"/>
                    <w:right w:w="120" w:type="dxa"/>
                  </w:tcMar>
                  <w:vAlign w:val="center"/>
                </w:tcPr>
                <w:p w14:paraId="63EAD56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无臭、甜度约蔗糖65%、清凉感、低热量</w:t>
                  </w:r>
                </w:p>
              </w:tc>
              <w:tc>
                <w:tcPr>
                  <w:tcW w:w="1453" w:type="pct"/>
                  <w:tcBorders>
                    <w:tl2br w:val="nil"/>
                    <w:tr2bl w:val="nil"/>
                  </w:tcBorders>
                  <w:shd w:val="clear" w:color="auto" w:fill="auto"/>
                  <w:tcMar>
                    <w:top w:w="120" w:type="dxa"/>
                    <w:left w:w="120" w:type="dxa"/>
                    <w:bottom w:w="120" w:type="dxa"/>
                    <w:right w:w="120" w:type="dxa"/>
                  </w:tcMar>
                  <w:vAlign w:val="center"/>
                </w:tcPr>
                <w:p w14:paraId="3E02A9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熔点118~120℃；易溶于水；溶解度随温度升高增大；非致龋性</w:t>
                  </w:r>
                </w:p>
              </w:tc>
              <w:tc>
                <w:tcPr>
                  <w:tcW w:w="770" w:type="pct"/>
                  <w:tcBorders>
                    <w:tl2br w:val="nil"/>
                    <w:tr2bl w:val="nil"/>
                  </w:tcBorders>
                  <w:shd w:val="clear" w:color="auto" w:fill="auto"/>
                  <w:tcMar>
                    <w:top w:w="120" w:type="dxa"/>
                    <w:left w:w="120" w:type="dxa"/>
                    <w:bottom w:w="120" w:type="dxa"/>
                    <w:right w:w="120" w:type="dxa"/>
                  </w:tcMar>
                  <w:vAlign w:val="center"/>
                </w:tcPr>
                <w:p w14:paraId="20F83C6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酵母发酵，代糖</w:t>
                  </w:r>
                </w:p>
              </w:tc>
            </w:tr>
            <w:tr w14:paraId="50555C1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6938A48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聚葡萄糖</w:t>
                  </w:r>
                </w:p>
              </w:tc>
              <w:tc>
                <w:tcPr>
                  <w:tcW w:w="902" w:type="pct"/>
                  <w:tcBorders>
                    <w:tl2br w:val="nil"/>
                    <w:tr2bl w:val="nil"/>
                  </w:tcBorders>
                  <w:shd w:val="clear" w:color="auto" w:fill="auto"/>
                  <w:tcMar>
                    <w:top w:w="120" w:type="dxa"/>
                    <w:left w:w="120" w:type="dxa"/>
                    <w:bottom w:w="120" w:type="dxa"/>
                    <w:right w:w="120" w:type="dxa"/>
                  </w:tcMar>
                  <w:vAlign w:val="center"/>
                </w:tcPr>
                <w:p w14:paraId="411111D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米色至浅茶色粉末</w:t>
                  </w:r>
                </w:p>
              </w:tc>
              <w:tc>
                <w:tcPr>
                  <w:tcW w:w="1298" w:type="pct"/>
                  <w:tcBorders>
                    <w:tl2br w:val="nil"/>
                    <w:tr2bl w:val="nil"/>
                  </w:tcBorders>
                  <w:shd w:val="clear" w:color="auto" w:fill="auto"/>
                  <w:tcMar>
                    <w:top w:w="120" w:type="dxa"/>
                    <w:left w:w="120" w:type="dxa"/>
                    <w:bottom w:w="120" w:type="dxa"/>
                    <w:right w:w="120" w:type="dxa"/>
                  </w:tcMar>
                  <w:vAlign w:val="center"/>
                </w:tcPr>
                <w:p w14:paraId="57D6A1E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无臭、味微酸、水溶性极佳</w:t>
                  </w:r>
                </w:p>
              </w:tc>
              <w:tc>
                <w:tcPr>
                  <w:tcW w:w="1453" w:type="pct"/>
                  <w:tcBorders>
                    <w:tl2br w:val="nil"/>
                    <w:tr2bl w:val="nil"/>
                  </w:tcBorders>
                  <w:shd w:val="clear" w:color="auto" w:fill="auto"/>
                  <w:tcMar>
                    <w:top w:w="120" w:type="dxa"/>
                    <w:left w:w="120" w:type="dxa"/>
                    <w:bottom w:w="120" w:type="dxa"/>
                    <w:right w:w="120" w:type="dxa"/>
                  </w:tcMar>
                  <w:vAlign w:val="center"/>
                </w:tcPr>
                <w:p w14:paraId="325CAFB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极易溶于水；在甘油</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丙二醇中微溶；水溶液呈酸性（pH2.5~5.0）</w:t>
                  </w:r>
                </w:p>
              </w:tc>
              <w:tc>
                <w:tcPr>
                  <w:tcW w:w="770" w:type="pct"/>
                  <w:tcBorders>
                    <w:tl2br w:val="nil"/>
                    <w:tr2bl w:val="nil"/>
                  </w:tcBorders>
                  <w:shd w:val="clear" w:color="auto" w:fill="auto"/>
                  <w:tcMar>
                    <w:top w:w="120" w:type="dxa"/>
                    <w:left w:w="120" w:type="dxa"/>
                    <w:bottom w:w="120" w:type="dxa"/>
                    <w:right w:w="120" w:type="dxa"/>
                  </w:tcMar>
                  <w:vAlign w:val="center"/>
                </w:tcPr>
                <w:p w14:paraId="13D73CF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葡萄糖</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山梨醇</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柠檬酸熔融聚合，膳食纤维</w:t>
                  </w:r>
                </w:p>
              </w:tc>
            </w:tr>
            <w:tr w14:paraId="38859906">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59AC038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大豆分离蛋白</w:t>
                  </w:r>
                </w:p>
              </w:tc>
              <w:tc>
                <w:tcPr>
                  <w:tcW w:w="902" w:type="pct"/>
                  <w:tcBorders>
                    <w:tl2br w:val="nil"/>
                    <w:tr2bl w:val="nil"/>
                  </w:tcBorders>
                  <w:shd w:val="clear" w:color="auto" w:fill="auto"/>
                  <w:tcMar>
                    <w:top w:w="120" w:type="dxa"/>
                    <w:left w:w="120" w:type="dxa"/>
                    <w:bottom w:w="120" w:type="dxa"/>
                    <w:right w:w="120" w:type="dxa"/>
                  </w:tcMar>
                  <w:vAlign w:val="center"/>
                </w:tcPr>
                <w:p w14:paraId="044A0B1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淡黄色</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乳白色粉末</w:t>
                  </w:r>
                </w:p>
              </w:tc>
              <w:tc>
                <w:tcPr>
                  <w:tcW w:w="1298" w:type="pct"/>
                  <w:tcBorders>
                    <w:tl2br w:val="nil"/>
                    <w:tr2bl w:val="nil"/>
                  </w:tcBorders>
                  <w:shd w:val="clear" w:color="auto" w:fill="auto"/>
                  <w:tcMar>
                    <w:top w:w="120" w:type="dxa"/>
                    <w:left w:w="120" w:type="dxa"/>
                    <w:bottom w:w="120" w:type="dxa"/>
                    <w:right w:w="120" w:type="dxa"/>
                  </w:tcMar>
                  <w:vAlign w:val="center"/>
                </w:tcPr>
                <w:p w14:paraId="1C0CC63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无豆腥味、高纯度（≥90%）、多功能性</w:t>
                  </w:r>
                </w:p>
              </w:tc>
              <w:tc>
                <w:tcPr>
                  <w:tcW w:w="1453" w:type="pct"/>
                  <w:tcBorders>
                    <w:tl2br w:val="nil"/>
                    <w:tr2bl w:val="nil"/>
                  </w:tcBorders>
                  <w:shd w:val="clear" w:color="auto" w:fill="auto"/>
                  <w:tcMar>
                    <w:top w:w="120" w:type="dxa"/>
                    <w:left w:w="120" w:type="dxa"/>
                    <w:bottom w:w="120" w:type="dxa"/>
                    <w:right w:w="120" w:type="dxa"/>
                  </w:tcMar>
                  <w:vAlign w:val="center"/>
                </w:tcPr>
                <w:p w14:paraId="00E2562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溶于水（NSI85%~95%）；具乳化、凝胶、发泡特性；等电点pH4.5</w:t>
                  </w:r>
                </w:p>
              </w:tc>
              <w:tc>
                <w:tcPr>
                  <w:tcW w:w="770" w:type="pct"/>
                  <w:tcBorders>
                    <w:tl2br w:val="nil"/>
                    <w:tr2bl w:val="nil"/>
                  </w:tcBorders>
                  <w:shd w:val="clear" w:color="auto" w:fill="auto"/>
                  <w:tcMar>
                    <w:top w:w="120" w:type="dxa"/>
                    <w:left w:w="120" w:type="dxa"/>
                    <w:bottom w:w="120" w:type="dxa"/>
                    <w:right w:w="120" w:type="dxa"/>
                  </w:tcMar>
                  <w:vAlign w:val="center"/>
                </w:tcPr>
                <w:p w14:paraId="46C963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碱提酸沉工艺，植物蛋白</w:t>
                  </w:r>
                </w:p>
              </w:tc>
            </w:tr>
            <w:tr w14:paraId="4548CDF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5A2A2C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抗性糊精</w:t>
                  </w:r>
                </w:p>
              </w:tc>
              <w:tc>
                <w:tcPr>
                  <w:tcW w:w="902" w:type="pct"/>
                  <w:tcBorders>
                    <w:tl2br w:val="nil"/>
                    <w:tr2bl w:val="nil"/>
                  </w:tcBorders>
                  <w:shd w:val="clear" w:color="auto" w:fill="auto"/>
                  <w:tcMar>
                    <w:top w:w="120" w:type="dxa"/>
                    <w:left w:w="120" w:type="dxa"/>
                    <w:bottom w:w="120" w:type="dxa"/>
                    <w:right w:w="120" w:type="dxa"/>
                  </w:tcMar>
                  <w:vAlign w:val="center"/>
                </w:tcPr>
                <w:p w14:paraId="6130D3B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淡黄色粉末</w:t>
                  </w:r>
                </w:p>
              </w:tc>
              <w:tc>
                <w:tcPr>
                  <w:tcW w:w="1298" w:type="pct"/>
                  <w:tcBorders>
                    <w:tl2br w:val="nil"/>
                    <w:tr2bl w:val="nil"/>
                  </w:tcBorders>
                  <w:shd w:val="clear" w:color="auto" w:fill="auto"/>
                  <w:tcMar>
                    <w:top w:w="120" w:type="dxa"/>
                    <w:left w:w="120" w:type="dxa"/>
                    <w:bottom w:w="120" w:type="dxa"/>
                    <w:right w:w="120" w:type="dxa"/>
                  </w:tcMar>
                  <w:vAlign w:val="center"/>
                </w:tcPr>
                <w:p w14:paraId="041AE83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无臭、低甜度、水溶性膳食纤维</w:t>
                  </w:r>
                </w:p>
              </w:tc>
              <w:tc>
                <w:tcPr>
                  <w:tcW w:w="1453" w:type="pct"/>
                  <w:tcBorders>
                    <w:tl2br w:val="nil"/>
                    <w:tr2bl w:val="nil"/>
                  </w:tcBorders>
                  <w:shd w:val="clear" w:color="auto" w:fill="auto"/>
                  <w:tcMar>
                    <w:top w:w="120" w:type="dxa"/>
                    <w:left w:w="120" w:type="dxa"/>
                    <w:bottom w:w="120" w:type="dxa"/>
                    <w:right w:w="120" w:type="dxa"/>
                  </w:tcMar>
                  <w:vAlign w:val="center"/>
                </w:tcPr>
                <w:p w14:paraId="14804E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易溶于热水；黏度可调；耐热耐酸；吸湿性弱</w:t>
                  </w:r>
                </w:p>
              </w:tc>
              <w:tc>
                <w:tcPr>
                  <w:tcW w:w="770" w:type="pct"/>
                  <w:tcBorders>
                    <w:tl2br w:val="nil"/>
                    <w:tr2bl w:val="nil"/>
                  </w:tcBorders>
                  <w:shd w:val="clear" w:color="auto" w:fill="auto"/>
                  <w:tcMar>
                    <w:top w:w="120" w:type="dxa"/>
                    <w:left w:w="120" w:type="dxa"/>
                    <w:bottom w:w="120" w:type="dxa"/>
                    <w:right w:w="120" w:type="dxa"/>
                  </w:tcMar>
                  <w:vAlign w:val="center"/>
                </w:tcPr>
                <w:p w14:paraId="7946577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淀粉改性处理，低热量</w:t>
                  </w:r>
                </w:p>
              </w:tc>
            </w:tr>
            <w:tr w14:paraId="7E2F63BA">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216F021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低聚果糖</w:t>
                  </w:r>
                </w:p>
              </w:tc>
              <w:tc>
                <w:tcPr>
                  <w:tcW w:w="902" w:type="pct"/>
                  <w:tcBorders>
                    <w:tl2br w:val="nil"/>
                    <w:tr2bl w:val="nil"/>
                  </w:tcBorders>
                  <w:shd w:val="clear" w:color="auto" w:fill="auto"/>
                  <w:tcMar>
                    <w:top w:w="120" w:type="dxa"/>
                    <w:left w:w="120" w:type="dxa"/>
                    <w:bottom w:w="120" w:type="dxa"/>
                    <w:right w:w="120" w:type="dxa"/>
                  </w:tcMar>
                  <w:vAlign w:val="center"/>
                </w:tcPr>
                <w:p w14:paraId="49BDCC4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无色粉末</w:t>
                  </w:r>
                </w:p>
              </w:tc>
              <w:tc>
                <w:tcPr>
                  <w:tcW w:w="1298" w:type="pct"/>
                  <w:tcBorders>
                    <w:tl2br w:val="nil"/>
                    <w:tr2bl w:val="nil"/>
                  </w:tcBorders>
                  <w:shd w:val="clear" w:color="auto" w:fill="auto"/>
                  <w:tcMar>
                    <w:top w:w="120" w:type="dxa"/>
                    <w:left w:w="120" w:type="dxa"/>
                    <w:bottom w:w="120" w:type="dxa"/>
                    <w:right w:w="120" w:type="dxa"/>
                  </w:tcMar>
                  <w:vAlign w:val="center"/>
                </w:tcPr>
                <w:p w14:paraId="0B5CF63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无臭、甜味约蔗糖30%~60%、耐热耐碱</w:t>
                  </w:r>
                </w:p>
              </w:tc>
              <w:tc>
                <w:tcPr>
                  <w:tcW w:w="1453" w:type="pct"/>
                  <w:tcBorders>
                    <w:tl2br w:val="nil"/>
                    <w:tr2bl w:val="nil"/>
                  </w:tcBorders>
                  <w:shd w:val="clear" w:color="auto" w:fill="auto"/>
                  <w:tcMar>
                    <w:top w:w="120" w:type="dxa"/>
                    <w:left w:w="120" w:type="dxa"/>
                    <w:bottom w:w="120" w:type="dxa"/>
                    <w:right w:w="120" w:type="dxa"/>
                  </w:tcMar>
                  <w:vAlign w:val="center"/>
                </w:tcPr>
                <w:p w14:paraId="4DCE8F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易溶于水；pH7、120℃稳定；pH3、70℃后稳定性下降；抗结晶</w:t>
                  </w:r>
                </w:p>
              </w:tc>
              <w:tc>
                <w:tcPr>
                  <w:tcW w:w="770" w:type="pct"/>
                  <w:tcBorders>
                    <w:tl2br w:val="nil"/>
                    <w:tr2bl w:val="nil"/>
                  </w:tcBorders>
                  <w:shd w:val="clear" w:color="auto" w:fill="auto"/>
                  <w:tcMar>
                    <w:top w:w="120" w:type="dxa"/>
                    <w:left w:w="120" w:type="dxa"/>
                    <w:bottom w:w="120" w:type="dxa"/>
                    <w:right w:w="120" w:type="dxa"/>
                  </w:tcMar>
                  <w:vAlign w:val="center"/>
                </w:tcPr>
                <w:p w14:paraId="2F33CFA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菊芋</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植物提取，益生元</w:t>
                  </w:r>
                </w:p>
              </w:tc>
            </w:tr>
            <w:tr w14:paraId="0AE246FF">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1B57F57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纯豆浆粉</w:t>
                  </w:r>
                </w:p>
              </w:tc>
              <w:tc>
                <w:tcPr>
                  <w:tcW w:w="902" w:type="pct"/>
                  <w:tcBorders>
                    <w:tl2br w:val="nil"/>
                    <w:tr2bl w:val="nil"/>
                  </w:tcBorders>
                  <w:shd w:val="clear" w:color="auto" w:fill="auto"/>
                  <w:tcMar>
                    <w:top w:w="120" w:type="dxa"/>
                    <w:left w:w="120" w:type="dxa"/>
                    <w:bottom w:w="120" w:type="dxa"/>
                    <w:right w:w="120" w:type="dxa"/>
                  </w:tcMar>
                  <w:vAlign w:val="center"/>
                </w:tcPr>
                <w:p w14:paraId="056ED4E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淡黄色粉末</w:t>
                  </w:r>
                </w:p>
              </w:tc>
              <w:tc>
                <w:tcPr>
                  <w:tcW w:w="1298" w:type="pct"/>
                  <w:tcBorders>
                    <w:tl2br w:val="nil"/>
                    <w:tr2bl w:val="nil"/>
                  </w:tcBorders>
                  <w:shd w:val="clear" w:color="auto" w:fill="auto"/>
                  <w:tcMar>
                    <w:top w:w="120" w:type="dxa"/>
                    <w:left w:w="120" w:type="dxa"/>
                    <w:bottom w:w="120" w:type="dxa"/>
                    <w:right w:w="120" w:type="dxa"/>
                  </w:tcMar>
                  <w:vAlign w:val="center"/>
                </w:tcPr>
                <w:p w14:paraId="2ED96C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无臭、高蛋白、易溶解</w:t>
                  </w:r>
                </w:p>
              </w:tc>
              <w:tc>
                <w:tcPr>
                  <w:tcW w:w="1453" w:type="pct"/>
                  <w:tcBorders>
                    <w:tl2br w:val="nil"/>
                    <w:tr2bl w:val="nil"/>
                  </w:tcBorders>
                  <w:shd w:val="clear" w:color="auto" w:fill="auto"/>
                  <w:tcMar>
                    <w:top w:w="120" w:type="dxa"/>
                    <w:left w:w="120" w:type="dxa"/>
                    <w:bottom w:w="120" w:type="dxa"/>
                    <w:right w:w="120" w:type="dxa"/>
                  </w:tcMar>
                  <w:vAlign w:val="center"/>
                </w:tcPr>
                <w:p w14:paraId="3D5EB6C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溶于热水；呈均匀乳浊液；富含大豆蛋白与膳食纤维</w:t>
                  </w:r>
                </w:p>
              </w:tc>
              <w:tc>
                <w:tcPr>
                  <w:tcW w:w="770" w:type="pct"/>
                  <w:tcBorders>
                    <w:tl2br w:val="nil"/>
                    <w:tr2bl w:val="nil"/>
                  </w:tcBorders>
                  <w:shd w:val="clear" w:color="auto" w:fill="auto"/>
                  <w:tcMar>
                    <w:top w:w="120" w:type="dxa"/>
                    <w:left w:w="120" w:type="dxa"/>
                    <w:bottom w:w="120" w:type="dxa"/>
                    <w:right w:w="120" w:type="dxa"/>
                  </w:tcMar>
                  <w:vAlign w:val="center"/>
                </w:tcPr>
                <w:p w14:paraId="11B3322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大豆研磨制粉，速溶饮品</w:t>
                  </w:r>
                </w:p>
              </w:tc>
            </w:tr>
            <w:tr w14:paraId="5D522571">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4989E35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无水乳糖</w:t>
                  </w:r>
                </w:p>
              </w:tc>
              <w:tc>
                <w:tcPr>
                  <w:tcW w:w="902" w:type="pct"/>
                  <w:tcBorders>
                    <w:tl2br w:val="nil"/>
                    <w:tr2bl w:val="nil"/>
                  </w:tcBorders>
                  <w:shd w:val="clear" w:color="auto" w:fill="auto"/>
                  <w:tcMar>
                    <w:top w:w="120" w:type="dxa"/>
                    <w:left w:w="120" w:type="dxa"/>
                    <w:bottom w:w="120" w:type="dxa"/>
                    <w:right w:w="120" w:type="dxa"/>
                  </w:tcMar>
                  <w:vAlign w:val="center"/>
                </w:tcPr>
                <w:p w14:paraId="2442CB0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白色结晶粉末</w:t>
                  </w:r>
                </w:p>
              </w:tc>
              <w:tc>
                <w:tcPr>
                  <w:tcW w:w="1298" w:type="pct"/>
                  <w:tcBorders>
                    <w:tl2br w:val="nil"/>
                    <w:tr2bl w:val="nil"/>
                  </w:tcBorders>
                  <w:shd w:val="clear" w:color="auto" w:fill="auto"/>
                  <w:tcMar>
                    <w:top w:w="120" w:type="dxa"/>
                    <w:left w:w="120" w:type="dxa"/>
                    <w:bottom w:w="120" w:type="dxa"/>
                    <w:right w:w="120" w:type="dxa"/>
                  </w:tcMar>
                  <w:vAlign w:val="center"/>
                </w:tcPr>
                <w:p w14:paraId="43EEAC8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无臭、甜度约蔗糖15%、无吸湿性</w:t>
                  </w:r>
                </w:p>
              </w:tc>
              <w:tc>
                <w:tcPr>
                  <w:tcW w:w="1453" w:type="pct"/>
                  <w:tcBorders>
                    <w:tl2br w:val="nil"/>
                    <w:tr2bl w:val="nil"/>
                  </w:tcBorders>
                  <w:shd w:val="clear" w:color="auto" w:fill="auto"/>
                  <w:tcMar>
                    <w:top w:w="120" w:type="dxa"/>
                    <w:left w:w="120" w:type="dxa"/>
                    <w:bottom w:w="120" w:type="dxa"/>
                    <w:right w:w="120" w:type="dxa"/>
                  </w:tcMar>
                  <w:vAlign w:val="center"/>
                </w:tcPr>
                <w:p w14:paraId="6CCD02E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熔点223℃（α型）/252.2℃（β型）；易溶于水，不溶于乙醇；具右旋光性</w:t>
                  </w:r>
                </w:p>
              </w:tc>
              <w:tc>
                <w:tcPr>
                  <w:tcW w:w="770" w:type="pct"/>
                  <w:tcBorders>
                    <w:tl2br w:val="nil"/>
                    <w:tr2bl w:val="nil"/>
                  </w:tcBorders>
                  <w:shd w:val="clear" w:color="auto" w:fill="auto"/>
                  <w:tcMar>
                    <w:top w:w="120" w:type="dxa"/>
                    <w:left w:w="120" w:type="dxa"/>
                    <w:bottom w:w="120" w:type="dxa"/>
                    <w:right w:w="120" w:type="dxa"/>
                  </w:tcMar>
                  <w:vAlign w:val="center"/>
                </w:tcPr>
                <w:p w14:paraId="1C4A967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乳清提取，乳制品原料</w:t>
                  </w:r>
                </w:p>
              </w:tc>
            </w:tr>
            <w:tr w14:paraId="4181DA1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3C9C60F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无水葡萄糖</w:t>
                  </w:r>
                </w:p>
              </w:tc>
              <w:tc>
                <w:tcPr>
                  <w:tcW w:w="902" w:type="pct"/>
                  <w:tcBorders>
                    <w:tl2br w:val="nil"/>
                    <w:tr2bl w:val="nil"/>
                  </w:tcBorders>
                  <w:shd w:val="clear" w:color="auto" w:fill="auto"/>
                  <w:tcMar>
                    <w:top w:w="120" w:type="dxa"/>
                    <w:left w:w="120" w:type="dxa"/>
                    <w:bottom w:w="120" w:type="dxa"/>
                    <w:right w:w="120" w:type="dxa"/>
                  </w:tcMar>
                  <w:vAlign w:val="center"/>
                </w:tcPr>
                <w:p w14:paraId="182B5C6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白色结晶粉末</w:t>
                  </w:r>
                </w:p>
              </w:tc>
              <w:tc>
                <w:tcPr>
                  <w:tcW w:w="1298" w:type="pct"/>
                  <w:tcBorders>
                    <w:tl2br w:val="nil"/>
                    <w:tr2bl w:val="nil"/>
                  </w:tcBorders>
                  <w:shd w:val="clear" w:color="auto" w:fill="auto"/>
                  <w:tcMar>
                    <w:top w:w="120" w:type="dxa"/>
                    <w:left w:w="120" w:type="dxa"/>
                    <w:bottom w:w="120" w:type="dxa"/>
                    <w:right w:w="120" w:type="dxa"/>
                  </w:tcMar>
                  <w:vAlign w:val="center"/>
                </w:tcPr>
                <w:p w14:paraId="05D56DD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无臭、味甜、易吸湿</w:t>
                  </w:r>
                </w:p>
              </w:tc>
              <w:tc>
                <w:tcPr>
                  <w:tcW w:w="1453" w:type="pct"/>
                  <w:tcBorders>
                    <w:tl2br w:val="nil"/>
                    <w:tr2bl w:val="nil"/>
                  </w:tcBorders>
                  <w:shd w:val="clear" w:color="auto" w:fill="auto"/>
                  <w:tcMar>
                    <w:top w:w="120" w:type="dxa"/>
                    <w:left w:w="120" w:type="dxa"/>
                    <w:bottom w:w="120" w:type="dxa"/>
                    <w:right w:w="120" w:type="dxa"/>
                  </w:tcMar>
                  <w:vAlign w:val="center"/>
                </w:tcPr>
                <w:p w14:paraId="0526AF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熔点146~150℃；极易溶于水；溶于水后呈右旋光性；具还原性</w:t>
                  </w:r>
                </w:p>
              </w:tc>
              <w:tc>
                <w:tcPr>
                  <w:tcW w:w="770" w:type="pct"/>
                  <w:tcBorders>
                    <w:tl2br w:val="nil"/>
                    <w:tr2bl w:val="nil"/>
                  </w:tcBorders>
                  <w:shd w:val="clear" w:color="auto" w:fill="auto"/>
                  <w:tcMar>
                    <w:top w:w="120" w:type="dxa"/>
                    <w:left w:w="120" w:type="dxa"/>
                    <w:bottom w:w="120" w:type="dxa"/>
                    <w:right w:w="120" w:type="dxa"/>
                  </w:tcMar>
                  <w:vAlign w:val="center"/>
                </w:tcPr>
                <w:p w14:paraId="45445F6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玉米淀粉酶解，能量原料</w:t>
                  </w:r>
                </w:p>
              </w:tc>
            </w:tr>
            <w:tr w14:paraId="4635480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auto"/>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6DC3713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低聚半乳糖</w:t>
                  </w:r>
                </w:p>
              </w:tc>
              <w:tc>
                <w:tcPr>
                  <w:tcW w:w="902" w:type="pct"/>
                  <w:tcBorders>
                    <w:tl2br w:val="nil"/>
                    <w:tr2bl w:val="nil"/>
                  </w:tcBorders>
                  <w:shd w:val="clear" w:color="auto" w:fill="auto"/>
                  <w:tcMar>
                    <w:top w:w="120" w:type="dxa"/>
                    <w:left w:w="120" w:type="dxa"/>
                    <w:bottom w:w="120" w:type="dxa"/>
                    <w:right w:w="120" w:type="dxa"/>
                  </w:tcMar>
                  <w:vAlign w:val="center"/>
                </w:tcPr>
                <w:p w14:paraId="19FF346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无色透明糖浆</w:t>
                  </w:r>
                </w:p>
              </w:tc>
              <w:tc>
                <w:tcPr>
                  <w:tcW w:w="1298" w:type="pct"/>
                  <w:tcBorders>
                    <w:tl2br w:val="nil"/>
                    <w:tr2bl w:val="nil"/>
                  </w:tcBorders>
                  <w:shd w:val="clear" w:color="auto" w:fill="auto"/>
                  <w:tcMar>
                    <w:top w:w="120" w:type="dxa"/>
                    <w:left w:w="120" w:type="dxa"/>
                    <w:bottom w:w="120" w:type="dxa"/>
                    <w:right w:w="120" w:type="dxa"/>
                  </w:tcMar>
                  <w:vAlign w:val="center"/>
                </w:tcPr>
                <w:p w14:paraId="122142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甜味温和、耐热耐酸、益生性</w:t>
                  </w:r>
                </w:p>
              </w:tc>
              <w:tc>
                <w:tcPr>
                  <w:tcW w:w="1453" w:type="pct"/>
                  <w:tcBorders>
                    <w:tl2br w:val="nil"/>
                    <w:tr2bl w:val="nil"/>
                  </w:tcBorders>
                  <w:shd w:val="clear" w:color="auto" w:fill="auto"/>
                  <w:tcMar>
                    <w:top w:w="120" w:type="dxa"/>
                    <w:left w:w="120" w:type="dxa"/>
                    <w:bottom w:w="120" w:type="dxa"/>
                    <w:right w:w="120" w:type="dxa"/>
                  </w:tcMar>
                  <w:vAlign w:val="center"/>
                </w:tcPr>
                <w:p w14:paraId="0DC6C7D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密度1.75g/cm³；沸点958.9℃；易溶于水；pH3~7、120℃稳定</w:t>
                  </w:r>
                </w:p>
              </w:tc>
              <w:tc>
                <w:tcPr>
                  <w:tcW w:w="770" w:type="pct"/>
                  <w:tcBorders>
                    <w:tl2br w:val="nil"/>
                    <w:tr2bl w:val="nil"/>
                  </w:tcBorders>
                  <w:shd w:val="clear" w:color="auto" w:fill="auto"/>
                  <w:tcMar>
                    <w:top w:w="120" w:type="dxa"/>
                    <w:left w:w="120" w:type="dxa"/>
                    <w:bottom w:w="120" w:type="dxa"/>
                    <w:right w:w="120" w:type="dxa"/>
                  </w:tcMar>
                  <w:vAlign w:val="center"/>
                </w:tcPr>
                <w:p w14:paraId="77B1367A">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乳糖酶解，益生元</w:t>
                  </w:r>
                </w:p>
              </w:tc>
            </w:tr>
            <w:tr w14:paraId="025AD09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29A4D2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精炼椰子油</w:t>
                  </w:r>
                </w:p>
              </w:tc>
              <w:tc>
                <w:tcPr>
                  <w:tcW w:w="902" w:type="pct"/>
                  <w:tcBorders>
                    <w:tl2br w:val="nil"/>
                    <w:tr2bl w:val="nil"/>
                  </w:tcBorders>
                  <w:shd w:val="clear" w:color="auto" w:fill="auto"/>
                  <w:tcMar>
                    <w:top w:w="120" w:type="dxa"/>
                    <w:left w:w="120" w:type="dxa"/>
                    <w:bottom w:w="120" w:type="dxa"/>
                    <w:right w:w="120" w:type="dxa"/>
                  </w:tcMar>
                  <w:vAlign w:val="center"/>
                </w:tcPr>
                <w:p w14:paraId="211B5E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无色</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淡黄色液体</w:t>
                  </w:r>
                </w:p>
              </w:tc>
              <w:tc>
                <w:tcPr>
                  <w:tcW w:w="1298" w:type="pct"/>
                  <w:tcBorders>
                    <w:tl2br w:val="nil"/>
                    <w:tr2bl w:val="nil"/>
                  </w:tcBorders>
                  <w:shd w:val="clear" w:color="auto" w:fill="auto"/>
                  <w:tcMar>
                    <w:top w:w="120" w:type="dxa"/>
                    <w:left w:w="120" w:type="dxa"/>
                    <w:bottom w:w="120" w:type="dxa"/>
                    <w:right w:w="120" w:type="dxa"/>
                  </w:tcMar>
                  <w:vAlign w:val="center"/>
                </w:tcPr>
                <w:p w14:paraId="36E55C7E">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无臭、高饱和脂肪酸、熔点 24~26℃</w:t>
                  </w:r>
                </w:p>
              </w:tc>
              <w:tc>
                <w:tcPr>
                  <w:tcW w:w="1453" w:type="pct"/>
                  <w:tcBorders>
                    <w:tl2br w:val="nil"/>
                    <w:tr2bl w:val="nil"/>
                  </w:tcBorders>
                  <w:shd w:val="clear" w:color="auto" w:fill="auto"/>
                  <w:tcMar>
                    <w:top w:w="120" w:type="dxa"/>
                    <w:left w:w="120" w:type="dxa"/>
                    <w:bottom w:w="120" w:type="dxa"/>
                    <w:right w:w="120" w:type="dxa"/>
                  </w:tcMar>
                  <w:vAlign w:val="center"/>
                </w:tcPr>
                <w:p w14:paraId="2DF8B28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常温液态（热带）</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固态（温带）；溶于油脂；氧化稳定性好</w:t>
                  </w:r>
                </w:p>
              </w:tc>
              <w:tc>
                <w:tcPr>
                  <w:tcW w:w="770" w:type="pct"/>
                  <w:tcBorders>
                    <w:tl2br w:val="nil"/>
                    <w:tr2bl w:val="nil"/>
                  </w:tcBorders>
                  <w:shd w:val="clear" w:color="auto" w:fill="auto"/>
                  <w:tcMar>
                    <w:top w:w="120" w:type="dxa"/>
                    <w:left w:w="120" w:type="dxa"/>
                    <w:bottom w:w="120" w:type="dxa"/>
                    <w:right w:w="120" w:type="dxa"/>
                  </w:tcMar>
                  <w:vAlign w:val="center"/>
                </w:tcPr>
                <w:p w14:paraId="402765E8">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椰子压榨精炼，食用油脂</w:t>
                  </w:r>
                </w:p>
              </w:tc>
            </w:tr>
            <w:tr w14:paraId="67BEC39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257DF97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浓缩乳清蛋白</w:t>
                  </w:r>
                </w:p>
              </w:tc>
              <w:tc>
                <w:tcPr>
                  <w:tcW w:w="902" w:type="pct"/>
                  <w:tcBorders>
                    <w:tl2br w:val="nil"/>
                    <w:tr2bl w:val="nil"/>
                  </w:tcBorders>
                  <w:shd w:val="clear" w:color="auto" w:fill="auto"/>
                  <w:tcMar>
                    <w:top w:w="120" w:type="dxa"/>
                    <w:left w:w="120" w:type="dxa"/>
                    <w:bottom w:w="120" w:type="dxa"/>
                    <w:right w:w="120" w:type="dxa"/>
                  </w:tcMar>
                  <w:vAlign w:val="center"/>
                </w:tcPr>
                <w:p w14:paraId="49C1AB9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淡黄色粉末</w:t>
                  </w:r>
                </w:p>
              </w:tc>
              <w:tc>
                <w:tcPr>
                  <w:tcW w:w="1298" w:type="pct"/>
                  <w:tcBorders>
                    <w:tl2br w:val="nil"/>
                    <w:tr2bl w:val="nil"/>
                  </w:tcBorders>
                  <w:shd w:val="clear" w:color="auto" w:fill="auto"/>
                  <w:tcMar>
                    <w:top w:w="120" w:type="dxa"/>
                    <w:left w:w="120" w:type="dxa"/>
                    <w:bottom w:w="120" w:type="dxa"/>
                    <w:right w:w="120" w:type="dxa"/>
                  </w:tcMar>
                  <w:vAlign w:val="center"/>
                </w:tcPr>
                <w:p w14:paraId="7AA77E9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无臭、高蛋白（≥70%）、高生物价</w:t>
                  </w:r>
                </w:p>
              </w:tc>
              <w:tc>
                <w:tcPr>
                  <w:tcW w:w="1453" w:type="pct"/>
                  <w:tcBorders>
                    <w:tl2br w:val="nil"/>
                    <w:tr2bl w:val="nil"/>
                  </w:tcBorders>
                  <w:shd w:val="clear" w:color="auto" w:fill="auto"/>
                  <w:tcMar>
                    <w:top w:w="120" w:type="dxa"/>
                    <w:left w:w="120" w:type="dxa"/>
                    <w:bottom w:w="120" w:type="dxa"/>
                    <w:right w:w="120" w:type="dxa"/>
                  </w:tcMar>
                  <w:vAlign w:val="center"/>
                </w:tcPr>
                <w:p w14:paraId="6C67DD7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易溶于水；具乳化、凝胶、发泡特性；含必需氨基酸</w:t>
                  </w:r>
                </w:p>
              </w:tc>
              <w:tc>
                <w:tcPr>
                  <w:tcW w:w="770" w:type="pct"/>
                  <w:tcBorders>
                    <w:tl2br w:val="nil"/>
                    <w:tr2bl w:val="nil"/>
                  </w:tcBorders>
                  <w:shd w:val="clear" w:color="auto" w:fill="auto"/>
                  <w:tcMar>
                    <w:top w:w="120" w:type="dxa"/>
                    <w:left w:w="120" w:type="dxa"/>
                    <w:bottom w:w="120" w:type="dxa"/>
                    <w:right w:w="120" w:type="dxa"/>
                  </w:tcMar>
                  <w:vAlign w:val="center"/>
                </w:tcPr>
                <w:p w14:paraId="337F98A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乳清分离纯化，动物蛋白</w:t>
                  </w:r>
                </w:p>
              </w:tc>
            </w:tr>
            <w:tr w14:paraId="74DB5279">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7CD8181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益萃质益生菌</w:t>
                  </w:r>
                </w:p>
              </w:tc>
              <w:tc>
                <w:tcPr>
                  <w:tcW w:w="902" w:type="pct"/>
                  <w:tcBorders>
                    <w:tl2br w:val="nil"/>
                    <w:tr2bl w:val="nil"/>
                  </w:tcBorders>
                  <w:shd w:val="clear" w:color="auto" w:fill="auto"/>
                  <w:tcMar>
                    <w:top w:w="120" w:type="dxa"/>
                    <w:left w:w="120" w:type="dxa"/>
                    <w:bottom w:w="120" w:type="dxa"/>
                    <w:right w:w="120" w:type="dxa"/>
                  </w:tcMar>
                  <w:vAlign w:val="center"/>
                </w:tcPr>
                <w:p w14:paraId="1A228AF5">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粉末</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颗粒</w:t>
                  </w:r>
                </w:p>
              </w:tc>
              <w:tc>
                <w:tcPr>
                  <w:tcW w:w="1298" w:type="pct"/>
                  <w:tcBorders>
                    <w:tl2br w:val="nil"/>
                    <w:tr2bl w:val="nil"/>
                  </w:tcBorders>
                  <w:shd w:val="clear" w:color="auto" w:fill="auto"/>
                  <w:tcMar>
                    <w:top w:w="120" w:type="dxa"/>
                    <w:left w:w="120" w:type="dxa"/>
                    <w:bottom w:w="120" w:type="dxa"/>
                    <w:right w:w="120" w:type="dxa"/>
                  </w:tcMar>
                  <w:vAlign w:val="center"/>
                </w:tcPr>
                <w:p w14:paraId="72B155D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活菌特性、耐酸耐胆盐、稳定性</w:t>
                  </w:r>
                </w:p>
              </w:tc>
              <w:tc>
                <w:tcPr>
                  <w:tcW w:w="1453" w:type="pct"/>
                  <w:tcBorders>
                    <w:tl2br w:val="nil"/>
                    <w:tr2bl w:val="nil"/>
                  </w:tcBorders>
                  <w:shd w:val="clear" w:color="auto" w:fill="auto"/>
                  <w:tcMar>
                    <w:top w:w="120" w:type="dxa"/>
                    <w:left w:w="120" w:type="dxa"/>
                    <w:bottom w:w="120" w:type="dxa"/>
                    <w:right w:w="120" w:type="dxa"/>
                  </w:tcMar>
                  <w:vAlign w:val="center"/>
                </w:tcPr>
                <w:p w14:paraId="7B16778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需冷藏</w:t>
                  </w:r>
                  <w:r>
                    <w:rPr>
                      <w:rFonts w:hint="eastAsia" w:ascii="Times New Roman" w:hAnsi="Times New Roman" w:eastAsia="宋体" w:cs="Times New Roman"/>
                      <w:kern w:val="0"/>
                      <w:sz w:val="21"/>
                      <w:szCs w:val="21"/>
                      <w:lang w:val="en-US" w:eastAsia="zh-CN" w:bidi="ar"/>
                    </w:rPr>
                    <w:t>/</w:t>
                  </w:r>
                  <w:r>
                    <w:rPr>
                      <w:rFonts w:hint="default" w:ascii="Times New Roman" w:hAnsi="Times New Roman" w:eastAsia="宋体" w:cs="Times New Roman"/>
                      <w:kern w:val="0"/>
                      <w:sz w:val="21"/>
                      <w:szCs w:val="21"/>
                      <w:lang w:val="en-US" w:eastAsia="zh-CN" w:bidi="ar"/>
                    </w:rPr>
                    <w:t>干燥保存；活菌数≥10^9 CFU/g；耐胃酸与胆盐</w:t>
                  </w:r>
                </w:p>
              </w:tc>
              <w:tc>
                <w:tcPr>
                  <w:tcW w:w="770" w:type="pct"/>
                  <w:tcBorders>
                    <w:tl2br w:val="nil"/>
                    <w:tr2bl w:val="nil"/>
                  </w:tcBorders>
                  <w:shd w:val="clear" w:color="auto" w:fill="auto"/>
                  <w:tcMar>
                    <w:top w:w="120" w:type="dxa"/>
                    <w:left w:w="120" w:type="dxa"/>
                    <w:bottom w:w="120" w:type="dxa"/>
                    <w:right w:w="120" w:type="dxa"/>
                  </w:tcMar>
                  <w:vAlign w:val="center"/>
                </w:tcPr>
                <w:p w14:paraId="11C64BD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益生菌菌株复配，功能原料</w:t>
                  </w:r>
                </w:p>
              </w:tc>
            </w:tr>
            <w:tr w14:paraId="38FD1F67">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35142F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sz w:val="21"/>
                      <w:szCs w:val="21"/>
                    </w:rPr>
                  </w:pPr>
                  <w:r>
                    <w:rPr>
                      <w:rStyle w:val="31"/>
                      <w:rFonts w:hint="default" w:ascii="Times New Roman" w:hAnsi="Times New Roman" w:eastAsia="宋体" w:cs="Times New Roman"/>
                      <w:b w:val="0"/>
                      <w:bCs/>
                      <w:kern w:val="0"/>
                      <w:sz w:val="21"/>
                      <w:szCs w:val="21"/>
                      <w:lang w:val="en-US" w:eastAsia="zh-CN" w:bidi="ar"/>
                    </w:rPr>
                    <w:t>全脂乳粉</w:t>
                  </w:r>
                </w:p>
              </w:tc>
              <w:tc>
                <w:tcPr>
                  <w:tcW w:w="902" w:type="pct"/>
                  <w:tcBorders>
                    <w:tl2br w:val="nil"/>
                    <w:tr2bl w:val="nil"/>
                  </w:tcBorders>
                  <w:shd w:val="clear" w:color="auto" w:fill="auto"/>
                  <w:tcMar>
                    <w:top w:w="120" w:type="dxa"/>
                    <w:left w:w="120" w:type="dxa"/>
                    <w:bottom w:w="120" w:type="dxa"/>
                    <w:right w:w="120" w:type="dxa"/>
                  </w:tcMar>
                  <w:vAlign w:val="center"/>
                </w:tcPr>
                <w:p w14:paraId="7C777F4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淡黄色粉末</w:t>
                  </w:r>
                </w:p>
              </w:tc>
              <w:tc>
                <w:tcPr>
                  <w:tcW w:w="1298" w:type="pct"/>
                  <w:tcBorders>
                    <w:tl2br w:val="nil"/>
                    <w:tr2bl w:val="nil"/>
                  </w:tcBorders>
                  <w:shd w:val="clear" w:color="auto" w:fill="auto"/>
                  <w:tcMar>
                    <w:top w:w="120" w:type="dxa"/>
                    <w:left w:w="120" w:type="dxa"/>
                    <w:bottom w:w="120" w:type="dxa"/>
                    <w:right w:w="120" w:type="dxa"/>
                  </w:tcMar>
                  <w:vAlign w:val="center"/>
                </w:tcPr>
                <w:p w14:paraId="6591C02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无臭、乳香浓郁、高蛋白高脂肪</w:t>
                  </w:r>
                </w:p>
              </w:tc>
              <w:tc>
                <w:tcPr>
                  <w:tcW w:w="1453" w:type="pct"/>
                  <w:tcBorders>
                    <w:tl2br w:val="nil"/>
                    <w:tr2bl w:val="nil"/>
                  </w:tcBorders>
                  <w:shd w:val="clear" w:color="auto" w:fill="auto"/>
                  <w:tcMar>
                    <w:top w:w="120" w:type="dxa"/>
                    <w:left w:w="120" w:type="dxa"/>
                    <w:bottom w:w="120" w:type="dxa"/>
                    <w:right w:w="120" w:type="dxa"/>
                  </w:tcMar>
                  <w:vAlign w:val="center"/>
                </w:tcPr>
                <w:p w14:paraId="52684E6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易溶于热水；含乳脂肪≥26%；蛋白质≥24%；吸湿易结块</w:t>
                  </w:r>
                </w:p>
              </w:tc>
              <w:tc>
                <w:tcPr>
                  <w:tcW w:w="770" w:type="pct"/>
                  <w:tcBorders>
                    <w:tl2br w:val="nil"/>
                    <w:tr2bl w:val="nil"/>
                  </w:tcBorders>
                  <w:shd w:val="clear" w:color="auto" w:fill="auto"/>
                  <w:tcMar>
                    <w:top w:w="120" w:type="dxa"/>
                    <w:left w:w="120" w:type="dxa"/>
                    <w:bottom w:w="120" w:type="dxa"/>
                    <w:right w:w="120" w:type="dxa"/>
                  </w:tcMar>
                  <w:vAlign w:val="center"/>
                </w:tcPr>
                <w:p w14:paraId="3E2A7AB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lang w:val="en-US" w:eastAsia="zh-CN" w:bidi="ar"/>
                    </w:rPr>
                    <w:t>鲜奶喷雾干燥，乳制品原料</w:t>
                  </w:r>
                </w:p>
              </w:tc>
            </w:tr>
            <w:tr w14:paraId="6DA431A5">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5FCE83B7">
                  <w:pPr>
                    <w:keepNext w:val="0"/>
                    <w:keepLines w:val="0"/>
                    <w:widowControl/>
                    <w:suppressLineNumbers w:val="0"/>
                    <w:jc w:val="center"/>
                    <w:rPr>
                      <w:rStyle w:val="31"/>
                      <w:rFonts w:hint="default" w:ascii="Times New Roman" w:hAnsi="Times New Roman" w:eastAsia="宋体" w:cs="Times New Roman"/>
                      <w:b w:val="0"/>
                      <w:bCs/>
                      <w:kern w:val="0"/>
                      <w:sz w:val="21"/>
                      <w:szCs w:val="21"/>
                      <w:lang w:val="en-US" w:eastAsia="zh-CN" w:bidi="ar"/>
                    </w:rPr>
                  </w:pPr>
                  <w:r>
                    <w:rPr>
                      <w:rStyle w:val="31"/>
                      <w:rFonts w:hint="default" w:ascii="Times New Roman" w:hAnsi="Times New Roman" w:eastAsia="宋体" w:cs="Times New Roman"/>
                      <w:b w:val="0"/>
                      <w:bCs/>
                      <w:kern w:val="0"/>
                      <w:sz w:val="21"/>
                      <w:szCs w:val="21"/>
                      <w:lang w:val="en-US" w:eastAsia="zh-CN" w:bidi="ar"/>
                    </w:rPr>
                    <w:t>低聚异麦芽糖</w:t>
                  </w:r>
                </w:p>
              </w:tc>
              <w:tc>
                <w:tcPr>
                  <w:tcW w:w="902" w:type="pct"/>
                  <w:tcBorders>
                    <w:tl2br w:val="nil"/>
                    <w:tr2bl w:val="nil"/>
                  </w:tcBorders>
                  <w:shd w:val="clear" w:color="auto" w:fill="auto"/>
                  <w:tcMar>
                    <w:top w:w="120" w:type="dxa"/>
                    <w:left w:w="120" w:type="dxa"/>
                    <w:bottom w:w="120" w:type="dxa"/>
                    <w:right w:w="120" w:type="dxa"/>
                  </w:tcMar>
                  <w:vAlign w:val="center"/>
                </w:tcPr>
                <w:p w14:paraId="388AB2C1">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无色至淡黄色透明粘稠液体</w:t>
                  </w:r>
                </w:p>
              </w:tc>
              <w:tc>
                <w:tcPr>
                  <w:tcW w:w="1298" w:type="pct"/>
                  <w:tcBorders>
                    <w:tl2br w:val="nil"/>
                    <w:tr2bl w:val="nil"/>
                  </w:tcBorders>
                  <w:shd w:val="clear" w:color="auto" w:fill="auto"/>
                  <w:tcMar>
                    <w:top w:w="120" w:type="dxa"/>
                    <w:left w:w="120" w:type="dxa"/>
                    <w:bottom w:w="120" w:type="dxa"/>
                    <w:right w:w="120" w:type="dxa"/>
                  </w:tcMar>
                  <w:vAlign w:val="center"/>
                </w:tcPr>
                <w:p w14:paraId="0D0D31E4">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甜味柔和（约为蔗糖的 40%~50%）、耐热、耐酸、保湿性好</w:t>
                  </w:r>
                </w:p>
              </w:tc>
              <w:tc>
                <w:tcPr>
                  <w:tcW w:w="1453" w:type="pct"/>
                  <w:tcBorders>
                    <w:tl2br w:val="nil"/>
                    <w:tr2bl w:val="nil"/>
                  </w:tcBorders>
                  <w:shd w:val="clear" w:color="auto" w:fill="auto"/>
                  <w:tcMar>
                    <w:top w:w="120" w:type="dxa"/>
                    <w:left w:w="120" w:type="dxa"/>
                    <w:bottom w:w="120" w:type="dxa"/>
                    <w:right w:w="120" w:type="dxa"/>
                  </w:tcMar>
                  <w:vAlign w:val="center"/>
                </w:tcPr>
                <w:p w14:paraId="7A3FFAC2">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易溶于水，不溶于乙醇；耐热性好（120℃/1h 不分解），耐酸性（pH3~7）</w:t>
                  </w:r>
                </w:p>
              </w:tc>
              <w:tc>
                <w:tcPr>
                  <w:tcW w:w="770" w:type="pct"/>
                  <w:tcBorders>
                    <w:tl2br w:val="nil"/>
                    <w:tr2bl w:val="nil"/>
                  </w:tcBorders>
                  <w:shd w:val="clear" w:color="auto" w:fill="auto"/>
                  <w:tcMar>
                    <w:top w:w="120" w:type="dxa"/>
                    <w:left w:w="120" w:type="dxa"/>
                    <w:bottom w:w="120" w:type="dxa"/>
                    <w:right w:w="120" w:type="dxa"/>
                  </w:tcMar>
                  <w:vAlign w:val="center"/>
                </w:tcPr>
                <w:p w14:paraId="5808F5EE">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由淀粉经酶法制得，益生元，良好的填充和保湿剂</w:t>
                  </w:r>
                </w:p>
              </w:tc>
            </w:tr>
            <w:tr w14:paraId="75C5882D">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3DD7E028">
                  <w:pPr>
                    <w:keepNext w:val="0"/>
                    <w:keepLines w:val="0"/>
                    <w:widowControl/>
                    <w:suppressLineNumbers w:val="0"/>
                    <w:jc w:val="center"/>
                    <w:rPr>
                      <w:rStyle w:val="31"/>
                      <w:rFonts w:hint="default" w:ascii="Times New Roman" w:hAnsi="Times New Roman" w:eastAsia="宋体" w:cs="Times New Roman"/>
                      <w:b w:val="0"/>
                      <w:bCs/>
                      <w:kern w:val="0"/>
                      <w:sz w:val="21"/>
                      <w:szCs w:val="21"/>
                      <w:lang w:val="en-US" w:eastAsia="zh-CN" w:bidi="ar"/>
                    </w:rPr>
                  </w:pPr>
                  <w:r>
                    <w:rPr>
                      <w:rStyle w:val="31"/>
                      <w:rFonts w:hint="default" w:ascii="Times New Roman" w:hAnsi="Times New Roman" w:eastAsia="宋体" w:cs="Times New Roman"/>
                      <w:b w:val="0"/>
                      <w:bCs/>
                      <w:kern w:val="0"/>
                      <w:sz w:val="21"/>
                      <w:szCs w:val="21"/>
                      <w:lang w:val="en-US" w:eastAsia="zh-CN" w:bidi="ar"/>
                    </w:rPr>
                    <w:t>甘油</w:t>
                  </w:r>
                </w:p>
              </w:tc>
              <w:tc>
                <w:tcPr>
                  <w:tcW w:w="902" w:type="pct"/>
                  <w:tcBorders>
                    <w:tl2br w:val="nil"/>
                    <w:tr2bl w:val="nil"/>
                  </w:tcBorders>
                  <w:shd w:val="clear" w:color="auto" w:fill="auto"/>
                  <w:tcMar>
                    <w:top w:w="120" w:type="dxa"/>
                    <w:left w:w="120" w:type="dxa"/>
                    <w:bottom w:w="120" w:type="dxa"/>
                    <w:right w:w="120" w:type="dxa"/>
                  </w:tcMar>
                  <w:vAlign w:val="center"/>
                </w:tcPr>
                <w:p w14:paraId="1A58AB06">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无色、无臭、透明粘稠液体</w:t>
                  </w:r>
                </w:p>
              </w:tc>
              <w:tc>
                <w:tcPr>
                  <w:tcW w:w="1298" w:type="pct"/>
                  <w:tcBorders>
                    <w:tl2br w:val="nil"/>
                    <w:tr2bl w:val="nil"/>
                  </w:tcBorders>
                  <w:shd w:val="clear" w:color="auto" w:fill="auto"/>
                  <w:tcMar>
                    <w:top w:w="120" w:type="dxa"/>
                    <w:left w:w="120" w:type="dxa"/>
                    <w:bottom w:w="120" w:type="dxa"/>
                    <w:right w:w="120" w:type="dxa"/>
                  </w:tcMar>
                  <w:vAlign w:val="center"/>
                </w:tcPr>
                <w:p w14:paraId="1D85B5B3">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味甜、吸湿性极强、保湿、润滑</w:t>
                  </w:r>
                </w:p>
              </w:tc>
              <w:tc>
                <w:tcPr>
                  <w:tcW w:w="1453" w:type="pct"/>
                  <w:tcBorders>
                    <w:tl2br w:val="nil"/>
                    <w:tr2bl w:val="nil"/>
                  </w:tcBorders>
                  <w:shd w:val="clear" w:color="auto" w:fill="auto"/>
                  <w:tcMar>
                    <w:top w:w="120" w:type="dxa"/>
                    <w:left w:w="120" w:type="dxa"/>
                    <w:bottom w:w="120" w:type="dxa"/>
                    <w:right w:w="120" w:type="dxa"/>
                  </w:tcMar>
                  <w:vAlign w:val="center"/>
                </w:tcPr>
                <w:p w14:paraId="2B6A17A4">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与水</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乙醇</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乙醚互溶，不溶于油脂；沸点290℃，凝固点17.8℃；非挥发性</w:t>
                  </w:r>
                </w:p>
              </w:tc>
              <w:tc>
                <w:tcPr>
                  <w:tcW w:w="770" w:type="pct"/>
                  <w:tcBorders>
                    <w:tl2br w:val="nil"/>
                    <w:tr2bl w:val="nil"/>
                  </w:tcBorders>
                  <w:shd w:val="clear" w:color="auto" w:fill="auto"/>
                  <w:tcMar>
                    <w:top w:w="120" w:type="dxa"/>
                    <w:left w:w="120" w:type="dxa"/>
                    <w:bottom w:w="120" w:type="dxa"/>
                    <w:right w:w="120" w:type="dxa"/>
                  </w:tcMar>
                  <w:vAlign w:val="center"/>
                </w:tcPr>
                <w:p w14:paraId="214851DF">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天然油脂水解或发酵产物，化妆品</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食品级保湿剂</w:t>
                  </w:r>
                </w:p>
              </w:tc>
            </w:tr>
            <w:tr w14:paraId="2BBEA4AE">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4D13AF2B">
                  <w:pPr>
                    <w:keepNext w:val="0"/>
                    <w:keepLines w:val="0"/>
                    <w:widowControl/>
                    <w:suppressLineNumbers w:val="0"/>
                    <w:jc w:val="center"/>
                    <w:rPr>
                      <w:rStyle w:val="31"/>
                      <w:rFonts w:hint="default" w:ascii="Times New Roman" w:hAnsi="Times New Roman" w:eastAsia="宋体" w:cs="Times New Roman"/>
                      <w:b w:val="0"/>
                      <w:bCs/>
                      <w:kern w:val="0"/>
                      <w:sz w:val="21"/>
                      <w:szCs w:val="21"/>
                      <w:lang w:val="en-US" w:eastAsia="zh-CN" w:bidi="ar"/>
                    </w:rPr>
                  </w:pPr>
                  <w:r>
                    <w:rPr>
                      <w:rStyle w:val="31"/>
                      <w:rFonts w:hint="default" w:ascii="Times New Roman" w:hAnsi="Times New Roman" w:eastAsia="宋体" w:cs="Times New Roman"/>
                      <w:b w:val="0"/>
                      <w:bCs/>
                      <w:kern w:val="0"/>
                      <w:sz w:val="21"/>
                      <w:szCs w:val="21"/>
                      <w:lang w:val="en-US" w:eastAsia="zh-CN" w:bidi="ar"/>
                    </w:rPr>
                    <w:t>海藻活性肽</w:t>
                  </w:r>
                </w:p>
              </w:tc>
              <w:tc>
                <w:tcPr>
                  <w:tcW w:w="902" w:type="pct"/>
                  <w:tcBorders>
                    <w:tl2br w:val="nil"/>
                    <w:tr2bl w:val="nil"/>
                  </w:tcBorders>
                  <w:shd w:val="clear" w:color="auto" w:fill="auto"/>
                  <w:tcMar>
                    <w:top w:w="120" w:type="dxa"/>
                    <w:left w:w="120" w:type="dxa"/>
                    <w:bottom w:w="120" w:type="dxa"/>
                    <w:right w:w="120" w:type="dxa"/>
                  </w:tcMar>
                  <w:vAlign w:val="center"/>
                </w:tcPr>
                <w:p w14:paraId="22483E40">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淡黄色至棕色粉末或透明液体</w:t>
                  </w:r>
                </w:p>
              </w:tc>
              <w:tc>
                <w:tcPr>
                  <w:tcW w:w="1298" w:type="pct"/>
                  <w:tcBorders>
                    <w:tl2br w:val="nil"/>
                    <w:tr2bl w:val="nil"/>
                  </w:tcBorders>
                  <w:shd w:val="clear" w:color="auto" w:fill="auto"/>
                  <w:tcMar>
                    <w:top w:w="120" w:type="dxa"/>
                    <w:left w:w="120" w:type="dxa"/>
                    <w:bottom w:w="120" w:type="dxa"/>
                    <w:right w:w="120" w:type="dxa"/>
                  </w:tcMar>
                  <w:vAlign w:val="center"/>
                </w:tcPr>
                <w:p w14:paraId="4E3DBFD6">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富含小分子肽（&lt;5kDa）、抗氧化、易吸收、水溶性佳</w:t>
                  </w:r>
                </w:p>
              </w:tc>
              <w:tc>
                <w:tcPr>
                  <w:tcW w:w="1453" w:type="pct"/>
                  <w:tcBorders>
                    <w:tl2br w:val="nil"/>
                    <w:tr2bl w:val="nil"/>
                  </w:tcBorders>
                  <w:shd w:val="clear" w:color="auto" w:fill="auto"/>
                  <w:tcMar>
                    <w:top w:w="120" w:type="dxa"/>
                    <w:left w:w="120" w:type="dxa"/>
                    <w:bottom w:w="120" w:type="dxa"/>
                    <w:right w:w="120" w:type="dxa"/>
                  </w:tcMar>
                  <w:vAlign w:val="center"/>
                </w:tcPr>
                <w:p w14:paraId="79DAA0BF">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易溶于水，水溶液呈弱酸性；耐酸耐热，遇乙醇发生沉淀</w:t>
                  </w:r>
                </w:p>
              </w:tc>
              <w:tc>
                <w:tcPr>
                  <w:tcW w:w="770" w:type="pct"/>
                  <w:tcBorders>
                    <w:tl2br w:val="nil"/>
                    <w:tr2bl w:val="nil"/>
                  </w:tcBorders>
                  <w:shd w:val="clear" w:color="auto" w:fill="auto"/>
                  <w:tcMar>
                    <w:top w:w="120" w:type="dxa"/>
                    <w:left w:w="120" w:type="dxa"/>
                    <w:bottom w:w="120" w:type="dxa"/>
                    <w:right w:w="120" w:type="dxa"/>
                  </w:tcMar>
                  <w:vAlign w:val="center"/>
                </w:tcPr>
                <w:p w14:paraId="2ED75ED5">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海洋生物（海藻</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鱼皮）酶解产物，功能性原料，抗氧化</w:t>
                  </w:r>
                </w:p>
              </w:tc>
            </w:tr>
            <w:tr w14:paraId="1E164140">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39C5F66B">
                  <w:pPr>
                    <w:keepNext w:val="0"/>
                    <w:keepLines w:val="0"/>
                    <w:widowControl/>
                    <w:suppressLineNumbers w:val="0"/>
                    <w:jc w:val="center"/>
                    <w:rPr>
                      <w:rStyle w:val="31"/>
                      <w:rFonts w:hint="default" w:ascii="Times New Roman" w:hAnsi="Times New Roman" w:eastAsia="宋体" w:cs="Times New Roman"/>
                      <w:b w:val="0"/>
                      <w:bCs/>
                      <w:kern w:val="0"/>
                      <w:sz w:val="21"/>
                      <w:szCs w:val="21"/>
                      <w:lang w:val="en-US" w:eastAsia="zh-CN" w:bidi="ar"/>
                    </w:rPr>
                  </w:pPr>
                  <w:r>
                    <w:rPr>
                      <w:rStyle w:val="31"/>
                      <w:rFonts w:hint="default" w:ascii="Times New Roman" w:hAnsi="Times New Roman" w:eastAsia="宋体" w:cs="Times New Roman"/>
                      <w:b w:val="0"/>
                      <w:bCs/>
                      <w:kern w:val="0"/>
                      <w:sz w:val="21"/>
                      <w:szCs w:val="21"/>
                      <w:lang w:val="en-US" w:eastAsia="zh-CN" w:bidi="ar"/>
                    </w:rPr>
                    <w:t>金檀提取液</w:t>
                  </w:r>
                </w:p>
              </w:tc>
              <w:tc>
                <w:tcPr>
                  <w:tcW w:w="902" w:type="pct"/>
                  <w:tcBorders>
                    <w:tl2br w:val="nil"/>
                    <w:tr2bl w:val="nil"/>
                  </w:tcBorders>
                  <w:shd w:val="clear" w:color="auto" w:fill="auto"/>
                  <w:tcMar>
                    <w:top w:w="120" w:type="dxa"/>
                    <w:left w:w="120" w:type="dxa"/>
                    <w:bottom w:w="120" w:type="dxa"/>
                    <w:right w:w="120" w:type="dxa"/>
                  </w:tcMar>
                  <w:vAlign w:val="center"/>
                </w:tcPr>
                <w:p w14:paraId="44E187E9">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黄棕色至红棕色透明液体</w:t>
                  </w:r>
                </w:p>
              </w:tc>
              <w:tc>
                <w:tcPr>
                  <w:tcW w:w="1298" w:type="pct"/>
                  <w:tcBorders>
                    <w:tl2br w:val="nil"/>
                    <w:tr2bl w:val="nil"/>
                  </w:tcBorders>
                  <w:shd w:val="clear" w:color="auto" w:fill="auto"/>
                  <w:tcMar>
                    <w:top w:w="120" w:type="dxa"/>
                    <w:left w:w="120" w:type="dxa"/>
                    <w:bottom w:w="120" w:type="dxa"/>
                    <w:right w:w="120" w:type="dxa"/>
                  </w:tcMar>
                  <w:vAlign w:val="center"/>
                </w:tcPr>
                <w:p w14:paraId="0F79DCD0">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特有檀香味、含天然酚类</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黄酮类、抗氧化</w:t>
                  </w:r>
                </w:p>
              </w:tc>
              <w:tc>
                <w:tcPr>
                  <w:tcW w:w="1453" w:type="pct"/>
                  <w:tcBorders>
                    <w:tl2br w:val="nil"/>
                    <w:tr2bl w:val="nil"/>
                  </w:tcBorders>
                  <w:shd w:val="clear" w:color="auto" w:fill="auto"/>
                  <w:tcMar>
                    <w:top w:w="120" w:type="dxa"/>
                    <w:left w:w="120" w:type="dxa"/>
                    <w:bottom w:w="120" w:type="dxa"/>
                    <w:right w:w="120" w:type="dxa"/>
                  </w:tcMar>
                  <w:vAlign w:val="center"/>
                </w:tcPr>
                <w:p w14:paraId="649082AB">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溶于水及乙醇；呈透明澄清液；易挥发（香味成分）</w:t>
                  </w:r>
                </w:p>
              </w:tc>
              <w:tc>
                <w:tcPr>
                  <w:tcW w:w="770" w:type="pct"/>
                  <w:tcBorders>
                    <w:tl2br w:val="nil"/>
                    <w:tr2bl w:val="nil"/>
                  </w:tcBorders>
                  <w:shd w:val="clear" w:color="auto" w:fill="auto"/>
                  <w:tcMar>
                    <w:top w:w="120" w:type="dxa"/>
                    <w:left w:w="120" w:type="dxa"/>
                    <w:bottom w:w="120" w:type="dxa"/>
                    <w:right w:w="120" w:type="dxa"/>
                  </w:tcMar>
                  <w:vAlign w:val="center"/>
                </w:tcPr>
                <w:p w14:paraId="24AD481F">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植物（金檀木</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相关树种）提取液，香精原料</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天然提取物</w:t>
                  </w:r>
                </w:p>
              </w:tc>
            </w:tr>
            <w:tr w14:paraId="6E010BD2">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jc w:val="center"/>
              </w:trPr>
              <w:tc>
                <w:tcPr>
                  <w:tcW w:w="574" w:type="pct"/>
                  <w:tcBorders>
                    <w:tl2br w:val="nil"/>
                    <w:tr2bl w:val="nil"/>
                  </w:tcBorders>
                  <w:shd w:val="clear" w:color="auto" w:fill="auto"/>
                  <w:tcMar>
                    <w:top w:w="120" w:type="dxa"/>
                    <w:left w:w="120" w:type="dxa"/>
                    <w:bottom w:w="120" w:type="dxa"/>
                    <w:right w:w="120" w:type="dxa"/>
                  </w:tcMar>
                  <w:vAlign w:val="center"/>
                </w:tcPr>
                <w:p w14:paraId="7CE14B8C">
                  <w:pPr>
                    <w:keepNext w:val="0"/>
                    <w:keepLines w:val="0"/>
                    <w:widowControl/>
                    <w:suppressLineNumbers w:val="0"/>
                    <w:jc w:val="center"/>
                    <w:rPr>
                      <w:rStyle w:val="31"/>
                      <w:rFonts w:hint="default" w:ascii="Times New Roman" w:hAnsi="Times New Roman" w:eastAsia="宋体" w:cs="Times New Roman"/>
                      <w:b w:val="0"/>
                      <w:bCs/>
                      <w:kern w:val="0"/>
                      <w:sz w:val="21"/>
                      <w:szCs w:val="21"/>
                      <w:lang w:val="en-US" w:eastAsia="zh-CN" w:bidi="ar"/>
                    </w:rPr>
                  </w:pPr>
                  <w:r>
                    <w:rPr>
                      <w:rStyle w:val="31"/>
                      <w:rFonts w:hint="default" w:ascii="Times New Roman" w:hAnsi="Times New Roman" w:eastAsia="宋体" w:cs="Times New Roman"/>
                      <w:b w:val="0"/>
                      <w:bCs/>
                      <w:kern w:val="0"/>
                      <w:sz w:val="21"/>
                      <w:szCs w:val="21"/>
                      <w:lang w:val="en-US" w:eastAsia="zh-CN" w:bidi="ar"/>
                    </w:rPr>
                    <w:t>卡拉胶胶POLYGEL</w:t>
                  </w:r>
                </w:p>
              </w:tc>
              <w:tc>
                <w:tcPr>
                  <w:tcW w:w="902" w:type="pct"/>
                  <w:tcBorders>
                    <w:tl2br w:val="nil"/>
                    <w:tr2bl w:val="nil"/>
                  </w:tcBorders>
                  <w:shd w:val="clear" w:color="auto" w:fill="auto"/>
                  <w:tcMar>
                    <w:top w:w="120" w:type="dxa"/>
                    <w:left w:w="120" w:type="dxa"/>
                    <w:bottom w:w="120" w:type="dxa"/>
                    <w:right w:w="120" w:type="dxa"/>
                  </w:tcMar>
                  <w:vAlign w:val="center"/>
                </w:tcPr>
                <w:p w14:paraId="42B135BB">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白色至淡黄色粉末或胶状液体</w:t>
                  </w:r>
                </w:p>
              </w:tc>
              <w:tc>
                <w:tcPr>
                  <w:tcW w:w="1298" w:type="pct"/>
                  <w:tcBorders>
                    <w:tl2br w:val="nil"/>
                    <w:tr2bl w:val="nil"/>
                  </w:tcBorders>
                  <w:shd w:val="clear" w:color="auto" w:fill="auto"/>
                  <w:tcMar>
                    <w:top w:w="120" w:type="dxa"/>
                    <w:left w:w="120" w:type="dxa"/>
                    <w:bottom w:w="120" w:type="dxa"/>
                    <w:right w:w="120" w:type="dxa"/>
                  </w:tcMar>
                  <w:vAlign w:val="center"/>
                </w:tcPr>
                <w:p w14:paraId="2D7EAC25">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凝胶性强、成膜性好、增稠、悬浮稳定性高</w:t>
                  </w:r>
                </w:p>
              </w:tc>
              <w:tc>
                <w:tcPr>
                  <w:tcW w:w="1453" w:type="pct"/>
                  <w:tcBorders>
                    <w:tl2br w:val="nil"/>
                    <w:tr2bl w:val="nil"/>
                  </w:tcBorders>
                  <w:shd w:val="clear" w:color="auto" w:fill="auto"/>
                  <w:tcMar>
                    <w:top w:w="120" w:type="dxa"/>
                    <w:left w:w="120" w:type="dxa"/>
                    <w:bottom w:w="120" w:type="dxa"/>
                    <w:right w:w="120" w:type="dxa"/>
                  </w:tcMar>
                  <w:vAlign w:val="center"/>
                </w:tcPr>
                <w:p w14:paraId="0690F898">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冷水易分散，热水溶解成型；凝胶强度高（&gt;500g/cm²）；耐盐性好</w:t>
                  </w:r>
                </w:p>
              </w:tc>
              <w:tc>
                <w:tcPr>
                  <w:tcW w:w="770" w:type="pct"/>
                  <w:tcBorders>
                    <w:tl2br w:val="nil"/>
                    <w:tr2bl w:val="nil"/>
                  </w:tcBorders>
                  <w:shd w:val="clear" w:color="auto" w:fill="auto"/>
                  <w:tcMar>
                    <w:top w:w="120" w:type="dxa"/>
                    <w:left w:w="120" w:type="dxa"/>
                    <w:bottom w:w="120" w:type="dxa"/>
                    <w:right w:w="120" w:type="dxa"/>
                  </w:tcMar>
                  <w:vAlign w:val="center"/>
                </w:tcPr>
                <w:p w14:paraId="4DA0621D">
                  <w:pPr>
                    <w:keepNext w:val="0"/>
                    <w:keepLines w:val="0"/>
                    <w:widowControl/>
                    <w:suppressLineNumbers w:val="0"/>
                    <w:jc w:val="center"/>
                    <w:rPr>
                      <w:rFonts w:hint="default" w:ascii="Times New Roman" w:hAnsi="Times New Roman" w:eastAsia="宋体" w:cs="Times New Roman"/>
                      <w:b w:val="0"/>
                      <w:bCs/>
                      <w:kern w:val="0"/>
                      <w:sz w:val="21"/>
                      <w:szCs w:val="21"/>
                      <w:lang w:val="en-US" w:eastAsia="zh-CN" w:bidi="ar"/>
                    </w:rPr>
                  </w:pPr>
                  <w:r>
                    <w:rPr>
                      <w:rFonts w:hint="default" w:ascii="Times New Roman" w:hAnsi="Times New Roman" w:eastAsia="宋体" w:cs="Times New Roman"/>
                      <w:b w:val="0"/>
                      <w:bCs/>
                      <w:kern w:val="0"/>
                      <w:sz w:val="21"/>
                      <w:szCs w:val="21"/>
                      <w:lang w:val="en-US" w:eastAsia="zh-CN" w:bidi="ar"/>
                    </w:rPr>
                    <w:t>红藻（角叉菜）提取，食品级增稠</w:t>
                  </w:r>
                  <w:r>
                    <w:rPr>
                      <w:rFonts w:hint="eastAsia" w:ascii="Times New Roman" w:hAnsi="Times New Roman" w:eastAsia="宋体" w:cs="Times New Roman"/>
                      <w:b w:val="0"/>
                      <w:bCs/>
                      <w:kern w:val="0"/>
                      <w:sz w:val="21"/>
                      <w:szCs w:val="21"/>
                      <w:lang w:val="en-US" w:eastAsia="zh-CN" w:bidi="ar"/>
                    </w:rPr>
                    <w:t>/</w:t>
                  </w:r>
                  <w:r>
                    <w:rPr>
                      <w:rFonts w:hint="default" w:ascii="Times New Roman" w:hAnsi="Times New Roman" w:eastAsia="宋体" w:cs="Times New Roman"/>
                      <w:b w:val="0"/>
                      <w:bCs/>
                      <w:kern w:val="0"/>
                      <w:sz w:val="21"/>
                      <w:szCs w:val="21"/>
                      <w:lang w:val="en-US" w:eastAsia="zh-CN" w:bidi="ar"/>
                    </w:rPr>
                    <w:t>凝胶剂（POLYGEL为商品名）</w:t>
                  </w:r>
                </w:p>
              </w:tc>
            </w:tr>
          </w:tbl>
          <w:p w14:paraId="6B27D7C0">
            <w:pPr>
              <w:adjustRightInd w:val="0"/>
              <w:snapToGrid w:val="0"/>
              <w:spacing w:before="120" w:beforeLines="50" w:line="360" w:lineRule="auto"/>
              <w:rPr>
                <w:b/>
                <w:bCs/>
              </w:rPr>
            </w:pPr>
            <w:r>
              <w:rPr>
                <w:rFonts w:hint="eastAsia"/>
                <w:b/>
                <w:bCs/>
              </w:rPr>
              <w:t>5、水量平衡</w:t>
            </w:r>
          </w:p>
          <w:p w14:paraId="4B10FA43">
            <w:pPr>
              <w:spacing w:line="360" w:lineRule="auto"/>
              <w:ind w:firstLine="480" w:firstLineChars="200"/>
            </w:pPr>
            <w:r>
              <w:t>项目用水主要是职工生活</w:t>
            </w:r>
            <w:r>
              <w:rPr>
                <w:rFonts w:hint="eastAsia"/>
              </w:rPr>
              <w:t>用水、</w:t>
            </w:r>
            <w:r>
              <w:rPr>
                <w:rFonts w:hint="eastAsia"/>
                <w:lang w:val="en-US" w:eastAsia="zh-CN"/>
              </w:rPr>
              <w:t>纯水制备</w:t>
            </w:r>
            <w:r>
              <w:rPr>
                <w:rFonts w:hint="eastAsia"/>
              </w:rPr>
              <w:t>用水，外排废水为员工生活污水。</w:t>
            </w:r>
          </w:p>
          <w:p w14:paraId="5C6F3EEF">
            <w:pPr>
              <w:adjustRightInd w:val="0"/>
              <w:snapToGrid w:val="0"/>
              <w:spacing w:line="360" w:lineRule="auto"/>
              <w:ind w:firstLine="480" w:firstLineChars="200"/>
            </w:pPr>
            <w:r>
              <w:rPr>
                <w:rFonts w:hint="eastAsia"/>
              </w:rPr>
              <w:t>①生活用水：</w:t>
            </w:r>
            <w:r>
              <w:rPr>
                <w:sz w:val="24"/>
              </w:rPr>
              <w:t>本项目劳动定员</w:t>
            </w:r>
            <w:r>
              <w:rPr>
                <w:rFonts w:hint="eastAsia"/>
                <w:sz w:val="24"/>
                <w:lang w:val="en-US" w:eastAsia="zh-CN"/>
              </w:rPr>
              <w:t>3</w:t>
            </w:r>
            <w:r>
              <w:rPr>
                <w:sz w:val="24"/>
              </w:rPr>
              <w:t>0人，</w:t>
            </w:r>
            <w:r>
              <w:rPr>
                <w:rFonts w:hint="eastAsia"/>
                <w:sz w:val="24"/>
              </w:rPr>
              <w:t>年工作</w:t>
            </w:r>
            <w:r>
              <w:rPr>
                <w:rFonts w:hint="eastAsia"/>
                <w:sz w:val="24"/>
                <w:lang w:val="en-US" w:eastAsia="zh-CN"/>
              </w:rPr>
              <w:t>30</w:t>
            </w:r>
            <w:r>
              <w:rPr>
                <w:sz w:val="24"/>
              </w:rPr>
              <w:t>0</w:t>
            </w:r>
            <w:r>
              <w:rPr>
                <w:rFonts w:hint="eastAsia"/>
                <w:sz w:val="24"/>
              </w:rPr>
              <w:t>天，厂区</w:t>
            </w:r>
            <w:r>
              <w:rPr>
                <w:rFonts w:hint="eastAsia"/>
                <w:sz w:val="24"/>
                <w:lang w:val="en-US" w:eastAsia="zh-CN"/>
              </w:rPr>
              <w:t>不</w:t>
            </w:r>
            <w:r>
              <w:rPr>
                <w:sz w:val="24"/>
              </w:rPr>
              <w:t>提供食宿。</w:t>
            </w:r>
            <w:r>
              <w:rPr>
                <w:rFonts w:hint="eastAsia"/>
                <w:sz w:val="24"/>
              </w:rPr>
              <w:t>根据《安徽省行业用水定额》（DB34T679-2025），员工生活用水按15m</w:t>
            </w:r>
            <w:r>
              <w:rPr>
                <w:rFonts w:hint="eastAsia"/>
                <w:sz w:val="24"/>
                <w:vertAlign w:val="superscript"/>
              </w:rPr>
              <w:t>3</w:t>
            </w:r>
            <w:r>
              <w:rPr>
                <w:rFonts w:hint="eastAsia"/>
                <w:sz w:val="24"/>
              </w:rPr>
              <w:t>/（人*a）计算</w:t>
            </w:r>
            <w:r>
              <w:rPr>
                <w:sz w:val="24"/>
              </w:rPr>
              <w:t>，生活用水量为</w:t>
            </w:r>
            <w:r>
              <w:rPr>
                <w:rFonts w:hint="eastAsia"/>
                <w:sz w:val="24"/>
                <w:lang w:val="en-US" w:eastAsia="zh-CN"/>
              </w:rPr>
              <w:t>1.5</w:t>
            </w:r>
            <w:r>
              <w:rPr>
                <w:sz w:val="24"/>
              </w:rPr>
              <w:t>t/d</w:t>
            </w:r>
            <w:r>
              <w:rPr>
                <w:rFonts w:hint="eastAsia"/>
                <w:sz w:val="24"/>
              </w:rPr>
              <w:t>（</w:t>
            </w:r>
            <w:r>
              <w:rPr>
                <w:rFonts w:hint="eastAsia"/>
                <w:sz w:val="24"/>
                <w:lang w:val="en-US" w:eastAsia="zh-CN"/>
              </w:rPr>
              <w:t>450</w:t>
            </w:r>
            <w:r>
              <w:rPr>
                <w:rFonts w:hint="eastAsia"/>
                <w:sz w:val="24"/>
              </w:rPr>
              <w:t>t/a），</w:t>
            </w:r>
            <w:r>
              <w:rPr>
                <w:sz w:val="24"/>
              </w:rPr>
              <w:t>污水产生量按照用水量80%计算，则</w:t>
            </w:r>
            <w:r>
              <w:rPr>
                <w:rFonts w:hint="eastAsia"/>
                <w:sz w:val="24"/>
              </w:rPr>
              <w:t>废水产生量为</w:t>
            </w:r>
            <w:r>
              <w:rPr>
                <w:rFonts w:hint="eastAsia"/>
                <w:sz w:val="24"/>
                <w:lang w:val="en-US" w:eastAsia="zh-CN"/>
              </w:rPr>
              <w:t>1.2</w:t>
            </w:r>
            <w:r>
              <w:rPr>
                <w:sz w:val="24"/>
              </w:rPr>
              <w:t>t/d</w:t>
            </w:r>
            <w:r>
              <w:rPr>
                <w:rFonts w:hint="eastAsia"/>
                <w:sz w:val="24"/>
              </w:rPr>
              <w:t>（</w:t>
            </w:r>
            <w:r>
              <w:rPr>
                <w:rFonts w:hint="eastAsia"/>
                <w:sz w:val="24"/>
                <w:lang w:val="en-US" w:eastAsia="zh-CN"/>
              </w:rPr>
              <w:t>360</w:t>
            </w:r>
            <w:r>
              <w:rPr>
                <w:sz w:val="24"/>
              </w:rPr>
              <w:t>t/a</w:t>
            </w:r>
            <w:r>
              <w:rPr>
                <w:rFonts w:hint="eastAsia"/>
                <w:sz w:val="24"/>
              </w:rPr>
              <w:t>）</w:t>
            </w:r>
            <w:r>
              <w:t>。</w:t>
            </w:r>
          </w:p>
          <w:p w14:paraId="25FD2486">
            <w:pPr>
              <w:spacing w:line="360" w:lineRule="auto"/>
              <w:ind w:firstLine="480" w:firstLineChars="200"/>
              <w:rPr>
                <w:rFonts w:hint="default" w:eastAsia="宋体"/>
                <w:lang w:val="en-US" w:eastAsia="zh-CN"/>
              </w:rPr>
            </w:pPr>
            <w:r>
              <w:rPr>
                <w:rFonts w:hint="eastAsia"/>
              </w:rPr>
              <w:t>②</w:t>
            </w:r>
            <w:r>
              <w:rPr>
                <w:rFonts w:hint="eastAsia"/>
                <w:lang w:val="en-US" w:eastAsia="zh-CN"/>
              </w:rPr>
              <w:t>纯水制备</w:t>
            </w:r>
            <w:r>
              <w:rPr>
                <w:rFonts w:hint="eastAsia"/>
              </w:rPr>
              <w:t>用水：</w:t>
            </w:r>
            <w:r>
              <w:rPr>
                <w:sz w:val="24"/>
                <w:szCs w:val="28"/>
              </w:rPr>
              <w:t>纯水制备机制备的纯水</w:t>
            </w:r>
            <w:r>
              <w:rPr>
                <w:rFonts w:hint="eastAsia"/>
                <w:sz w:val="24"/>
                <w:szCs w:val="28"/>
              </w:rPr>
              <w:t>（规模：</w:t>
            </w:r>
            <w:r>
              <w:rPr>
                <w:rFonts w:hint="eastAsia"/>
                <w:sz w:val="24"/>
                <w:szCs w:val="28"/>
                <w:lang w:val="en-US" w:eastAsia="zh-CN"/>
              </w:rPr>
              <w:t>2</w:t>
            </w:r>
            <w:r>
              <w:rPr>
                <w:rFonts w:hint="eastAsia"/>
                <w:sz w:val="24"/>
                <w:szCs w:val="28"/>
              </w:rPr>
              <w:t>t/h；工艺：预处理-反渗透-离子交换-后处理）</w:t>
            </w:r>
            <w:r>
              <w:rPr>
                <w:sz w:val="24"/>
                <w:szCs w:val="28"/>
              </w:rPr>
              <w:t>用于</w:t>
            </w:r>
            <w:r>
              <w:rPr>
                <w:rFonts w:hint="eastAsia"/>
                <w:sz w:val="24"/>
                <w:szCs w:val="28"/>
                <w:lang w:val="en-US" w:eastAsia="zh-CN"/>
              </w:rPr>
              <w:t>真空乳化+过滤用水，所需纯水水量约为1.2t/d（360t/a），</w:t>
            </w:r>
            <w:r>
              <w:rPr>
                <w:sz w:val="24"/>
                <w:szCs w:val="28"/>
              </w:rPr>
              <w:t>纯水制备率为7</w:t>
            </w:r>
            <w:r>
              <w:rPr>
                <w:rFonts w:hint="eastAsia"/>
                <w:sz w:val="24"/>
                <w:szCs w:val="28"/>
              </w:rPr>
              <w:t>0</w:t>
            </w:r>
            <w:r>
              <w:rPr>
                <w:sz w:val="24"/>
                <w:szCs w:val="28"/>
              </w:rPr>
              <w:t>%，</w:t>
            </w:r>
            <w:r>
              <w:rPr>
                <w:rFonts w:hint="eastAsia"/>
                <w:sz w:val="24"/>
                <w:szCs w:val="28"/>
                <w:lang w:val="en-US" w:eastAsia="zh-CN"/>
              </w:rPr>
              <w:t>则项目所需新鲜水水量约为1.714t/d（514.29t/a），浓水水量约为0.514t/d（154.287t/a），所产生的浓水用于园区绿化，不外排。</w:t>
            </w:r>
          </w:p>
          <w:p w14:paraId="3626261A">
            <w:pPr>
              <w:spacing w:line="360" w:lineRule="auto"/>
              <w:jc w:val="center"/>
              <w:rPr>
                <w:rFonts w:hint="eastAsia" w:eastAsia="宋体"/>
                <w:lang w:eastAsia="zh-CN"/>
              </w:rPr>
            </w:pPr>
            <w:r>
              <w:rPr>
                <w:rFonts w:hint="eastAsia" w:eastAsia="宋体"/>
                <w:lang w:eastAsia="zh-CN"/>
              </w:rPr>
              <w:drawing>
                <wp:inline distT="0" distB="0" distL="114300" distR="114300">
                  <wp:extent cx="5039995" cy="1971040"/>
                  <wp:effectExtent l="0" t="0" r="0" b="0"/>
                  <wp:docPr id="28" name="ECB019B1-382A-4266-B25C-5B523AA43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B019B1-382A-4266-B25C-5B523AA43C14-1"/>
                          <pic:cNvPicPr>
                            <a:picLocks noChangeAspect="1"/>
                          </pic:cNvPicPr>
                        </pic:nvPicPr>
                        <pic:blipFill>
                          <a:blip r:embed="rId11"/>
                          <a:stretch>
                            <a:fillRect/>
                          </a:stretch>
                        </pic:blipFill>
                        <pic:spPr>
                          <a:xfrm>
                            <a:off x="0" y="0"/>
                            <a:ext cx="5039995" cy="1971040"/>
                          </a:xfrm>
                          <a:prstGeom prst="rect">
                            <a:avLst/>
                          </a:prstGeom>
                        </pic:spPr>
                      </pic:pic>
                    </a:graphicData>
                  </a:graphic>
                </wp:inline>
              </w:drawing>
            </w:r>
          </w:p>
          <w:p w14:paraId="1D24906D">
            <w:pPr>
              <w:pStyle w:val="2"/>
              <w:numPr>
                <w:ilvl w:val="2"/>
                <w:numId w:val="0"/>
              </w:numPr>
              <w:adjustRightInd w:val="0"/>
              <w:snapToGrid w:val="0"/>
              <w:spacing w:before="0" w:after="0"/>
              <w:jc w:val="center"/>
              <w:rPr>
                <w:rFonts w:hint="eastAsia" w:eastAsia="宋体"/>
                <w:kern w:val="0"/>
                <w:lang w:val="en-US" w:eastAsia="zh-CN"/>
              </w:rPr>
            </w:pPr>
            <w:r>
              <w:rPr>
                <w:rFonts w:hint="eastAsia"/>
                <w:sz w:val="24"/>
                <w:szCs w:val="24"/>
              </w:rPr>
              <w:t>图2.1  项目水平衡图  t/</w:t>
            </w:r>
            <w:r>
              <w:rPr>
                <w:rFonts w:hint="eastAsia"/>
                <w:sz w:val="24"/>
                <w:szCs w:val="24"/>
                <w:lang w:val="en-US" w:eastAsia="zh-CN"/>
              </w:rPr>
              <w:t>d</w:t>
            </w:r>
          </w:p>
          <w:p w14:paraId="7552C3E1">
            <w:pPr>
              <w:adjustRightInd w:val="0"/>
              <w:snapToGrid w:val="0"/>
              <w:spacing w:before="120" w:beforeLines="50" w:line="360" w:lineRule="auto"/>
              <w:rPr>
                <w:b/>
                <w:kern w:val="0"/>
              </w:rPr>
            </w:pPr>
            <w:r>
              <w:rPr>
                <w:rFonts w:hint="eastAsia"/>
                <w:b/>
                <w:kern w:val="0"/>
              </w:rPr>
              <w:t>6、</w:t>
            </w:r>
            <w:r>
              <w:rPr>
                <w:b/>
                <w:kern w:val="0"/>
              </w:rPr>
              <w:t>职工人数及工作制度</w:t>
            </w:r>
          </w:p>
          <w:p w14:paraId="0D3A10B9">
            <w:pPr>
              <w:spacing w:line="360" w:lineRule="auto"/>
              <w:ind w:firstLine="480" w:firstLineChars="200"/>
              <w:rPr>
                <w:b/>
                <w:bCs/>
              </w:rPr>
            </w:pPr>
            <w:r>
              <w:t>项目劳动定员</w:t>
            </w:r>
            <w:r>
              <w:rPr>
                <w:rFonts w:hint="eastAsia"/>
                <w:lang w:val="en-US" w:eastAsia="zh-CN"/>
              </w:rPr>
              <w:t>30</w:t>
            </w:r>
            <w:r>
              <w:t>人，</w:t>
            </w:r>
            <w:r>
              <w:rPr>
                <w:bCs/>
                <w:kern w:val="0"/>
              </w:rPr>
              <w:t>年工作日3</w:t>
            </w:r>
            <w:r>
              <w:rPr>
                <w:rFonts w:hint="eastAsia"/>
                <w:bCs/>
                <w:kern w:val="0"/>
              </w:rPr>
              <w:t>00</w:t>
            </w:r>
            <w:r>
              <w:rPr>
                <w:bCs/>
                <w:kern w:val="0"/>
              </w:rPr>
              <w:t>天，</w:t>
            </w:r>
            <w:r>
              <w:rPr>
                <w:rFonts w:hint="eastAsia"/>
                <w:bCs/>
                <w:kern w:val="0"/>
                <w:lang w:val="en-US" w:eastAsia="zh-CN"/>
              </w:rPr>
              <w:t>1</w:t>
            </w:r>
            <w:r>
              <w:rPr>
                <w:bCs/>
                <w:kern w:val="0"/>
              </w:rPr>
              <w:t>班制，每班</w:t>
            </w:r>
            <w:r>
              <w:rPr>
                <w:rFonts w:hint="eastAsia"/>
                <w:bCs/>
                <w:kern w:val="0"/>
              </w:rPr>
              <w:t>8</w:t>
            </w:r>
            <w:r>
              <w:rPr>
                <w:bCs/>
                <w:kern w:val="0"/>
              </w:rPr>
              <w:t>小时</w:t>
            </w:r>
            <w:r>
              <w:rPr>
                <w:rFonts w:hint="eastAsia"/>
                <w:bCs/>
                <w:kern w:val="0"/>
              </w:rPr>
              <w:t>，</w:t>
            </w:r>
            <w:r>
              <w:rPr>
                <w:bCs/>
                <w:kern w:val="0"/>
              </w:rPr>
              <w:t>厂区</w:t>
            </w:r>
            <w:r>
              <w:rPr>
                <w:rFonts w:hint="eastAsia"/>
                <w:bCs/>
                <w:kern w:val="0"/>
              </w:rPr>
              <w:t>不</w:t>
            </w:r>
            <w:r>
              <w:rPr>
                <w:bCs/>
                <w:kern w:val="0"/>
              </w:rPr>
              <w:t>设置食</w:t>
            </w:r>
            <w:r>
              <w:t>宿</w:t>
            </w:r>
            <w:r>
              <w:rPr>
                <w:bCs/>
                <w:kern w:val="0"/>
              </w:rPr>
              <w:t>。</w:t>
            </w:r>
          </w:p>
          <w:p w14:paraId="7B57FEAA">
            <w:pPr>
              <w:spacing w:line="360" w:lineRule="auto"/>
              <w:rPr>
                <w:b/>
                <w:bCs/>
              </w:rPr>
            </w:pPr>
            <w:r>
              <w:rPr>
                <w:rFonts w:hint="eastAsia"/>
                <w:b/>
                <w:bCs/>
              </w:rPr>
              <w:t>7、</w:t>
            </w:r>
            <w:r>
              <w:rPr>
                <w:b/>
                <w:bCs/>
              </w:rPr>
              <w:t>平面布局</w:t>
            </w:r>
          </w:p>
          <w:p w14:paraId="499BBFC8">
            <w:pPr>
              <w:pStyle w:val="72"/>
              <w:spacing w:before="0" w:beforeAutospacing="0" w:after="0" w:afterAutospacing="0" w:line="360" w:lineRule="auto"/>
              <w:ind w:firstLine="480" w:firstLineChars="200"/>
            </w:pPr>
            <w:r>
              <w:rPr>
                <w:rFonts w:ascii="Times New Roman" w:hAnsi="Times New Roman" w:cs="Times New Roman"/>
              </w:rPr>
              <w:t>项目位于</w:t>
            </w:r>
            <w:r>
              <w:rPr>
                <w:rFonts w:hint="eastAsia"/>
                <w:lang w:eastAsia="zh-CN"/>
              </w:rPr>
              <w:t>安徽省宿州市高新技术产业开发区双创产业园4#楼</w:t>
            </w:r>
            <w:r>
              <w:rPr>
                <w:rFonts w:ascii="Times New Roman" w:hAnsi="Times New Roman" w:cs="Times New Roman"/>
              </w:rPr>
              <w:t>，根据项目功能要求和场地地形，</w:t>
            </w:r>
            <w:r>
              <w:t>本项目</w:t>
            </w:r>
            <w:r>
              <w:rPr>
                <w:rFonts w:hint="eastAsia"/>
              </w:rPr>
              <w:t>主出入口位于生产车间</w:t>
            </w:r>
            <w:r>
              <w:rPr>
                <w:rFonts w:hint="eastAsia"/>
                <w:lang w:val="en-US" w:eastAsia="zh-CN"/>
              </w:rPr>
              <w:t>北</w:t>
            </w:r>
            <w:r>
              <w:rPr>
                <w:rFonts w:hint="eastAsia"/>
              </w:rPr>
              <w:t>侧，</w:t>
            </w:r>
            <w:r>
              <w:rPr>
                <w:rFonts w:hint="eastAsia"/>
                <w:lang w:val="en-US" w:eastAsia="zh-CN"/>
              </w:rPr>
              <w:t>办公区位于3F生产车间内西侧；一般固废暂存区位于1F生产车间西南侧</w:t>
            </w:r>
            <w:r>
              <w:rPr>
                <w:rFonts w:hint="eastAsia"/>
              </w:rPr>
              <w:t>。</w:t>
            </w:r>
          </w:p>
          <w:p w14:paraId="5C9E38E8">
            <w:pPr>
              <w:spacing w:line="360" w:lineRule="auto"/>
              <w:ind w:firstLine="480"/>
            </w:pPr>
            <w:r>
              <w:t>高噪声设备安置在生产区，并采用隔声、减振、降噪等措施，减少对</w:t>
            </w:r>
            <w:r>
              <w:rPr>
                <w:rFonts w:hint="eastAsia"/>
              </w:rPr>
              <w:t>外环境</w:t>
            </w:r>
            <w:r>
              <w:t>的影响。</w:t>
            </w:r>
            <w:r>
              <w:rPr>
                <w:rFonts w:hint="eastAsia"/>
              </w:rPr>
              <w:t>综合分析车间内按各生产流程布置各生产设备和生产材料，以缩短运输路线，提高生产效率。厂内外运输配合协调，避免了往返运输和作业线交叉，避免人流货流交叉。</w:t>
            </w:r>
          </w:p>
          <w:p w14:paraId="2806A433">
            <w:pPr>
              <w:pStyle w:val="72"/>
              <w:spacing w:before="0" w:beforeAutospacing="0" w:after="0" w:afterAutospacing="0" w:line="360" w:lineRule="auto"/>
              <w:ind w:firstLine="480" w:firstLineChars="200"/>
              <w:rPr>
                <w:rFonts w:ascii="Times New Roman" w:hAnsi="Times New Roman" w:cs="Times New Roman"/>
                <w:b/>
              </w:rPr>
            </w:pPr>
            <w:r>
              <w:rPr>
                <w:rFonts w:hint="eastAsia" w:ascii="Times New Roman" w:hAnsi="Times New Roman"/>
              </w:rPr>
              <w:t>项目布置总体来说，结构明朗，流程顺畅，布局紧凑，符合防火、安全卫生、环保、交通、运输、生产工艺流程等需求。总体上做到按功能分区，系统分明，布置整齐。</w:t>
            </w:r>
            <w:r>
              <w:rPr>
                <w:rFonts w:ascii="Times New Roman" w:hAnsi="Times New Roman" w:cs="Times New Roman"/>
              </w:rPr>
              <w:t>项目平面布置满足生产人流、物流分离、互不交叉干扰的原则（具体见附图）</w:t>
            </w:r>
            <w:r>
              <w:rPr>
                <w:rFonts w:hint="eastAsia" w:ascii="Times New Roman" w:hAnsi="Times New Roman" w:cs="Times New Roman"/>
              </w:rPr>
              <w:t>。</w:t>
            </w:r>
          </w:p>
          <w:p w14:paraId="2AC94E95">
            <w:pPr>
              <w:adjustRightInd w:val="0"/>
              <w:snapToGrid w:val="0"/>
              <w:ind w:firstLine="480" w:firstLineChars="200"/>
              <w:rPr>
                <w:rFonts w:ascii="宋体" w:hAnsi="宋体" w:cs="宋体"/>
                <w:bCs/>
                <w:szCs w:val="21"/>
              </w:rPr>
            </w:pPr>
            <w:r>
              <w:t>综上所述，本项目厂区平面布局较合理</w:t>
            </w:r>
            <w:r>
              <w:rPr>
                <w:rFonts w:hint="eastAsia"/>
              </w:rPr>
              <w:t>。</w:t>
            </w:r>
          </w:p>
        </w:tc>
      </w:tr>
      <w:tr w14:paraId="0E707E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8" w:hRule="atLeast"/>
          <w:jc w:val="center"/>
        </w:trPr>
        <w:tc>
          <w:tcPr>
            <w:tcW w:w="823" w:type="dxa"/>
            <w:vAlign w:val="center"/>
          </w:tcPr>
          <w:p w14:paraId="0B2DE434">
            <w:pPr>
              <w:pStyle w:val="25"/>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工艺流程和产排污环节</w:t>
            </w:r>
          </w:p>
        </w:tc>
        <w:tc>
          <w:tcPr>
            <w:tcW w:w="8161" w:type="dxa"/>
          </w:tcPr>
          <w:p w14:paraId="0BF527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sz w:val="24"/>
              </w:rPr>
              <w:t>本项目主要生产</w:t>
            </w:r>
            <w:r>
              <w:rPr>
                <w:rFonts w:hint="eastAsia"/>
                <w:sz w:val="24"/>
              </w:rPr>
              <w:t>益生菌固体饮料、蛋白棒、凝胶，</w:t>
            </w:r>
            <w:r>
              <w:rPr>
                <w:sz w:val="24"/>
              </w:rPr>
              <w:t>工艺流程及产污节点图如下：</w:t>
            </w:r>
          </w:p>
          <w:p w14:paraId="1C2E8AA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ascii="Times New Roman" w:hAnsi="Times New Roman" w:eastAsia="宋体"/>
                <w:sz w:val="24"/>
                <w:lang w:val="en-US" w:eastAsia="zh-CN"/>
              </w:rPr>
              <w:t>一、</w:t>
            </w:r>
            <w:r>
              <w:rPr>
                <w:rFonts w:hint="eastAsia"/>
                <w:sz w:val="24"/>
              </w:rPr>
              <w:t>益生菌固体饮料</w:t>
            </w:r>
            <w:r>
              <w:rPr>
                <w:rFonts w:ascii="Times New Roman" w:hAnsi="Times New Roman" w:eastAsia="宋体"/>
                <w:sz w:val="24"/>
              </w:rPr>
              <w:t>工艺流程及产污节点图如下</w:t>
            </w:r>
            <w:r>
              <w:rPr>
                <w:rFonts w:hint="eastAsia" w:ascii="Times New Roman" w:hAnsi="Times New Roman" w:eastAsia="宋体" w:cs="Times New Roman"/>
                <w:kern w:val="2"/>
                <w:sz w:val="24"/>
                <w:szCs w:val="24"/>
                <w:lang w:val="en-US" w:eastAsia="zh-CN" w:bidi="ar-SA"/>
              </w:rPr>
              <w:t>：</w:t>
            </w:r>
          </w:p>
          <w:p w14:paraId="20F53547">
            <w:pPr>
              <w:pStyle w:val="8"/>
              <w:spacing w:line="360" w:lineRule="auto"/>
              <w:ind w:firstLine="0" w:firstLineChars="0"/>
              <w:jc w:val="center"/>
              <w:rPr>
                <w:rFonts w:hint="eastAsia" w:eastAsia="宋体"/>
                <w:lang w:eastAsia="zh-CN"/>
              </w:rPr>
            </w:pPr>
            <w:r>
              <w:rPr>
                <w:rFonts w:hint="eastAsia"/>
              </w:rPr>
              <w:drawing>
                <wp:inline distT="0" distB="0" distL="114300" distR="114300">
                  <wp:extent cx="2687320" cy="6988810"/>
                  <wp:effectExtent l="0" t="0" r="0" b="0"/>
                  <wp:docPr id="31" name="ECB019B1-382A-4266-B25C-5B523AA43C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B019B1-382A-4266-B25C-5B523AA43C14-2"/>
                          <pic:cNvPicPr>
                            <a:picLocks noChangeAspect="1"/>
                          </pic:cNvPicPr>
                        </pic:nvPicPr>
                        <pic:blipFill>
                          <a:blip r:embed="rId12"/>
                          <a:stretch>
                            <a:fillRect/>
                          </a:stretch>
                        </pic:blipFill>
                        <pic:spPr>
                          <a:xfrm>
                            <a:off x="0" y="0"/>
                            <a:ext cx="2687320" cy="6988810"/>
                          </a:xfrm>
                          <a:prstGeom prst="rect">
                            <a:avLst/>
                          </a:prstGeom>
                        </pic:spPr>
                      </pic:pic>
                    </a:graphicData>
                  </a:graphic>
                </wp:inline>
              </w:drawing>
            </w:r>
          </w:p>
          <w:p w14:paraId="1F3FAC72">
            <w:pPr>
              <w:pStyle w:val="8"/>
              <w:ind w:firstLine="0" w:firstLineChars="0"/>
              <w:jc w:val="center"/>
              <w:rPr>
                <w:b/>
                <w:bCs/>
                <w:sz w:val="24"/>
              </w:rPr>
            </w:pPr>
            <w:r>
              <w:rPr>
                <w:b/>
                <w:bCs/>
                <w:sz w:val="24"/>
              </w:rPr>
              <w:t>图</w:t>
            </w:r>
            <w:r>
              <w:rPr>
                <w:rFonts w:hint="eastAsia"/>
                <w:b/>
                <w:bCs/>
                <w:sz w:val="24"/>
              </w:rPr>
              <w:t>2.2</w:t>
            </w:r>
            <w:r>
              <w:rPr>
                <w:b/>
                <w:bCs/>
                <w:sz w:val="24"/>
              </w:rPr>
              <w:t xml:space="preserve"> </w:t>
            </w:r>
            <w:r>
              <w:rPr>
                <w:rFonts w:hint="eastAsia"/>
                <w:b/>
                <w:bCs/>
                <w:sz w:val="24"/>
              </w:rPr>
              <w:t xml:space="preserve"> 益生菌固体饮料</w:t>
            </w:r>
            <w:r>
              <w:rPr>
                <w:b/>
                <w:bCs/>
                <w:sz w:val="24"/>
              </w:rPr>
              <w:t>生产工艺流程及产污节点图</w:t>
            </w:r>
          </w:p>
          <w:p w14:paraId="7A5F9BEE">
            <w:pPr>
              <w:pStyle w:val="8"/>
              <w:spacing w:line="360" w:lineRule="auto"/>
              <w:ind w:firstLine="0" w:firstLineChars="0"/>
              <w:jc w:val="center"/>
              <w:rPr>
                <w:b/>
                <w:bCs/>
                <w:sz w:val="24"/>
              </w:rPr>
            </w:pPr>
            <w:r>
              <w:rPr>
                <w:rFonts w:hint="eastAsia"/>
                <w:b/>
                <w:bCs/>
                <w:sz w:val="24"/>
              </w:rPr>
              <w:t>（S：固废 G：废气）</w:t>
            </w:r>
          </w:p>
          <w:p w14:paraId="7A5FA97C">
            <w:pPr>
              <w:adjustRightInd w:val="0"/>
              <w:snapToGrid w:val="0"/>
              <w:spacing w:line="360" w:lineRule="auto"/>
              <w:ind w:firstLine="480" w:firstLineChars="200"/>
            </w:pPr>
            <w:r>
              <w:rPr>
                <w:rFonts w:hint="eastAsia"/>
              </w:rPr>
              <w:t>益生菌固体饮料生产</w:t>
            </w:r>
            <w:r>
              <w:t>工艺流程简述：</w:t>
            </w:r>
          </w:p>
          <w:p w14:paraId="78DD3903">
            <w:pPr>
              <w:adjustRightInd w:val="0"/>
              <w:snapToGrid w:val="0"/>
              <w:spacing w:line="360" w:lineRule="auto"/>
              <w:ind w:firstLine="480" w:firstLineChars="200"/>
            </w:pPr>
            <w:r>
              <w:rPr>
                <w:rFonts w:hint="eastAsia"/>
              </w:rPr>
              <w:t>1、</w:t>
            </w:r>
            <w:r>
              <w:rPr>
                <w:rFonts w:hint="eastAsia"/>
                <w:lang w:val="en-US" w:eastAsia="zh-CN"/>
              </w:rPr>
              <w:t>检验</w:t>
            </w:r>
            <w:r>
              <w:t>：</w:t>
            </w:r>
            <w:r>
              <w:rPr>
                <w:rFonts w:hint="eastAsia"/>
              </w:rPr>
              <w:t>原材料</w:t>
            </w:r>
            <w:r>
              <w:rPr>
                <w:rFonts w:hint="eastAsia"/>
                <w:lang w:val="en-US" w:eastAsia="zh-CN"/>
              </w:rPr>
              <w:t>进入生产线前先进行检验，检验其是否合格，此过程会产生不合格原料（S1-1）</w:t>
            </w:r>
            <w:r>
              <w:rPr>
                <w:rFonts w:hint="eastAsia"/>
              </w:rPr>
              <w:t>。</w:t>
            </w:r>
          </w:p>
          <w:p w14:paraId="5890A879">
            <w:pPr>
              <w:adjustRightInd w:val="0"/>
              <w:snapToGrid w:val="0"/>
              <w:spacing w:line="360" w:lineRule="auto"/>
              <w:ind w:firstLine="480" w:firstLineChars="200"/>
              <w:jc w:val="both"/>
              <w:rPr>
                <w:color w:val="auto"/>
              </w:rPr>
            </w:pPr>
            <w:r>
              <w:rPr>
                <w:color w:val="auto"/>
              </w:rPr>
              <w:t>2、</w:t>
            </w:r>
            <w:r>
              <w:rPr>
                <w:rFonts w:hint="eastAsia"/>
                <w:color w:val="auto"/>
                <w:lang w:val="en-US" w:eastAsia="zh-CN"/>
              </w:rPr>
              <w:t>脱包</w:t>
            </w:r>
            <w:r>
              <w:rPr>
                <w:color w:val="auto"/>
              </w:rPr>
              <w:t>：</w:t>
            </w:r>
            <w:r>
              <w:rPr>
                <w:rFonts w:hint="eastAsia"/>
                <w:color w:val="auto"/>
                <w:lang w:val="en-US" w:eastAsia="zh-CN"/>
              </w:rPr>
              <w:t>检验合格后的原料进行脱包，此过程会产生废包装（S1-2）、脱包粉尘（G1-1）</w:t>
            </w:r>
            <w:r>
              <w:rPr>
                <w:rFonts w:hint="eastAsia"/>
                <w:color w:val="auto"/>
              </w:rPr>
              <w:t>。</w:t>
            </w:r>
          </w:p>
          <w:p w14:paraId="646DBA0D">
            <w:pPr>
              <w:adjustRightInd w:val="0"/>
              <w:snapToGrid w:val="0"/>
              <w:spacing w:line="360" w:lineRule="auto"/>
              <w:ind w:firstLine="480" w:firstLineChars="200"/>
              <w:rPr>
                <w:color w:val="auto"/>
              </w:rPr>
            </w:pPr>
            <w:r>
              <w:rPr>
                <w:rFonts w:hint="eastAsia"/>
                <w:color w:val="auto"/>
              </w:rPr>
              <w:t>3、</w:t>
            </w:r>
            <w:r>
              <w:rPr>
                <w:rFonts w:hint="eastAsia"/>
                <w:color w:val="auto"/>
                <w:lang w:val="en-US" w:eastAsia="zh-CN"/>
              </w:rPr>
              <w:t>消杀：脱包后的产品进行紫外消杀处理</w:t>
            </w:r>
            <w:r>
              <w:rPr>
                <w:rFonts w:hint="eastAsia"/>
                <w:color w:val="auto"/>
              </w:rPr>
              <w:t>。</w:t>
            </w:r>
          </w:p>
          <w:p w14:paraId="0864CE30">
            <w:pPr>
              <w:adjustRightInd w:val="0"/>
              <w:snapToGrid w:val="0"/>
              <w:spacing w:line="360" w:lineRule="auto"/>
              <w:ind w:firstLine="480" w:firstLineChars="200"/>
            </w:pPr>
            <w:r>
              <w:rPr>
                <w:rFonts w:hint="eastAsia"/>
                <w:color w:val="auto"/>
              </w:rPr>
              <w:t>4、</w:t>
            </w:r>
            <w:r>
              <w:rPr>
                <w:rFonts w:hint="eastAsia"/>
                <w:color w:val="auto"/>
                <w:lang w:val="en-US" w:eastAsia="zh-CN"/>
              </w:rPr>
              <w:t>称量：消杀后的原料利用称重机按照配料比例进行称量</w:t>
            </w:r>
            <w:r>
              <w:rPr>
                <w:rFonts w:hint="eastAsia"/>
              </w:rPr>
              <w:t>。</w:t>
            </w:r>
          </w:p>
          <w:p w14:paraId="79D17221">
            <w:pPr>
              <w:adjustRightInd w:val="0"/>
              <w:snapToGrid w:val="0"/>
              <w:spacing w:line="360" w:lineRule="auto"/>
              <w:ind w:firstLine="480" w:firstLineChars="200"/>
            </w:pPr>
            <w:r>
              <w:rPr>
                <w:rFonts w:hint="eastAsia"/>
              </w:rPr>
              <w:t>5、</w:t>
            </w:r>
            <w:r>
              <w:rPr>
                <w:rFonts w:hint="eastAsia"/>
                <w:lang w:val="en-US" w:eastAsia="zh-CN"/>
              </w:rPr>
              <w:t>配料：称量后的各种原料进行配料</w:t>
            </w:r>
            <w:r>
              <w:rPr>
                <w:rFonts w:hint="eastAsia"/>
              </w:rPr>
              <w:t>。</w:t>
            </w:r>
          </w:p>
          <w:p w14:paraId="435294F5">
            <w:pPr>
              <w:adjustRightInd w:val="0"/>
              <w:snapToGrid w:val="0"/>
              <w:spacing w:line="360" w:lineRule="auto"/>
              <w:ind w:firstLine="480" w:firstLineChars="200"/>
              <w:rPr>
                <w:rFonts w:hint="eastAsia"/>
              </w:rPr>
            </w:pPr>
            <w:r>
              <w:rPr>
                <w:rFonts w:hint="eastAsia"/>
              </w:rPr>
              <w:t>6、</w:t>
            </w:r>
            <w:r>
              <w:rPr>
                <w:rFonts w:hint="eastAsia"/>
                <w:lang w:val="en-US" w:eastAsia="zh-CN"/>
              </w:rPr>
              <w:t>混合：配料后的原料利用</w:t>
            </w:r>
            <w:r>
              <w:rPr>
                <w:rFonts w:hint="eastAsia" w:ascii="Times New Roman" w:hAnsi="Times New Roman" w:eastAsia="宋体" w:cs="Times New Roman"/>
                <w:kern w:val="0"/>
                <w:szCs w:val="21"/>
                <w:lang w:eastAsia="zh"/>
                <w:woUserID w:val="2"/>
              </w:rPr>
              <w:t>方锥混料机</w:t>
            </w:r>
            <w:r>
              <w:rPr>
                <w:rFonts w:hint="eastAsia" w:ascii="Times New Roman" w:hAnsi="Times New Roman" w:eastAsia="宋体" w:cs="Times New Roman"/>
                <w:kern w:val="0"/>
                <w:szCs w:val="21"/>
                <w:lang w:val="en-US" w:eastAsia="zh-CN"/>
                <w:woUserID w:val="2"/>
              </w:rPr>
              <w:t>进行混合，使其充分混合均匀</w:t>
            </w:r>
            <w:r>
              <w:rPr>
                <w:rFonts w:hint="eastAsia"/>
              </w:rPr>
              <w:t>。</w:t>
            </w:r>
          </w:p>
          <w:p w14:paraId="04AA58CA">
            <w:pPr>
              <w:adjustRightInd w:val="0"/>
              <w:snapToGrid w:val="0"/>
              <w:spacing w:line="360" w:lineRule="auto"/>
              <w:ind w:firstLine="480" w:firstLineChars="200"/>
              <w:rPr>
                <w:rFonts w:hint="eastAsia"/>
                <w:lang w:val="en-US" w:eastAsia="zh-CN"/>
              </w:rPr>
            </w:pPr>
            <w:r>
              <w:rPr>
                <w:rFonts w:hint="eastAsia"/>
                <w:lang w:val="en-US" w:eastAsia="zh-CN"/>
              </w:rPr>
              <w:t>7、过筛：混合后的原料利用过筛机进行过筛，此过程会产生过筛废气（G1-2）。</w:t>
            </w:r>
          </w:p>
          <w:p w14:paraId="3E9CF678">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lang w:val="en-US" w:eastAsia="zh-CN"/>
              </w:rPr>
              <w:t>8、充填：过筛后的产品利用</w:t>
            </w:r>
            <w:r>
              <w:rPr>
                <w:rFonts w:hint="eastAsia" w:ascii="Times New Roman" w:hAnsi="Times New Roman" w:eastAsia="宋体" w:cs="Times New Roman"/>
                <w:kern w:val="0"/>
                <w:szCs w:val="21"/>
                <w:lang w:eastAsia="zh"/>
                <w:woUserID w:val="2"/>
              </w:rPr>
              <w:t>全自动背封圆角粉剂包装机</w:t>
            </w:r>
            <w:r>
              <w:rPr>
                <w:rFonts w:hint="eastAsia" w:ascii="Times New Roman" w:hAnsi="Times New Roman" w:eastAsia="宋体" w:cs="Times New Roman"/>
                <w:kern w:val="0"/>
                <w:szCs w:val="21"/>
                <w:lang w:val="en-US" w:eastAsia="zh-CN"/>
                <w:woUserID w:val="2"/>
              </w:rPr>
              <w:t>进行充填。</w:t>
            </w:r>
          </w:p>
          <w:p w14:paraId="6122FBCC">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9、金属检测：充填好的产品利用</w:t>
            </w:r>
            <w:r>
              <w:rPr>
                <w:rFonts w:hint="eastAsia" w:ascii="Times New Roman" w:hAnsi="Times New Roman" w:eastAsia="宋体" w:cs="Times New Roman"/>
                <w:kern w:val="0"/>
                <w:szCs w:val="21"/>
                <w:lang w:eastAsia="zh"/>
                <w:woUserID w:val="2"/>
              </w:rPr>
              <w:t>金属检测机</w:t>
            </w:r>
            <w:r>
              <w:rPr>
                <w:rFonts w:hint="eastAsia" w:ascii="Times New Roman" w:hAnsi="Times New Roman" w:eastAsia="宋体" w:cs="Times New Roman"/>
                <w:kern w:val="0"/>
                <w:szCs w:val="21"/>
                <w:lang w:val="en-US" w:eastAsia="zh-CN"/>
                <w:woUserID w:val="2"/>
              </w:rPr>
              <w:t>检测是否有金属。</w:t>
            </w:r>
          </w:p>
          <w:p w14:paraId="0C6EB229">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10、包装：检测后的产品直接进行包装。</w:t>
            </w:r>
          </w:p>
          <w:p w14:paraId="2AA1B149">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11、装盒、封盒：包装好的产品放置在彩盒内包装好，利用</w:t>
            </w:r>
            <w:r>
              <w:rPr>
                <w:rFonts w:hint="eastAsia" w:ascii="Times New Roman" w:hAnsi="Times New Roman" w:eastAsia="宋体" w:cs="Times New Roman"/>
                <w:kern w:val="0"/>
                <w:szCs w:val="21"/>
                <w:lang w:eastAsia="zh"/>
                <w:woUserID w:val="2"/>
              </w:rPr>
              <w:t>打胶机</w:t>
            </w:r>
            <w:r>
              <w:rPr>
                <w:rFonts w:hint="eastAsia" w:ascii="Times New Roman" w:hAnsi="Times New Roman" w:eastAsia="宋体" w:cs="Times New Roman"/>
                <w:kern w:val="0"/>
                <w:szCs w:val="21"/>
                <w:lang w:val="en-US" w:eastAsia="zh-CN"/>
                <w:woUserID w:val="2"/>
              </w:rPr>
              <w:t>进行封盒，此过程会产生封盒废气（G1-3）。</w:t>
            </w:r>
          </w:p>
          <w:p w14:paraId="25592BE8">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12、成品检验：封盒后的产品再次进行检验是否密封合格，合格的产品即为成品，入库</w:t>
            </w:r>
            <w:r>
              <w:rPr>
                <w:rFonts w:hint="eastAsia" w:cs="Times New Roman"/>
                <w:kern w:val="0"/>
                <w:szCs w:val="21"/>
                <w:lang w:val="en-US" w:eastAsia="zh-CN"/>
                <w:woUserID w:val="2"/>
              </w:rPr>
              <w:t>待售</w:t>
            </w:r>
            <w:r>
              <w:rPr>
                <w:rFonts w:hint="eastAsia" w:ascii="Times New Roman" w:hAnsi="Times New Roman" w:eastAsia="宋体" w:cs="Times New Roman"/>
                <w:kern w:val="0"/>
                <w:szCs w:val="21"/>
                <w:lang w:val="en-US" w:eastAsia="zh-CN"/>
                <w:woUserID w:val="2"/>
              </w:rPr>
              <w:t>，此过程会产生不合格品（S1-3）。</w:t>
            </w:r>
          </w:p>
          <w:p w14:paraId="65ADF7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ascii="Times New Roman" w:hAnsi="Times New Roman" w:eastAsia="宋体"/>
                <w:sz w:val="24"/>
                <w:lang w:val="en-US" w:eastAsia="zh-CN"/>
              </w:rPr>
              <w:t>二、</w:t>
            </w:r>
            <w:r>
              <w:rPr>
                <w:rFonts w:hint="eastAsia"/>
                <w:sz w:val="24"/>
              </w:rPr>
              <w:t>蛋白棒</w:t>
            </w:r>
            <w:r>
              <w:rPr>
                <w:rFonts w:ascii="Times New Roman" w:hAnsi="Times New Roman" w:eastAsia="宋体"/>
                <w:sz w:val="24"/>
              </w:rPr>
              <w:t>工艺流程及产污节点图如下</w:t>
            </w:r>
            <w:r>
              <w:rPr>
                <w:rFonts w:hint="eastAsia" w:ascii="Times New Roman" w:hAnsi="Times New Roman" w:eastAsia="宋体" w:cs="Times New Roman"/>
                <w:kern w:val="2"/>
                <w:sz w:val="24"/>
                <w:szCs w:val="24"/>
                <w:lang w:val="en-US" w:eastAsia="zh-CN" w:bidi="ar-SA"/>
              </w:rPr>
              <w:t>：</w:t>
            </w:r>
          </w:p>
          <w:p w14:paraId="2CF86299">
            <w:pPr>
              <w:adjustRightInd w:val="0"/>
              <w:snapToGrid w:val="0"/>
              <w:spacing w:line="360" w:lineRule="auto"/>
              <w:ind w:firstLine="480" w:firstLineChars="200"/>
              <w:rPr>
                <w:rFonts w:hint="default" w:ascii="Times New Roman" w:hAnsi="Times New Roman" w:eastAsia="宋体" w:cs="Times New Roman"/>
                <w:kern w:val="0"/>
                <w:szCs w:val="21"/>
                <w:lang w:val="en-US" w:eastAsia="zh-CN"/>
                <w:woUserID w:val="2"/>
              </w:rPr>
            </w:pPr>
          </w:p>
          <w:p w14:paraId="49EA5290">
            <w:pPr>
              <w:pStyle w:val="8"/>
              <w:ind w:firstLine="0" w:firstLineChars="0"/>
              <w:jc w:val="center"/>
              <w:rPr>
                <w:rFonts w:hint="eastAsia" w:eastAsia="宋体"/>
                <w:lang w:eastAsia="zh-CN"/>
              </w:rPr>
            </w:pPr>
            <w:r>
              <w:rPr>
                <w:rFonts w:hint="eastAsia" w:eastAsia="宋体"/>
                <w:lang w:eastAsia="zh-CN"/>
              </w:rPr>
              <w:drawing>
                <wp:inline distT="0" distB="0" distL="114300" distR="114300">
                  <wp:extent cx="2364740" cy="8139430"/>
                  <wp:effectExtent l="0" t="0" r="0" b="0"/>
                  <wp:docPr id="32" name="ECB019B1-382A-4266-B25C-5B523AA43C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CB019B1-382A-4266-B25C-5B523AA43C14-3"/>
                          <pic:cNvPicPr>
                            <a:picLocks noChangeAspect="1"/>
                          </pic:cNvPicPr>
                        </pic:nvPicPr>
                        <pic:blipFill>
                          <a:blip r:embed="rId13"/>
                          <a:stretch>
                            <a:fillRect/>
                          </a:stretch>
                        </pic:blipFill>
                        <pic:spPr>
                          <a:xfrm>
                            <a:off x="0" y="0"/>
                            <a:ext cx="2364740" cy="8139430"/>
                          </a:xfrm>
                          <a:prstGeom prst="rect">
                            <a:avLst/>
                          </a:prstGeom>
                        </pic:spPr>
                      </pic:pic>
                    </a:graphicData>
                  </a:graphic>
                </wp:inline>
              </w:drawing>
            </w:r>
          </w:p>
          <w:p w14:paraId="5521E6C7">
            <w:pPr>
              <w:pStyle w:val="8"/>
              <w:ind w:firstLine="0" w:firstLineChars="0"/>
              <w:jc w:val="center"/>
              <w:rPr>
                <w:b/>
                <w:bCs/>
                <w:sz w:val="24"/>
              </w:rPr>
            </w:pPr>
            <w:r>
              <w:rPr>
                <w:b/>
                <w:bCs/>
                <w:sz w:val="24"/>
              </w:rPr>
              <w:t>图</w:t>
            </w:r>
            <w:r>
              <w:rPr>
                <w:rFonts w:hint="eastAsia"/>
                <w:b/>
                <w:bCs/>
                <w:sz w:val="24"/>
              </w:rPr>
              <w:t>2</w:t>
            </w:r>
            <w:r>
              <w:rPr>
                <w:rFonts w:hint="eastAsia"/>
                <w:b/>
                <w:bCs/>
                <w:sz w:val="24"/>
                <w:lang w:val="en-US" w:eastAsia="zh-CN"/>
              </w:rPr>
              <w:t>.3</w:t>
            </w:r>
            <w:r>
              <w:rPr>
                <w:b/>
                <w:bCs/>
                <w:sz w:val="24"/>
              </w:rPr>
              <w:t xml:space="preserve"> </w:t>
            </w:r>
            <w:r>
              <w:rPr>
                <w:rFonts w:hint="eastAsia"/>
                <w:b/>
                <w:bCs/>
                <w:sz w:val="24"/>
              </w:rPr>
              <w:t xml:space="preserve"> 蛋白棒</w:t>
            </w:r>
            <w:r>
              <w:rPr>
                <w:b/>
                <w:bCs/>
                <w:sz w:val="24"/>
              </w:rPr>
              <w:t>生产工艺流程及产污节点图</w:t>
            </w:r>
          </w:p>
          <w:p w14:paraId="6329DC24">
            <w:pPr>
              <w:pStyle w:val="8"/>
              <w:spacing w:line="360" w:lineRule="auto"/>
              <w:ind w:firstLine="0" w:firstLineChars="0"/>
              <w:jc w:val="center"/>
              <w:rPr>
                <w:b/>
                <w:bCs/>
                <w:sz w:val="24"/>
              </w:rPr>
            </w:pPr>
            <w:r>
              <w:rPr>
                <w:rFonts w:hint="eastAsia"/>
                <w:b/>
                <w:bCs/>
                <w:sz w:val="24"/>
              </w:rPr>
              <w:t>（N：噪声 S：固废 G：废气）</w:t>
            </w:r>
          </w:p>
          <w:p w14:paraId="41E884B6">
            <w:pPr>
              <w:adjustRightInd w:val="0"/>
              <w:snapToGrid w:val="0"/>
              <w:spacing w:line="360" w:lineRule="auto"/>
              <w:ind w:firstLine="480" w:firstLineChars="200"/>
              <w:rPr>
                <w:color w:val="000000"/>
              </w:rPr>
            </w:pPr>
            <w:r>
              <w:rPr>
                <w:rFonts w:hint="eastAsia"/>
              </w:rPr>
              <w:t>中空玻璃生产</w:t>
            </w:r>
            <w:r>
              <w:t>工艺流程简述：</w:t>
            </w:r>
          </w:p>
          <w:p w14:paraId="21419C0A">
            <w:pPr>
              <w:adjustRightInd w:val="0"/>
              <w:snapToGrid w:val="0"/>
              <w:spacing w:line="360" w:lineRule="auto"/>
              <w:ind w:firstLine="480" w:firstLineChars="200"/>
            </w:pPr>
            <w:r>
              <w:rPr>
                <w:rFonts w:hint="eastAsia"/>
              </w:rPr>
              <w:t>1、</w:t>
            </w:r>
            <w:r>
              <w:rPr>
                <w:rFonts w:hint="eastAsia"/>
                <w:lang w:val="en-US" w:eastAsia="zh-CN"/>
              </w:rPr>
              <w:t>检验</w:t>
            </w:r>
            <w:r>
              <w:t>：</w:t>
            </w:r>
            <w:r>
              <w:rPr>
                <w:rFonts w:hint="eastAsia"/>
              </w:rPr>
              <w:t>原材料</w:t>
            </w:r>
            <w:r>
              <w:rPr>
                <w:rFonts w:hint="eastAsia"/>
                <w:lang w:val="en-US" w:eastAsia="zh-CN"/>
              </w:rPr>
              <w:t>进入生产线前先进行检验，检验其是否合格，此过程会产生不合格原料（S2-1）</w:t>
            </w:r>
            <w:r>
              <w:rPr>
                <w:rFonts w:hint="eastAsia"/>
              </w:rPr>
              <w:t>。</w:t>
            </w:r>
          </w:p>
          <w:p w14:paraId="202EDDF0">
            <w:pPr>
              <w:adjustRightInd w:val="0"/>
              <w:snapToGrid w:val="0"/>
              <w:spacing w:line="360" w:lineRule="auto"/>
              <w:ind w:firstLine="480" w:firstLineChars="200"/>
              <w:jc w:val="both"/>
              <w:rPr>
                <w:color w:val="auto"/>
              </w:rPr>
            </w:pPr>
            <w:r>
              <w:rPr>
                <w:color w:val="auto"/>
              </w:rPr>
              <w:t>2、</w:t>
            </w:r>
            <w:r>
              <w:rPr>
                <w:rFonts w:hint="eastAsia"/>
                <w:color w:val="auto"/>
                <w:lang w:val="en-US" w:eastAsia="zh-CN"/>
              </w:rPr>
              <w:t>脱包</w:t>
            </w:r>
            <w:r>
              <w:rPr>
                <w:color w:val="auto"/>
              </w:rPr>
              <w:t>：</w:t>
            </w:r>
            <w:r>
              <w:rPr>
                <w:rFonts w:hint="eastAsia"/>
                <w:color w:val="auto"/>
                <w:lang w:val="en-US" w:eastAsia="zh-CN"/>
              </w:rPr>
              <w:t>检验合格后的原料进行脱包，此过程会产生废包装（S2-2）、脱包粉尘（G2-1）</w:t>
            </w:r>
            <w:r>
              <w:rPr>
                <w:rFonts w:hint="eastAsia"/>
                <w:color w:val="auto"/>
              </w:rPr>
              <w:t>。</w:t>
            </w:r>
          </w:p>
          <w:p w14:paraId="2B7B3670">
            <w:pPr>
              <w:adjustRightInd w:val="0"/>
              <w:snapToGrid w:val="0"/>
              <w:spacing w:line="360" w:lineRule="auto"/>
              <w:ind w:firstLine="480" w:firstLineChars="200"/>
              <w:rPr>
                <w:color w:val="auto"/>
              </w:rPr>
            </w:pPr>
            <w:r>
              <w:rPr>
                <w:rFonts w:hint="eastAsia"/>
                <w:color w:val="auto"/>
              </w:rPr>
              <w:t>3、</w:t>
            </w:r>
            <w:r>
              <w:rPr>
                <w:rFonts w:hint="eastAsia"/>
                <w:color w:val="auto"/>
                <w:lang w:val="en-US" w:eastAsia="zh-CN"/>
              </w:rPr>
              <w:t>消杀：脱包后的产品进行紫外消杀处理</w:t>
            </w:r>
            <w:r>
              <w:rPr>
                <w:rFonts w:hint="eastAsia"/>
                <w:color w:val="auto"/>
              </w:rPr>
              <w:t>。</w:t>
            </w:r>
          </w:p>
          <w:p w14:paraId="1A076A2A">
            <w:pPr>
              <w:adjustRightInd w:val="0"/>
              <w:snapToGrid w:val="0"/>
              <w:spacing w:line="360" w:lineRule="auto"/>
              <w:ind w:firstLine="480" w:firstLineChars="200"/>
            </w:pPr>
            <w:r>
              <w:rPr>
                <w:rFonts w:hint="eastAsia"/>
                <w:color w:val="auto"/>
              </w:rPr>
              <w:t>4、</w:t>
            </w:r>
            <w:r>
              <w:rPr>
                <w:rFonts w:hint="eastAsia"/>
                <w:color w:val="auto"/>
                <w:lang w:val="en-US" w:eastAsia="zh-CN"/>
              </w:rPr>
              <w:t>称量：消杀后的原料利用称重机按照配料比例进行称量</w:t>
            </w:r>
            <w:r>
              <w:rPr>
                <w:rFonts w:hint="eastAsia"/>
              </w:rPr>
              <w:t>。</w:t>
            </w:r>
          </w:p>
          <w:p w14:paraId="4CA3290A">
            <w:pPr>
              <w:adjustRightInd w:val="0"/>
              <w:snapToGrid w:val="0"/>
              <w:spacing w:line="360" w:lineRule="auto"/>
              <w:ind w:firstLine="480" w:firstLineChars="200"/>
            </w:pPr>
            <w:r>
              <w:rPr>
                <w:rFonts w:hint="eastAsia"/>
              </w:rPr>
              <w:t>5、</w:t>
            </w:r>
            <w:r>
              <w:rPr>
                <w:rFonts w:hint="eastAsia"/>
                <w:lang w:val="en-US" w:eastAsia="zh-CN"/>
              </w:rPr>
              <w:t>配料：称量后的各种原料进行配料</w:t>
            </w:r>
            <w:r>
              <w:rPr>
                <w:rFonts w:hint="eastAsia"/>
              </w:rPr>
              <w:t>。</w:t>
            </w:r>
          </w:p>
          <w:p w14:paraId="49A2D764">
            <w:pPr>
              <w:adjustRightInd w:val="0"/>
              <w:snapToGrid w:val="0"/>
              <w:spacing w:line="360" w:lineRule="auto"/>
              <w:ind w:firstLine="480" w:firstLineChars="200"/>
              <w:rPr>
                <w:rFonts w:hint="eastAsia"/>
              </w:rPr>
            </w:pPr>
            <w:r>
              <w:rPr>
                <w:rFonts w:hint="eastAsia"/>
              </w:rPr>
              <w:t>6、</w:t>
            </w:r>
            <w:r>
              <w:rPr>
                <w:rFonts w:hint="eastAsia"/>
                <w:lang w:val="en-US" w:eastAsia="zh-CN"/>
              </w:rPr>
              <w:t>混合：配料后的原料利用</w:t>
            </w:r>
            <w:r>
              <w:rPr>
                <w:rFonts w:hint="eastAsia" w:ascii="Times New Roman" w:hAnsi="Times New Roman" w:eastAsia="宋体" w:cs="Times New Roman"/>
                <w:kern w:val="0"/>
                <w:szCs w:val="21"/>
                <w:lang w:val="en-US" w:eastAsia="zh-CN"/>
                <w:woUserID w:val="2"/>
              </w:rPr>
              <w:t>双浆混合机进行混合，使其充分混合均匀</w:t>
            </w:r>
            <w:r>
              <w:rPr>
                <w:rFonts w:hint="eastAsia"/>
              </w:rPr>
              <w:t>。</w:t>
            </w:r>
          </w:p>
          <w:p w14:paraId="1BEE04CA">
            <w:pPr>
              <w:adjustRightInd w:val="0"/>
              <w:snapToGrid w:val="0"/>
              <w:spacing w:line="360" w:lineRule="auto"/>
              <w:ind w:firstLine="480" w:firstLineChars="200"/>
              <w:rPr>
                <w:rFonts w:hint="eastAsia"/>
                <w:lang w:val="en-US" w:eastAsia="zh-CN"/>
              </w:rPr>
            </w:pPr>
            <w:r>
              <w:rPr>
                <w:rFonts w:hint="eastAsia"/>
                <w:lang w:val="en-US" w:eastAsia="zh-CN"/>
              </w:rPr>
              <w:t>7、过筛：混合后的原料利用过筛机进行过筛，此过程会产生过筛废气（G2-2）。</w:t>
            </w:r>
          </w:p>
          <w:p w14:paraId="7D5FE785">
            <w:pPr>
              <w:spacing w:line="360" w:lineRule="auto"/>
              <w:ind w:firstLine="480" w:firstLineChars="200"/>
            </w:pPr>
            <w:r>
              <w:rPr>
                <w:rFonts w:hint="eastAsia"/>
                <w:lang w:val="en-US" w:eastAsia="zh-CN"/>
              </w:rPr>
              <w:t>8、单组辊、二次单组辊：过筛后的产品利用糖排线设备经过两次单组辊后确认基本形状</w:t>
            </w:r>
            <w:r>
              <w:rPr>
                <w:rFonts w:hint="eastAsia"/>
              </w:rPr>
              <w:t>。</w:t>
            </w:r>
          </w:p>
          <w:p w14:paraId="5DBC2351">
            <w:pPr>
              <w:spacing w:line="360" w:lineRule="auto"/>
              <w:ind w:firstLine="480" w:firstLineChars="200"/>
              <w:rPr>
                <w:rFonts w:hint="eastAsia"/>
              </w:rPr>
            </w:pPr>
            <w:r>
              <w:rPr>
                <w:rFonts w:hint="eastAsia"/>
                <w:lang w:val="en-US" w:eastAsia="zh-CN"/>
              </w:rPr>
              <w:t>9、压平压实：经过单组辊确认形状后利用糖排线设备进行压平压实</w:t>
            </w:r>
            <w:r>
              <w:rPr>
                <w:rFonts w:hint="eastAsia"/>
              </w:rPr>
              <w:t>。</w:t>
            </w:r>
          </w:p>
          <w:p w14:paraId="26C2F8B2">
            <w:pPr>
              <w:spacing w:line="360" w:lineRule="auto"/>
              <w:ind w:firstLine="480" w:firstLineChars="200"/>
              <w:rPr>
                <w:rFonts w:hint="eastAsia"/>
                <w:lang w:val="en-US" w:eastAsia="zh-CN"/>
              </w:rPr>
            </w:pPr>
            <w:r>
              <w:rPr>
                <w:rFonts w:hint="eastAsia"/>
                <w:lang w:val="en-US" w:eastAsia="zh-CN"/>
              </w:rPr>
              <w:t>10、冷却：压平压实后的产品利用糖排线设备通过冷却隧道进行冷却。</w:t>
            </w:r>
          </w:p>
          <w:p w14:paraId="2892DE57">
            <w:pPr>
              <w:spacing w:line="360" w:lineRule="auto"/>
              <w:ind w:firstLine="480" w:firstLineChars="200"/>
              <w:rPr>
                <w:rFonts w:hint="eastAsia"/>
                <w:lang w:val="en-US" w:eastAsia="zh-CN"/>
              </w:rPr>
            </w:pPr>
            <w:r>
              <w:rPr>
                <w:rFonts w:hint="eastAsia"/>
                <w:lang w:val="en-US" w:eastAsia="zh-CN"/>
              </w:rPr>
              <w:t>11、纵切横切：冷却后的产品经糖排线进行切块，切成适宜的大小。</w:t>
            </w:r>
          </w:p>
          <w:p w14:paraId="02FCD290">
            <w:pPr>
              <w:spacing w:line="360" w:lineRule="auto"/>
              <w:ind w:firstLine="480" w:firstLineChars="200"/>
              <w:rPr>
                <w:rFonts w:hint="eastAsia"/>
                <w:lang w:val="en-US" w:eastAsia="zh-CN"/>
              </w:rPr>
            </w:pPr>
            <w:r>
              <w:rPr>
                <w:rFonts w:hint="eastAsia"/>
                <w:lang w:val="en-US" w:eastAsia="zh-CN"/>
              </w:rPr>
              <w:t>12、涂层：切块后的产品利用巧克力涂衣机对其表面进行涂层。</w:t>
            </w:r>
          </w:p>
          <w:p w14:paraId="7183D1AB">
            <w:pPr>
              <w:spacing w:line="360" w:lineRule="auto"/>
              <w:ind w:firstLine="480" w:firstLineChars="200"/>
              <w:rPr>
                <w:rFonts w:hint="eastAsia"/>
                <w:lang w:val="en-US" w:eastAsia="zh-CN"/>
              </w:rPr>
            </w:pPr>
            <w:r>
              <w:rPr>
                <w:rFonts w:hint="eastAsia"/>
                <w:lang w:val="en-US" w:eastAsia="zh-CN"/>
              </w:rPr>
              <w:t>13、拉花：涂层后的产品在其表面进行拉花。</w:t>
            </w:r>
          </w:p>
          <w:p w14:paraId="27CB192F">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lang w:val="en-US" w:eastAsia="zh-CN"/>
              </w:rPr>
              <w:t>14、</w:t>
            </w:r>
            <w:r>
              <w:rPr>
                <w:rFonts w:hint="eastAsia" w:ascii="Times New Roman" w:hAnsi="Times New Roman" w:eastAsia="宋体" w:cs="Times New Roman"/>
                <w:kern w:val="0"/>
                <w:szCs w:val="21"/>
                <w:lang w:val="en-US" w:eastAsia="zh-CN"/>
                <w:woUserID w:val="2"/>
              </w:rPr>
              <w:t>金属检测：充填好的产品利用</w:t>
            </w:r>
            <w:r>
              <w:rPr>
                <w:rFonts w:hint="eastAsia" w:ascii="Times New Roman" w:hAnsi="Times New Roman" w:eastAsia="宋体" w:cs="Times New Roman"/>
                <w:kern w:val="0"/>
                <w:szCs w:val="21"/>
                <w:lang w:eastAsia="zh"/>
                <w:woUserID w:val="2"/>
              </w:rPr>
              <w:t>金属检测机</w:t>
            </w:r>
            <w:r>
              <w:rPr>
                <w:rFonts w:hint="eastAsia" w:ascii="Times New Roman" w:hAnsi="Times New Roman" w:eastAsia="宋体" w:cs="Times New Roman"/>
                <w:kern w:val="0"/>
                <w:szCs w:val="21"/>
                <w:lang w:val="en-US" w:eastAsia="zh-CN"/>
                <w:woUserID w:val="2"/>
              </w:rPr>
              <w:t>检测是否有金属。</w:t>
            </w:r>
          </w:p>
          <w:p w14:paraId="304D5E4C">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15、包装：检测后的产品直接进行包装。</w:t>
            </w:r>
          </w:p>
          <w:p w14:paraId="13D5BDCB">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16、装盒、封盒：包装好的产品放置在彩盒内包装好，利用</w:t>
            </w:r>
            <w:r>
              <w:rPr>
                <w:rFonts w:hint="eastAsia" w:ascii="Times New Roman" w:hAnsi="Times New Roman" w:eastAsia="宋体" w:cs="Times New Roman"/>
                <w:kern w:val="0"/>
                <w:szCs w:val="21"/>
                <w:lang w:eastAsia="zh"/>
                <w:woUserID w:val="2"/>
              </w:rPr>
              <w:t>打胶机</w:t>
            </w:r>
            <w:r>
              <w:rPr>
                <w:rFonts w:hint="eastAsia" w:ascii="Times New Roman" w:hAnsi="Times New Roman" w:eastAsia="宋体" w:cs="Times New Roman"/>
                <w:kern w:val="0"/>
                <w:szCs w:val="21"/>
                <w:lang w:val="en-US" w:eastAsia="zh-CN"/>
                <w:woUserID w:val="2"/>
              </w:rPr>
              <w:t>进行封盒，此过程会产生封盒废气（G2-3）。</w:t>
            </w:r>
          </w:p>
          <w:p w14:paraId="5019A5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17、成品检验：封盒后的产品再次进行检验是否密封合格，合格的产品即为成品，入库</w:t>
            </w:r>
            <w:r>
              <w:rPr>
                <w:rFonts w:hint="eastAsia" w:cs="Times New Roman"/>
                <w:kern w:val="0"/>
                <w:szCs w:val="21"/>
                <w:lang w:val="en-US" w:eastAsia="zh-CN"/>
                <w:woUserID w:val="2"/>
              </w:rPr>
              <w:t>待售</w:t>
            </w:r>
            <w:r>
              <w:rPr>
                <w:rFonts w:hint="eastAsia" w:ascii="Times New Roman" w:hAnsi="Times New Roman" w:eastAsia="宋体" w:cs="Times New Roman"/>
                <w:kern w:val="0"/>
                <w:szCs w:val="21"/>
                <w:lang w:val="en-US" w:eastAsia="zh-CN"/>
                <w:woUserID w:val="2"/>
              </w:rPr>
              <w:t>，此过程会产生不合格品（S2-3）。</w:t>
            </w:r>
          </w:p>
          <w:p w14:paraId="4A1A89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sz w:val="24"/>
              </w:rPr>
            </w:pPr>
            <w:r>
              <w:rPr>
                <w:rFonts w:hint="eastAsia" w:ascii="Times New Roman" w:hAnsi="Times New Roman" w:eastAsia="宋体"/>
                <w:sz w:val="24"/>
                <w:lang w:val="en-US" w:eastAsia="zh-CN"/>
              </w:rPr>
              <w:t>三、凝胶</w:t>
            </w:r>
            <w:r>
              <w:rPr>
                <w:rFonts w:ascii="Times New Roman" w:hAnsi="Times New Roman" w:eastAsia="宋体"/>
                <w:sz w:val="24"/>
              </w:rPr>
              <w:t>工艺流程及产污节点图如下</w:t>
            </w:r>
            <w:r>
              <w:rPr>
                <w:rFonts w:hint="eastAsia" w:ascii="Times New Roman" w:hAnsi="Times New Roman" w:eastAsia="宋体" w:cs="Times New Roman"/>
                <w:kern w:val="2"/>
                <w:sz w:val="24"/>
                <w:szCs w:val="24"/>
                <w:lang w:val="en-US" w:eastAsia="zh-CN" w:bidi="ar-SA"/>
              </w:rPr>
              <w:t>：</w:t>
            </w:r>
          </w:p>
          <w:p w14:paraId="6B3167ED">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p>
          <w:p w14:paraId="5834F829">
            <w:pPr>
              <w:spacing w:line="360" w:lineRule="auto"/>
              <w:ind w:firstLine="480" w:firstLineChars="200"/>
              <w:rPr>
                <w:rFonts w:hint="default"/>
                <w:lang w:val="en-US" w:eastAsia="zh-CN"/>
              </w:rPr>
            </w:pPr>
          </w:p>
          <w:p w14:paraId="61A8F8AC">
            <w:pPr>
              <w:pStyle w:val="8"/>
              <w:ind w:firstLine="0" w:firstLineChars="0"/>
              <w:jc w:val="center"/>
              <w:rPr>
                <w:rFonts w:hint="eastAsia" w:eastAsia="宋体"/>
                <w:lang w:eastAsia="zh-CN"/>
              </w:rPr>
            </w:pPr>
            <w:r>
              <w:rPr>
                <w:rFonts w:hint="eastAsia" w:eastAsia="宋体"/>
                <w:lang w:eastAsia="zh-CN"/>
              </w:rPr>
              <w:drawing>
                <wp:inline distT="0" distB="0" distL="114300" distR="114300">
                  <wp:extent cx="4088130" cy="7739380"/>
                  <wp:effectExtent l="0" t="0" r="0" b="0"/>
                  <wp:docPr id="33" name="ECB019B1-382A-4266-B25C-5B523AA43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B019B1-382A-4266-B25C-5B523AA43C14-4"/>
                          <pic:cNvPicPr>
                            <a:picLocks noChangeAspect="1"/>
                          </pic:cNvPicPr>
                        </pic:nvPicPr>
                        <pic:blipFill>
                          <a:blip r:embed="rId14"/>
                          <a:stretch>
                            <a:fillRect/>
                          </a:stretch>
                        </pic:blipFill>
                        <pic:spPr>
                          <a:xfrm>
                            <a:off x="0" y="0"/>
                            <a:ext cx="4088130" cy="7739380"/>
                          </a:xfrm>
                          <a:prstGeom prst="rect">
                            <a:avLst/>
                          </a:prstGeom>
                        </pic:spPr>
                      </pic:pic>
                    </a:graphicData>
                  </a:graphic>
                </wp:inline>
              </w:drawing>
            </w:r>
          </w:p>
          <w:p w14:paraId="33C67447">
            <w:pPr>
              <w:pStyle w:val="8"/>
              <w:ind w:firstLine="0" w:firstLineChars="0"/>
              <w:jc w:val="center"/>
              <w:rPr>
                <w:b/>
                <w:bCs/>
                <w:sz w:val="24"/>
              </w:rPr>
            </w:pPr>
            <w:r>
              <w:rPr>
                <w:b/>
                <w:bCs/>
                <w:sz w:val="24"/>
              </w:rPr>
              <w:t>图</w:t>
            </w:r>
            <w:r>
              <w:rPr>
                <w:rFonts w:hint="eastAsia"/>
                <w:b/>
                <w:bCs/>
                <w:sz w:val="24"/>
              </w:rPr>
              <w:t>2.4</w:t>
            </w:r>
            <w:r>
              <w:rPr>
                <w:b/>
                <w:bCs/>
                <w:sz w:val="24"/>
              </w:rPr>
              <w:t xml:space="preserve"> </w:t>
            </w:r>
            <w:r>
              <w:rPr>
                <w:rFonts w:hint="eastAsia"/>
                <w:b/>
                <w:bCs/>
                <w:sz w:val="24"/>
              </w:rPr>
              <w:t xml:space="preserve"> </w:t>
            </w:r>
            <w:r>
              <w:rPr>
                <w:rFonts w:hint="eastAsia"/>
                <w:b/>
                <w:bCs/>
                <w:sz w:val="24"/>
                <w:lang w:val="en-US" w:eastAsia="zh-CN"/>
              </w:rPr>
              <w:t>凝胶</w:t>
            </w:r>
            <w:r>
              <w:rPr>
                <w:b/>
                <w:bCs/>
                <w:sz w:val="24"/>
              </w:rPr>
              <w:t>生产工艺流程及产污节点图</w:t>
            </w:r>
          </w:p>
          <w:p w14:paraId="421ED16C">
            <w:pPr>
              <w:pStyle w:val="8"/>
              <w:spacing w:line="360" w:lineRule="auto"/>
              <w:ind w:firstLine="0" w:firstLineChars="0"/>
              <w:jc w:val="center"/>
              <w:rPr>
                <w:b/>
                <w:bCs/>
                <w:sz w:val="24"/>
              </w:rPr>
            </w:pPr>
            <w:r>
              <w:rPr>
                <w:rFonts w:hint="eastAsia"/>
                <w:b/>
                <w:bCs/>
                <w:sz w:val="24"/>
              </w:rPr>
              <w:t>（N：噪声 S：固废 G：废气）</w:t>
            </w:r>
          </w:p>
          <w:p w14:paraId="7B740554">
            <w:pPr>
              <w:adjustRightInd w:val="0"/>
              <w:snapToGrid w:val="0"/>
              <w:spacing w:line="360" w:lineRule="auto"/>
              <w:ind w:firstLine="480" w:firstLineChars="200"/>
            </w:pPr>
            <w:r>
              <w:rPr>
                <w:rFonts w:hint="eastAsia"/>
                <w:lang w:val="en-US" w:eastAsia="zh-CN"/>
              </w:rPr>
              <w:t>凝胶</w:t>
            </w:r>
            <w:r>
              <w:rPr>
                <w:rFonts w:hint="eastAsia"/>
              </w:rPr>
              <w:t>生产</w:t>
            </w:r>
            <w:r>
              <w:t>工艺流程简述：</w:t>
            </w:r>
          </w:p>
          <w:p w14:paraId="0B4B97BE">
            <w:pPr>
              <w:adjustRightInd w:val="0"/>
              <w:snapToGrid w:val="0"/>
              <w:spacing w:line="360" w:lineRule="auto"/>
              <w:ind w:firstLine="480" w:firstLineChars="200"/>
            </w:pPr>
            <w:r>
              <w:rPr>
                <w:rFonts w:hint="eastAsia"/>
              </w:rPr>
              <w:t>1、</w:t>
            </w:r>
            <w:r>
              <w:rPr>
                <w:rFonts w:hint="eastAsia"/>
                <w:lang w:val="en-US" w:eastAsia="zh-CN"/>
              </w:rPr>
              <w:t>检验</w:t>
            </w:r>
            <w:r>
              <w:t>：</w:t>
            </w:r>
            <w:r>
              <w:rPr>
                <w:rFonts w:hint="eastAsia"/>
              </w:rPr>
              <w:t>原材料</w:t>
            </w:r>
            <w:r>
              <w:rPr>
                <w:rFonts w:hint="eastAsia"/>
                <w:lang w:val="en-US" w:eastAsia="zh-CN"/>
              </w:rPr>
              <w:t>进入生产线前先进行检验，检验其是否合格，此过程会产生不合格原料（S3-1）</w:t>
            </w:r>
            <w:r>
              <w:rPr>
                <w:rFonts w:hint="eastAsia"/>
              </w:rPr>
              <w:t>。</w:t>
            </w:r>
          </w:p>
          <w:p w14:paraId="4CBE6303">
            <w:pPr>
              <w:adjustRightInd w:val="0"/>
              <w:snapToGrid w:val="0"/>
              <w:spacing w:line="360" w:lineRule="auto"/>
              <w:ind w:firstLine="480" w:firstLineChars="200"/>
              <w:jc w:val="both"/>
              <w:rPr>
                <w:color w:val="auto"/>
              </w:rPr>
            </w:pPr>
            <w:r>
              <w:rPr>
                <w:color w:val="auto"/>
              </w:rPr>
              <w:t>2、</w:t>
            </w:r>
            <w:r>
              <w:rPr>
                <w:rFonts w:hint="eastAsia"/>
                <w:color w:val="auto"/>
                <w:lang w:val="en-US" w:eastAsia="zh-CN"/>
              </w:rPr>
              <w:t>脱包</w:t>
            </w:r>
            <w:r>
              <w:rPr>
                <w:color w:val="auto"/>
              </w:rPr>
              <w:t>：</w:t>
            </w:r>
            <w:r>
              <w:rPr>
                <w:rFonts w:hint="eastAsia"/>
                <w:color w:val="auto"/>
                <w:lang w:val="en-US" w:eastAsia="zh-CN"/>
              </w:rPr>
              <w:t>检验合格后的原料进行脱包，此过程会产生废包装（S3-2）、脱包粉尘（G3-1）</w:t>
            </w:r>
            <w:r>
              <w:rPr>
                <w:rFonts w:hint="eastAsia"/>
                <w:color w:val="auto"/>
              </w:rPr>
              <w:t>。</w:t>
            </w:r>
          </w:p>
          <w:p w14:paraId="48F6C0C4">
            <w:pPr>
              <w:adjustRightInd w:val="0"/>
              <w:snapToGrid w:val="0"/>
              <w:spacing w:line="360" w:lineRule="auto"/>
              <w:ind w:firstLine="480" w:firstLineChars="200"/>
              <w:rPr>
                <w:color w:val="auto"/>
              </w:rPr>
            </w:pPr>
            <w:r>
              <w:rPr>
                <w:rFonts w:hint="eastAsia"/>
                <w:color w:val="auto"/>
              </w:rPr>
              <w:t>3、</w:t>
            </w:r>
            <w:r>
              <w:rPr>
                <w:rFonts w:hint="eastAsia"/>
                <w:color w:val="auto"/>
                <w:lang w:val="en-US" w:eastAsia="zh-CN"/>
              </w:rPr>
              <w:t>消杀：脱包后的产品进行紫外消杀处理</w:t>
            </w:r>
            <w:r>
              <w:rPr>
                <w:rFonts w:hint="eastAsia"/>
                <w:color w:val="auto"/>
              </w:rPr>
              <w:t>。</w:t>
            </w:r>
          </w:p>
          <w:p w14:paraId="10419209">
            <w:pPr>
              <w:adjustRightInd w:val="0"/>
              <w:snapToGrid w:val="0"/>
              <w:spacing w:line="360" w:lineRule="auto"/>
              <w:ind w:firstLine="480" w:firstLineChars="200"/>
            </w:pPr>
            <w:r>
              <w:rPr>
                <w:rFonts w:hint="eastAsia"/>
                <w:color w:val="auto"/>
              </w:rPr>
              <w:t>4、</w:t>
            </w:r>
            <w:r>
              <w:rPr>
                <w:rFonts w:hint="eastAsia"/>
                <w:color w:val="auto"/>
                <w:lang w:val="en-US" w:eastAsia="zh-CN"/>
              </w:rPr>
              <w:t>称量：消杀后的原料利用称重机按照配料比例进行称量</w:t>
            </w:r>
            <w:r>
              <w:rPr>
                <w:rFonts w:hint="eastAsia"/>
              </w:rPr>
              <w:t>。</w:t>
            </w:r>
          </w:p>
          <w:p w14:paraId="232497B2">
            <w:pPr>
              <w:spacing w:line="360" w:lineRule="auto"/>
              <w:ind w:firstLine="480" w:firstLineChars="200"/>
              <w:rPr>
                <w:rFonts w:hint="eastAsia"/>
              </w:rPr>
            </w:pPr>
            <w:r>
              <w:rPr>
                <w:rFonts w:hint="eastAsia"/>
              </w:rPr>
              <w:t>5、</w:t>
            </w:r>
            <w:r>
              <w:rPr>
                <w:rFonts w:hint="eastAsia"/>
                <w:lang w:val="en-US" w:eastAsia="zh-CN"/>
              </w:rPr>
              <w:t>配料：称量后的各种原料进行配料</w:t>
            </w:r>
            <w:r>
              <w:rPr>
                <w:rFonts w:hint="eastAsia"/>
              </w:rPr>
              <w:t>。</w:t>
            </w:r>
          </w:p>
          <w:p w14:paraId="0CFB47DF">
            <w:pPr>
              <w:spacing w:line="360" w:lineRule="auto"/>
              <w:ind w:firstLine="480" w:firstLineChars="200"/>
              <w:rPr>
                <w:rFonts w:hint="eastAsia"/>
              </w:rPr>
            </w:pPr>
            <w:r>
              <w:rPr>
                <w:rFonts w:hint="eastAsia"/>
                <w:lang w:val="en-US" w:eastAsia="zh-CN"/>
              </w:rPr>
              <w:t>6、真空乳化+过滤：将配好料的产品利用真空乳化剂进行乳化，同时加入纯水进行过滤</w:t>
            </w:r>
            <w:r>
              <w:rPr>
                <w:rFonts w:hint="eastAsia"/>
              </w:rPr>
              <w:t>。</w:t>
            </w:r>
          </w:p>
          <w:p w14:paraId="03A42884">
            <w:pPr>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lang w:val="en-US" w:eastAsia="zh-CN"/>
              </w:rPr>
              <w:t>7、充填+过滤：乳化后的产品</w:t>
            </w:r>
            <w:r>
              <w:rPr>
                <w:rFonts w:hint="eastAsia" w:ascii="Times New Roman" w:hAnsi="Times New Roman" w:eastAsia="宋体" w:cs="Times New Roman"/>
                <w:kern w:val="0"/>
                <w:szCs w:val="21"/>
                <w:lang w:eastAsia="zh"/>
                <w:woUserID w:val="2"/>
              </w:rPr>
              <w:t>凝胶灌装设备</w:t>
            </w:r>
            <w:r>
              <w:rPr>
                <w:rFonts w:hint="eastAsia" w:ascii="Times New Roman" w:hAnsi="Times New Roman" w:eastAsia="宋体" w:cs="Times New Roman"/>
                <w:kern w:val="0"/>
                <w:szCs w:val="21"/>
                <w:lang w:val="en-US" w:eastAsia="zh-CN"/>
                <w:woUserID w:val="2"/>
              </w:rPr>
              <w:t>进行充填。</w:t>
            </w:r>
          </w:p>
          <w:p w14:paraId="73A8A5BF">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8、金属检测：充填好的产品利用</w:t>
            </w:r>
            <w:r>
              <w:rPr>
                <w:rFonts w:hint="eastAsia" w:ascii="Times New Roman" w:hAnsi="Times New Roman" w:eastAsia="宋体" w:cs="Times New Roman"/>
                <w:kern w:val="0"/>
                <w:szCs w:val="21"/>
                <w:lang w:eastAsia="zh"/>
                <w:woUserID w:val="2"/>
              </w:rPr>
              <w:t>金属检测机</w:t>
            </w:r>
            <w:r>
              <w:rPr>
                <w:rFonts w:hint="eastAsia" w:ascii="Times New Roman" w:hAnsi="Times New Roman" w:eastAsia="宋体" w:cs="Times New Roman"/>
                <w:kern w:val="0"/>
                <w:szCs w:val="21"/>
                <w:lang w:val="en-US" w:eastAsia="zh-CN"/>
                <w:woUserID w:val="2"/>
              </w:rPr>
              <w:t>检测是否有金属。</w:t>
            </w:r>
          </w:p>
          <w:p w14:paraId="4F10F187">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9、定量称重：检测后的产品根据设计方案进行称重。</w:t>
            </w:r>
          </w:p>
          <w:p w14:paraId="353FC5F7">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10、隧道消杀：称重后的产品进入紫外隧道进行消杀处理。</w:t>
            </w:r>
          </w:p>
          <w:p w14:paraId="46817B8D">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11、包装：检测后的产品直接进行包装。</w:t>
            </w:r>
          </w:p>
          <w:p w14:paraId="7106462A">
            <w:pPr>
              <w:adjustRightInd w:val="0"/>
              <w:snapToGrid w:val="0"/>
              <w:spacing w:line="360" w:lineRule="auto"/>
              <w:ind w:firstLine="480" w:firstLineChars="200"/>
              <w:rPr>
                <w:rFonts w:hint="eastAsia" w:ascii="Times New Roman" w:hAnsi="Times New Roman" w:eastAsia="宋体" w:cs="Times New Roman"/>
                <w:kern w:val="0"/>
                <w:szCs w:val="21"/>
                <w:lang w:val="en-US" w:eastAsia="zh-CN"/>
                <w:woUserID w:val="2"/>
              </w:rPr>
            </w:pPr>
            <w:r>
              <w:rPr>
                <w:rFonts w:hint="eastAsia" w:ascii="Times New Roman" w:hAnsi="Times New Roman" w:eastAsia="宋体" w:cs="Times New Roman"/>
                <w:kern w:val="0"/>
                <w:szCs w:val="21"/>
                <w:lang w:val="en-US" w:eastAsia="zh-CN"/>
                <w:woUserID w:val="2"/>
              </w:rPr>
              <w:t>12、成品检验：封盒后的产品再次进行检验是否密封合格，合格的产品即为成品，入库</w:t>
            </w:r>
            <w:r>
              <w:rPr>
                <w:rFonts w:hint="eastAsia" w:cs="Times New Roman"/>
                <w:kern w:val="0"/>
                <w:szCs w:val="21"/>
                <w:lang w:val="en-US" w:eastAsia="zh-CN"/>
                <w:woUserID w:val="2"/>
              </w:rPr>
              <w:t>待售</w:t>
            </w:r>
            <w:r>
              <w:rPr>
                <w:rFonts w:hint="eastAsia" w:ascii="Times New Roman" w:hAnsi="Times New Roman" w:eastAsia="宋体" w:cs="Times New Roman"/>
                <w:kern w:val="0"/>
                <w:szCs w:val="21"/>
                <w:lang w:val="en-US" w:eastAsia="zh-CN"/>
                <w:woUserID w:val="2"/>
              </w:rPr>
              <w:t>，此过程会产生不合格品（S3-3）。</w:t>
            </w:r>
          </w:p>
          <w:p w14:paraId="7D553808">
            <w:pPr>
              <w:spacing w:line="360" w:lineRule="auto"/>
              <w:ind w:firstLine="480" w:firstLineChars="200"/>
              <w:rPr>
                <w:rFonts w:hint="default" w:ascii="Times New Roman" w:hAnsi="Times New Roman" w:eastAsia="宋体" w:cs="Times New Roman"/>
                <w:kern w:val="0"/>
                <w:szCs w:val="21"/>
                <w:lang w:val="en-US" w:eastAsia="zh-CN"/>
                <w:woUserID w:val="2"/>
              </w:rPr>
            </w:pPr>
          </w:p>
          <w:p w14:paraId="46763100">
            <w:pPr>
              <w:jc w:val="center"/>
              <w:rPr>
                <w:b/>
                <w:bCs/>
              </w:rPr>
            </w:pPr>
            <w:r>
              <w:rPr>
                <w:b/>
                <w:bCs/>
              </w:rPr>
              <w:t>表2</w:t>
            </w:r>
            <w:r>
              <w:rPr>
                <w:rFonts w:hint="eastAsia"/>
                <w:b/>
                <w:bCs/>
              </w:rPr>
              <w:t>.6</w:t>
            </w:r>
            <w:r>
              <w:rPr>
                <w:b/>
                <w:bCs/>
              </w:rPr>
              <w:t xml:space="preserve">  产污环节一览表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36"/>
              <w:gridCol w:w="1173"/>
              <w:gridCol w:w="1477"/>
              <w:gridCol w:w="2028"/>
              <w:gridCol w:w="1126"/>
            </w:tblGrid>
            <w:tr w14:paraId="5028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Align w:val="center"/>
                </w:tcPr>
                <w:p w14:paraId="00350138">
                  <w:pPr>
                    <w:jc w:val="center"/>
                    <w:rPr>
                      <w:b/>
                      <w:sz w:val="21"/>
                      <w:szCs w:val="21"/>
                    </w:rPr>
                  </w:pPr>
                  <w:r>
                    <w:rPr>
                      <w:rFonts w:hint="eastAsia"/>
                      <w:b/>
                      <w:sz w:val="21"/>
                      <w:szCs w:val="21"/>
                    </w:rPr>
                    <w:t>项目</w:t>
                  </w:r>
                </w:p>
              </w:tc>
              <w:tc>
                <w:tcPr>
                  <w:tcW w:w="1336" w:type="dxa"/>
                  <w:vAlign w:val="center"/>
                </w:tcPr>
                <w:p w14:paraId="2708A438">
                  <w:pPr>
                    <w:jc w:val="center"/>
                    <w:rPr>
                      <w:b/>
                      <w:sz w:val="21"/>
                      <w:szCs w:val="21"/>
                    </w:rPr>
                  </w:pPr>
                  <w:r>
                    <w:rPr>
                      <w:rFonts w:hint="eastAsia"/>
                      <w:b/>
                      <w:sz w:val="21"/>
                      <w:szCs w:val="21"/>
                    </w:rPr>
                    <w:t>污染物编号</w:t>
                  </w:r>
                </w:p>
              </w:tc>
              <w:tc>
                <w:tcPr>
                  <w:tcW w:w="1173" w:type="dxa"/>
                  <w:vAlign w:val="center"/>
                </w:tcPr>
                <w:p w14:paraId="521947E6">
                  <w:pPr>
                    <w:jc w:val="center"/>
                    <w:rPr>
                      <w:b/>
                      <w:sz w:val="21"/>
                      <w:szCs w:val="21"/>
                    </w:rPr>
                  </w:pPr>
                  <w:r>
                    <w:rPr>
                      <w:rFonts w:hint="eastAsia"/>
                      <w:b/>
                      <w:sz w:val="21"/>
                      <w:szCs w:val="21"/>
                    </w:rPr>
                    <w:t>产污环节</w:t>
                  </w:r>
                </w:p>
              </w:tc>
              <w:tc>
                <w:tcPr>
                  <w:tcW w:w="1477" w:type="dxa"/>
                  <w:vAlign w:val="center"/>
                </w:tcPr>
                <w:p w14:paraId="7FCAE2D8">
                  <w:pPr>
                    <w:jc w:val="center"/>
                    <w:rPr>
                      <w:b/>
                      <w:sz w:val="21"/>
                      <w:szCs w:val="21"/>
                    </w:rPr>
                  </w:pPr>
                  <w:r>
                    <w:rPr>
                      <w:rFonts w:hint="eastAsia"/>
                      <w:b/>
                      <w:sz w:val="21"/>
                      <w:szCs w:val="21"/>
                    </w:rPr>
                    <w:t>污染因子</w:t>
                  </w:r>
                </w:p>
              </w:tc>
              <w:tc>
                <w:tcPr>
                  <w:tcW w:w="2028" w:type="dxa"/>
                  <w:vAlign w:val="center"/>
                </w:tcPr>
                <w:p w14:paraId="38EF317D">
                  <w:pPr>
                    <w:jc w:val="center"/>
                    <w:rPr>
                      <w:b/>
                      <w:sz w:val="21"/>
                      <w:szCs w:val="21"/>
                    </w:rPr>
                  </w:pPr>
                  <w:r>
                    <w:rPr>
                      <w:rFonts w:hint="eastAsia"/>
                      <w:b/>
                      <w:sz w:val="21"/>
                      <w:szCs w:val="21"/>
                    </w:rPr>
                    <w:t>处理措施</w:t>
                  </w:r>
                </w:p>
              </w:tc>
              <w:tc>
                <w:tcPr>
                  <w:tcW w:w="1126" w:type="dxa"/>
                  <w:vAlign w:val="center"/>
                </w:tcPr>
                <w:p w14:paraId="413303D1">
                  <w:pPr>
                    <w:jc w:val="center"/>
                    <w:rPr>
                      <w:b/>
                      <w:sz w:val="21"/>
                      <w:szCs w:val="21"/>
                    </w:rPr>
                  </w:pPr>
                  <w:r>
                    <w:rPr>
                      <w:rFonts w:hint="eastAsia"/>
                      <w:b/>
                      <w:sz w:val="21"/>
                      <w:szCs w:val="21"/>
                    </w:rPr>
                    <w:t>排放去向</w:t>
                  </w:r>
                </w:p>
              </w:tc>
            </w:tr>
            <w:tr w14:paraId="077A0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restart"/>
                  <w:vAlign w:val="center"/>
                </w:tcPr>
                <w:p w14:paraId="4C5F9D50">
                  <w:pPr>
                    <w:jc w:val="center"/>
                    <w:rPr>
                      <w:bCs/>
                      <w:sz w:val="21"/>
                      <w:szCs w:val="21"/>
                    </w:rPr>
                  </w:pPr>
                  <w:r>
                    <w:rPr>
                      <w:rFonts w:hint="eastAsia"/>
                      <w:bCs/>
                      <w:sz w:val="21"/>
                      <w:szCs w:val="21"/>
                    </w:rPr>
                    <w:t>废气</w:t>
                  </w:r>
                </w:p>
              </w:tc>
              <w:tc>
                <w:tcPr>
                  <w:tcW w:w="1336" w:type="dxa"/>
                  <w:vAlign w:val="center"/>
                </w:tcPr>
                <w:p w14:paraId="2DF56D85">
                  <w:pPr>
                    <w:jc w:val="center"/>
                    <w:rPr>
                      <w:rFonts w:hint="default" w:eastAsia="宋体"/>
                      <w:bCs/>
                      <w:sz w:val="21"/>
                      <w:szCs w:val="21"/>
                      <w:lang w:val="en-US" w:eastAsia="zh-CN"/>
                    </w:rPr>
                  </w:pPr>
                  <w:r>
                    <w:rPr>
                      <w:rFonts w:hint="eastAsia"/>
                      <w:bCs/>
                      <w:sz w:val="21"/>
                      <w:szCs w:val="21"/>
                    </w:rPr>
                    <w:t>G1-1</w:t>
                  </w:r>
                  <w:r>
                    <w:rPr>
                      <w:rFonts w:hint="eastAsia"/>
                      <w:bCs/>
                      <w:sz w:val="21"/>
                      <w:szCs w:val="21"/>
                      <w:lang w:eastAsia="zh-CN"/>
                    </w:rPr>
                    <w:t>、</w:t>
                  </w:r>
                  <w:r>
                    <w:rPr>
                      <w:rFonts w:hint="eastAsia"/>
                      <w:bCs/>
                      <w:sz w:val="21"/>
                      <w:szCs w:val="21"/>
                      <w:lang w:val="en-US" w:eastAsia="zh-CN"/>
                    </w:rPr>
                    <w:t>G2-1、G3-1</w:t>
                  </w:r>
                </w:p>
              </w:tc>
              <w:tc>
                <w:tcPr>
                  <w:tcW w:w="1173" w:type="dxa"/>
                  <w:vAlign w:val="center"/>
                </w:tcPr>
                <w:p w14:paraId="377F806A">
                  <w:pPr>
                    <w:jc w:val="center"/>
                    <w:rPr>
                      <w:rFonts w:hint="eastAsia" w:eastAsia="宋体"/>
                      <w:bCs/>
                      <w:sz w:val="21"/>
                      <w:szCs w:val="21"/>
                      <w:lang w:eastAsia="zh-CN"/>
                    </w:rPr>
                  </w:pPr>
                  <w:r>
                    <w:rPr>
                      <w:rFonts w:hint="eastAsia"/>
                      <w:bCs/>
                      <w:sz w:val="21"/>
                      <w:szCs w:val="21"/>
                      <w:lang w:val="en-US" w:eastAsia="zh-CN"/>
                    </w:rPr>
                    <w:t>脱包</w:t>
                  </w:r>
                </w:p>
              </w:tc>
              <w:tc>
                <w:tcPr>
                  <w:tcW w:w="1477" w:type="dxa"/>
                  <w:vAlign w:val="center"/>
                </w:tcPr>
                <w:p w14:paraId="4552A268">
                  <w:pPr>
                    <w:jc w:val="center"/>
                    <w:rPr>
                      <w:bCs/>
                      <w:sz w:val="21"/>
                      <w:szCs w:val="21"/>
                    </w:rPr>
                  </w:pPr>
                  <w:r>
                    <w:rPr>
                      <w:rFonts w:hint="eastAsia"/>
                      <w:bCs/>
                      <w:sz w:val="21"/>
                      <w:szCs w:val="21"/>
                    </w:rPr>
                    <w:t>颗粒物</w:t>
                  </w:r>
                </w:p>
              </w:tc>
              <w:tc>
                <w:tcPr>
                  <w:tcW w:w="2028" w:type="dxa"/>
                  <w:vAlign w:val="center"/>
                </w:tcPr>
                <w:p w14:paraId="7A4F5567">
                  <w:pPr>
                    <w:jc w:val="center"/>
                    <w:rPr>
                      <w:rFonts w:hint="default" w:eastAsia="宋体"/>
                      <w:bCs/>
                      <w:sz w:val="21"/>
                      <w:szCs w:val="21"/>
                      <w:lang w:val="en-US" w:eastAsia="zh-CN"/>
                    </w:rPr>
                  </w:pPr>
                  <w:r>
                    <w:rPr>
                      <w:rFonts w:hint="eastAsia"/>
                      <w:bCs/>
                      <w:sz w:val="21"/>
                      <w:szCs w:val="21"/>
                      <w:lang w:val="en-US" w:eastAsia="zh-CN"/>
                    </w:rPr>
                    <w:t>密闭车间内</w:t>
                  </w:r>
                </w:p>
              </w:tc>
              <w:tc>
                <w:tcPr>
                  <w:tcW w:w="1126" w:type="dxa"/>
                  <w:vAlign w:val="center"/>
                </w:tcPr>
                <w:p w14:paraId="4DDF84AF">
                  <w:pPr>
                    <w:jc w:val="center"/>
                    <w:rPr>
                      <w:rFonts w:hint="default" w:eastAsia="宋体"/>
                      <w:bCs/>
                      <w:sz w:val="21"/>
                      <w:szCs w:val="21"/>
                      <w:lang w:val="en-US" w:eastAsia="zh-CN"/>
                    </w:rPr>
                  </w:pPr>
                  <w:r>
                    <w:rPr>
                      <w:rFonts w:hint="eastAsia"/>
                      <w:bCs/>
                      <w:sz w:val="21"/>
                      <w:szCs w:val="21"/>
                      <w:lang w:val="en-US" w:eastAsia="zh-CN"/>
                    </w:rPr>
                    <w:t>无组织</w:t>
                  </w:r>
                </w:p>
              </w:tc>
            </w:tr>
            <w:tr w14:paraId="5F27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vAlign w:val="center"/>
                </w:tcPr>
                <w:p w14:paraId="120B7021">
                  <w:pPr>
                    <w:jc w:val="center"/>
                    <w:rPr>
                      <w:rFonts w:hint="eastAsia"/>
                      <w:bCs/>
                      <w:sz w:val="21"/>
                      <w:szCs w:val="21"/>
                    </w:rPr>
                  </w:pPr>
                </w:p>
              </w:tc>
              <w:tc>
                <w:tcPr>
                  <w:tcW w:w="1336" w:type="dxa"/>
                  <w:vAlign w:val="center"/>
                </w:tcPr>
                <w:p w14:paraId="7364B6F9">
                  <w:pPr>
                    <w:jc w:val="center"/>
                    <w:rPr>
                      <w:rFonts w:hint="default" w:eastAsia="宋体"/>
                      <w:bCs/>
                      <w:sz w:val="21"/>
                      <w:szCs w:val="21"/>
                      <w:lang w:val="en-US" w:eastAsia="zh-CN"/>
                    </w:rPr>
                  </w:pPr>
                  <w:r>
                    <w:rPr>
                      <w:rFonts w:hint="eastAsia"/>
                      <w:bCs/>
                      <w:sz w:val="21"/>
                      <w:szCs w:val="21"/>
                      <w:lang w:val="en-US" w:eastAsia="zh-CN"/>
                    </w:rPr>
                    <w:t>G1-2、G2-2</w:t>
                  </w:r>
                </w:p>
              </w:tc>
              <w:tc>
                <w:tcPr>
                  <w:tcW w:w="1173" w:type="dxa"/>
                  <w:vAlign w:val="center"/>
                </w:tcPr>
                <w:p w14:paraId="0D7897D2">
                  <w:pPr>
                    <w:jc w:val="center"/>
                    <w:rPr>
                      <w:rFonts w:hint="default" w:eastAsia="宋体"/>
                      <w:bCs/>
                      <w:sz w:val="21"/>
                      <w:szCs w:val="21"/>
                      <w:lang w:val="en-US" w:eastAsia="zh-CN"/>
                    </w:rPr>
                  </w:pPr>
                  <w:r>
                    <w:rPr>
                      <w:rFonts w:hint="eastAsia"/>
                      <w:bCs/>
                      <w:sz w:val="21"/>
                      <w:szCs w:val="21"/>
                      <w:lang w:val="en-US" w:eastAsia="zh-CN"/>
                    </w:rPr>
                    <w:t>过筛</w:t>
                  </w:r>
                </w:p>
              </w:tc>
              <w:tc>
                <w:tcPr>
                  <w:tcW w:w="1477" w:type="dxa"/>
                  <w:vAlign w:val="center"/>
                </w:tcPr>
                <w:p w14:paraId="5C97A36C">
                  <w:pPr>
                    <w:jc w:val="center"/>
                    <w:rPr>
                      <w:rFonts w:hint="eastAsia" w:eastAsia="宋体"/>
                      <w:bCs/>
                      <w:sz w:val="21"/>
                      <w:szCs w:val="21"/>
                      <w:lang w:val="en-US" w:eastAsia="zh-CN"/>
                    </w:rPr>
                  </w:pPr>
                  <w:r>
                    <w:rPr>
                      <w:rFonts w:hint="eastAsia" w:eastAsia="宋体"/>
                      <w:bCs/>
                      <w:sz w:val="21"/>
                      <w:szCs w:val="21"/>
                      <w:lang w:val="en-US" w:eastAsia="zh-CN"/>
                    </w:rPr>
                    <w:t>颗粒物</w:t>
                  </w:r>
                </w:p>
              </w:tc>
              <w:tc>
                <w:tcPr>
                  <w:tcW w:w="2028" w:type="dxa"/>
                  <w:vAlign w:val="center"/>
                </w:tcPr>
                <w:p w14:paraId="005A8E9C">
                  <w:pPr>
                    <w:jc w:val="center"/>
                    <w:rPr>
                      <w:rFonts w:hint="default" w:eastAsia="宋体"/>
                      <w:color w:val="000000"/>
                      <w:sz w:val="21"/>
                      <w:szCs w:val="21"/>
                      <w:lang w:val="en-US" w:eastAsia="zh-CN"/>
                    </w:rPr>
                  </w:pPr>
                  <w:r>
                    <w:rPr>
                      <w:rFonts w:hint="eastAsia"/>
                      <w:color w:val="000000"/>
                      <w:sz w:val="21"/>
                      <w:szCs w:val="21"/>
                      <w:lang w:val="en-US" w:eastAsia="zh-CN"/>
                    </w:rPr>
                    <w:t>密闭车间内</w:t>
                  </w:r>
                </w:p>
              </w:tc>
              <w:tc>
                <w:tcPr>
                  <w:tcW w:w="1126" w:type="dxa"/>
                  <w:vAlign w:val="center"/>
                </w:tcPr>
                <w:p w14:paraId="14289CFE">
                  <w:pPr>
                    <w:jc w:val="center"/>
                    <w:rPr>
                      <w:rFonts w:hint="eastAsia" w:eastAsia="宋体"/>
                      <w:bCs/>
                      <w:sz w:val="21"/>
                      <w:szCs w:val="21"/>
                      <w:lang w:val="en-US" w:eastAsia="zh-CN"/>
                    </w:rPr>
                  </w:pPr>
                  <w:r>
                    <w:rPr>
                      <w:rFonts w:hint="eastAsia"/>
                      <w:bCs/>
                      <w:sz w:val="21"/>
                      <w:szCs w:val="21"/>
                      <w:lang w:val="en-US" w:eastAsia="zh-CN"/>
                    </w:rPr>
                    <w:t>无组织</w:t>
                  </w:r>
                </w:p>
              </w:tc>
            </w:tr>
            <w:tr w14:paraId="11C6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vAlign w:val="center"/>
                </w:tcPr>
                <w:p w14:paraId="124681CD">
                  <w:pPr>
                    <w:jc w:val="center"/>
                    <w:rPr>
                      <w:rFonts w:hint="eastAsia"/>
                      <w:bCs/>
                      <w:sz w:val="21"/>
                      <w:szCs w:val="21"/>
                    </w:rPr>
                  </w:pPr>
                </w:p>
              </w:tc>
              <w:tc>
                <w:tcPr>
                  <w:tcW w:w="1336" w:type="dxa"/>
                  <w:vAlign w:val="center"/>
                </w:tcPr>
                <w:p w14:paraId="334A6775">
                  <w:pPr>
                    <w:jc w:val="center"/>
                    <w:rPr>
                      <w:rFonts w:hint="default"/>
                      <w:bCs/>
                      <w:sz w:val="21"/>
                      <w:szCs w:val="21"/>
                      <w:lang w:val="en-US" w:eastAsia="zh-CN"/>
                    </w:rPr>
                  </w:pPr>
                  <w:r>
                    <w:rPr>
                      <w:rFonts w:hint="eastAsia"/>
                      <w:bCs/>
                      <w:sz w:val="21"/>
                      <w:szCs w:val="21"/>
                      <w:lang w:val="en-US" w:eastAsia="zh-CN"/>
                    </w:rPr>
                    <w:t>G1-3、G2-3</w:t>
                  </w:r>
                </w:p>
              </w:tc>
              <w:tc>
                <w:tcPr>
                  <w:tcW w:w="1173" w:type="dxa"/>
                  <w:vAlign w:val="center"/>
                </w:tcPr>
                <w:p w14:paraId="2A11953C">
                  <w:pPr>
                    <w:jc w:val="center"/>
                    <w:rPr>
                      <w:rFonts w:hint="default"/>
                      <w:bCs/>
                      <w:sz w:val="21"/>
                      <w:szCs w:val="21"/>
                      <w:lang w:val="en-US" w:eastAsia="zh-CN"/>
                    </w:rPr>
                  </w:pPr>
                  <w:r>
                    <w:rPr>
                      <w:rFonts w:hint="eastAsia"/>
                      <w:bCs/>
                      <w:sz w:val="21"/>
                      <w:szCs w:val="21"/>
                      <w:lang w:val="en-US" w:eastAsia="zh-CN"/>
                    </w:rPr>
                    <w:t>装盒、封盒</w:t>
                  </w:r>
                </w:p>
              </w:tc>
              <w:tc>
                <w:tcPr>
                  <w:tcW w:w="1477" w:type="dxa"/>
                  <w:vAlign w:val="center"/>
                </w:tcPr>
                <w:p w14:paraId="7289637F">
                  <w:pPr>
                    <w:jc w:val="center"/>
                    <w:rPr>
                      <w:rFonts w:hint="default" w:eastAsia="宋体"/>
                      <w:bCs/>
                      <w:sz w:val="21"/>
                      <w:szCs w:val="21"/>
                      <w:lang w:val="en-US" w:eastAsia="zh-CN"/>
                    </w:rPr>
                  </w:pPr>
                  <w:r>
                    <w:rPr>
                      <w:rFonts w:hint="eastAsia" w:eastAsia="宋体"/>
                      <w:bCs/>
                      <w:sz w:val="21"/>
                      <w:szCs w:val="21"/>
                      <w:lang w:val="en-US" w:eastAsia="zh-CN"/>
                    </w:rPr>
                    <w:t>非甲烷总烃</w:t>
                  </w:r>
                </w:p>
              </w:tc>
              <w:tc>
                <w:tcPr>
                  <w:tcW w:w="2028" w:type="dxa"/>
                  <w:vAlign w:val="center"/>
                </w:tcPr>
                <w:p w14:paraId="1E84182B">
                  <w:pPr>
                    <w:jc w:val="center"/>
                    <w:rPr>
                      <w:rFonts w:hint="default"/>
                      <w:color w:val="000000"/>
                      <w:sz w:val="21"/>
                      <w:szCs w:val="21"/>
                      <w:lang w:val="en-US" w:eastAsia="zh-CN"/>
                    </w:rPr>
                  </w:pPr>
                  <w:r>
                    <w:rPr>
                      <w:rFonts w:hint="eastAsia"/>
                      <w:color w:val="000000"/>
                      <w:sz w:val="21"/>
                      <w:szCs w:val="21"/>
                      <w:lang w:val="en-US" w:eastAsia="zh-CN"/>
                    </w:rPr>
                    <w:t>/</w:t>
                  </w:r>
                </w:p>
              </w:tc>
              <w:tc>
                <w:tcPr>
                  <w:tcW w:w="1126" w:type="dxa"/>
                  <w:vAlign w:val="center"/>
                </w:tcPr>
                <w:p w14:paraId="469A707B">
                  <w:pPr>
                    <w:jc w:val="center"/>
                    <w:rPr>
                      <w:rFonts w:hint="default"/>
                      <w:bCs/>
                      <w:sz w:val="21"/>
                      <w:szCs w:val="21"/>
                      <w:lang w:val="en-US" w:eastAsia="zh-CN"/>
                    </w:rPr>
                  </w:pPr>
                  <w:r>
                    <w:rPr>
                      <w:rFonts w:hint="eastAsia"/>
                      <w:bCs/>
                      <w:sz w:val="21"/>
                      <w:szCs w:val="21"/>
                      <w:lang w:val="en-US" w:eastAsia="zh-CN"/>
                    </w:rPr>
                    <w:t>无组织</w:t>
                  </w:r>
                </w:p>
              </w:tc>
            </w:tr>
            <w:tr w14:paraId="3431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795" w:type="dxa"/>
                  <w:vMerge w:val="restart"/>
                  <w:vAlign w:val="center"/>
                </w:tcPr>
                <w:p w14:paraId="5AB3BD97">
                  <w:pPr>
                    <w:jc w:val="center"/>
                    <w:rPr>
                      <w:bCs/>
                      <w:sz w:val="21"/>
                      <w:szCs w:val="21"/>
                    </w:rPr>
                  </w:pPr>
                  <w:r>
                    <w:rPr>
                      <w:rFonts w:hint="eastAsia"/>
                      <w:bCs/>
                      <w:sz w:val="21"/>
                      <w:szCs w:val="21"/>
                    </w:rPr>
                    <w:t>废水</w:t>
                  </w:r>
                </w:p>
              </w:tc>
              <w:tc>
                <w:tcPr>
                  <w:tcW w:w="1336" w:type="dxa"/>
                  <w:vAlign w:val="center"/>
                </w:tcPr>
                <w:p w14:paraId="60E30938">
                  <w:pPr>
                    <w:jc w:val="center"/>
                    <w:rPr>
                      <w:bCs/>
                      <w:sz w:val="21"/>
                      <w:szCs w:val="21"/>
                    </w:rPr>
                  </w:pPr>
                  <w:r>
                    <w:rPr>
                      <w:rFonts w:hint="eastAsia"/>
                      <w:bCs/>
                      <w:sz w:val="21"/>
                      <w:szCs w:val="21"/>
                    </w:rPr>
                    <w:t>/</w:t>
                  </w:r>
                </w:p>
              </w:tc>
              <w:tc>
                <w:tcPr>
                  <w:tcW w:w="1173" w:type="dxa"/>
                  <w:vAlign w:val="center"/>
                </w:tcPr>
                <w:p w14:paraId="5918BA40">
                  <w:pPr>
                    <w:jc w:val="center"/>
                    <w:rPr>
                      <w:bCs/>
                      <w:sz w:val="21"/>
                      <w:szCs w:val="21"/>
                    </w:rPr>
                  </w:pPr>
                  <w:r>
                    <w:rPr>
                      <w:rFonts w:hint="eastAsia"/>
                      <w:bCs/>
                      <w:sz w:val="21"/>
                      <w:szCs w:val="21"/>
                    </w:rPr>
                    <w:t>生活污水</w:t>
                  </w:r>
                </w:p>
              </w:tc>
              <w:tc>
                <w:tcPr>
                  <w:tcW w:w="1477" w:type="dxa"/>
                  <w:vAlign w:val="center"/>
                </w:tcPr>
                <w:p w14:paraId="7F4E6B41">
                  <w:pPr>
                    <w:jc w:val="center"/>
                    <w:rPr>
                      <w:bCs/>
                      <w:sz w:val="21"/>
                      <w:szCs w:val="21"/>
                    </w:rPr>
                  </w:pPr>
                  <w:r>
                    <w:rPr>
                      <w:rFonts w:hint="eastAsia"/>
                      <w:bCs/>
                      <w:sz w:val="21"/>
                      <w:szCs w:val="21"/>
                    </w:rPr>
                    <w:t>p</w:t>
                  </w:r>
                  <w:r>
                    <w:rPr>
                      <w:bCs/>
                      <w:sz w:val="21"/>
                      <w:szCs w:val="21"/>
                    </w:rPr>
                    <w:t>H</w:t>
                  </w:r>
                  <w:r>
                    <w:rPr>
                      <w:rFonts w:hint="eastAsia"/>
                      <w:bCs/>
                      <w:sz w:val="21"/>
                      <w:szCs w:val="21"/>
                    </w:rPr>
                    <w:t>、C</w:t>
                  </w:r>
                  <w:r>
                    <w:rPr>
                      <w:bCs/>
                      <w:sz w:val="21"/>
                      <w:szCs w:val="21"/>
                    </w:rPr>
                    <w:t>OD</w:t>
                  </w:r>
                  <w:r>
                    <w:rPr>
                      <w:rFonts w:hint="eastAsia"/>
                      <w:bCs/>
                      <w:sz w:val="21"/>
                      <w:szCs w:val="21"/>
                    </w:rPr>
                    <w:t>、B</w:t>
                  </w:r>
                  <w:r>
                    <w:rPr>
                      <w:bCs/>
                      <w:sz w:val="21"/>
                      <w:szCs w:val="21"/>
                    </w:rPr>
                    <w:t>OD</w:t>
                  </w:r>
                  <w:r>
                    <w:rPr>
                      <w:bCs/>
                      <w:sz w:val="21"/>
                      <w:szCs w:val="21"/>
                      <w:vertAlign w:val="subscript"/>
                    </w:rPr>
                    <w:t>5</w:t>
                  </w:r>
                  <w:r>
                    <w:rPr>
                      <w:rFonts w:hint="eastAsia"/>
                      <w:bCs/>
                      <w:sz w:val="21"/>
                      <w:szCs w:val="21"/>
                    </w:rPr>
                    <w:t>、S</w:t>
                  </w:r>
                  <w:r>
                    <w:rPr>
                      <w:bCs/>
                      <w:sz w:val="21"/>
                      <w:szCs w:val="21"/>
                    </w:rPr>
                    <w:t>S</w:t>
                  </w:r>
                  <w:r>
                    <w:rPr>
                      <w:rFonts w:hint="eastAsia"/>
                      <w:bCs/>
                      <w:sz w:val="21"/>
                      <w:szCs w:val="21"/>
                    </w:rPr>
                    <w:t>、N</w:t>
                  </w:r>
                  <w:r>
                    <w:rPr>
                      <w:bCs/>
                      <w:sz w:val="21"/>
                      <w:szCs w:val="21"/>
                    </w:rPr>
                    <w:t>H</w:t>
                  </w:r>
                  <w:r>
                    <w:rPr>
                      <w:bCs/>
                      <w:sz w:val="21"/>
                      <w:szCs w:val="21"/>
                      <w:vertAlign w:val="subscript"/>
                    </w:rPr>
                    <w:t>3</w:t>
                  </w:r>
                  <w:r>
                    <w:rPr>
                      <w:bCs/>
                      <w:sz w:val="21"/>
                      <w:szCs w:val="21"/>
                    </w:rPr>
                    <w:t>-N</w:t>
                  </w:r>
                </w:p>
              </w:tc>
              <w:tc>
                <w:tcPr>
                  <w:tcW w:w="2028" w:type="dxa"/>
                  <w:vAlign w:val="center"/>
                </w:tcPr>
                <w:p w14:paraId="724CCBDD">
                  <w:pPr>
                    <w:jc w:val="center"/>
                    <w:rPr>
                      <w:rFonts w:cs="宋体"/>
                      <w:kern w:val="0"/>
                      <w:sz w:val="21"/>
                      <w:szCs w:val="21"/>
                    </w:rPr>
                  </w:pPr>
                  <w:r>
                    <w:rPr>
                      <w:rFonts w:hint="eastAsia" w:cs="宋体"/>
                      <w:kern w:val="0"/>
                      <w:sz w:val="21"/>
                      <w:szCs w:val="21"/>
                    </w:rPr>
                    <w:t>经化粪池处理后经污水管网排入</w:t>
                  </w:r>
                  <w:r>
                    <w:rPr>
                      <w:rFonts w:hint="eastAsia" w:cs="宋体"/>
                      <w:kern w:val="0"/>
                      <w:sz w:val="21"/>
                      <w:szCs w:val="21"/>
                      <w:lang w:val="en-US" w:eastAsia="zh-CN"/>
                    </w:rPr>
                    <w:t>汴北</w:t>
                  </w:r>
                  <w:r>
                    <w:rPr>
                      <w:rFonts w:hint="eastAsia"/>
                      <w:sz w:val="21"/>
                      <w:szCs w:val="21"/>
                    </w:rPr>
                    <w:t>污水处理厂</w:t>
                  </w:r>
                </w:p>
              </w:tc>
              <w:tc>
                <w:tcPr>
                  <w:tcW w:w="1126" w:type="dxa"/>
                  <w:vAlign w:val="center"/>
                </w:tcPr>
                <w:p w14:paraId="24E42283">
                  <w:pPr>
                    <w:jc w:val="center"/>
                    <w:rPr>
                      <w:sz w:val="21"/>
                      <w:szCs w:val="21"/>
                    </w:rPr>
                  </w:pPr>
                  <w:r>
                    <w:rPr>
                      <w:rFonts w:hint="eastAsia"/>
                      <w:sz w:val="21"/>
                      <w:szCs w:val="21"/>
                    </w:rPr>
                    <w:t>DW001</w:t>
                  </w:r>
                </w:p>
              </w:tc>
            </w:tr>
            <w:tr w14:paraId="1CE9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vAlign w:val="center"/>
                </w:tcPr>
                <w:p w14:paraId="4EF5BE85">
                  <w:pPr>
                    <w:jc w:val="center"/>
                    <w:rPr>
                      <w:bCs/>
                      <w:sz w:val="21"/>
                      <w:szCs w:val="21"/>
                    </w:rPr>
                  </w:pPr>
                </w:p>
              </w:tc>
              <w:tc>
                <w:tcPr>
                  <w:tcW w:w="1336" w:type="dxa"/>
                  <w:vAlign w:val="center"/>
                </w:tcPr>
                <w:p w14:paraId="085D3908">
                  <w:pPr>
                    <w:jc w:val="center"/>
                    <w:rPr>
                      <w:bCs/>
                      <w:sz w:val="21"/>
                      <w:szCs w:val="21"/>
                    </w:rPr>
                  </w:pPr>
                  <w:r>
                    <w:rPr>
                      <w:rFonts w:hint="eastAsia"/>
                      <w:bCs/>
                      <w:sz w:val="21"/>
                      <w:szCs w:val="21"/>
                      <w:lang w:val="en-US" w:eastAsia="zh-CN"/>
                    </w:rPr>
                    <w:t>W3-1</w:t>
                  </w:r>
                </w:p>
              </w:tc>
              <w:tc>
                <w:tcPr>
                  <w:tcW w:w="1173" w:type="dxa"/>
                  <w:vAlign w:val="center"/>
                </w:tcPr>
                <w:p w14:paraId="4E8D8917">
                  <w:pPr>
                    <w:jc w:val="center"/>
                    <w:rPr>
                      <w:rFonts w:hint="default"/>
                      <w:bCs/>
                      <w:sz w:val="21"/>
                      <w:szCs w:val="21"/>
                      <w:lang w:val="en-US"/>
                    </w:rPr>
                  </w:pPr>
                  <w:r>
                    <w:rPr>
                      <w:rFonts w:hint="eastAsia"/>
                      <w:bCs/>
                      <w:sz w:val="21"/>
                      <w:szCs w:val="21"/>
                      <w:lang w:val="en-US" w:eastAsia="zh-CN"/>
                    </w:rPr>
                    <w:t>纯水制备产生浓水</w:t>
                  </w:r>
                </w:p>
              </w:tc>
              <w:tc>
                <w:tcPr>
                  <w:tcW w:w="1477" w:type="dxa"/>
                  <w:vAlign w:val="center"/>
                </w:tcPr>
                <w:p w14:paraId="79C9BBE1">
                  <w:pPr>
                    <w:jc w:val="center"/>
                    <w:rPr>
                      <w:bCs/>
                      <w:sz w:val="21"/>
                      <w:szCs w:val="21"/>
                    </w:rPr>
                  </w:pPr>
                  <w:r>
                    <w:rPr>
                      <w:rFonts w:hint="eastAsia"/>
                      <w:bCs/>
                      <w:sz w:val="21"/>
                      <w:szCs w:val="21"/>
                    </w:rPr>
                    <w:t>p</w:t>
                  </w:r>
                  <w:r>
                    <w:rPr>
                      <w:bCs/>
                      <w:sz w:val="21"/>
                      <w:szCs w:val="21"/>
                    </w:rPr>
                    <w:t>H</w:t>
                  </w:r>
                  <w:r>
                    <w:rPr>
                      <w:rFonts w:hint="eastAsia"/>
                      <w:bCs/>
                      <w:sz w:val="21"/>
                      <w:szCs w:val="21"/>
                    </w:rPr>
                    <w:t>、C</w:t>
                  </w:r>
                  <w:r>
                    <w:rPr>
                      <w:bCs/>
                      <w:sz w:val="21"/>
                      <w:szCs w:val="21"/>
                    </w:rPr>
                    <w:t>OD</w:t>
                  </w:r>
                  <w:r>
                    <w:rPr>
                      <w:rFonts w:hint="eastAsia"/>
                      <w:bCs/>
                      <w:sz w:val="21"/>
                      <w:szCs w:val="21"/>
                    </w:rPr>
                    <w:t>、全盐量</w:t>
                  </w:r>
                </w:p>
              </w:tc>
              <w:tc>
                <w:tcPr>
                  <w:tcW w:w="2028" w:type="dxa"/>
                  <w:vAlign w:val="center"/>
                </w:tcPr>
                <w:p w14:paraId="1F1648F3">
                  <w:pPr>
                    <w:jc w:val="center"/>
                    <w:rPr>
                      <w:rFonts w:hint="default" w:eastAsia="宋体" w:cs="宋体"/>
                      <w:kern w:val="0"/>
                      <w:sz w:val="21"/>
                      <w:szCs w:val="21"/>
                      <w:lang w:val="en-US" w:eastAsia="zh-CN"/>
                    </w:rPr>
                  </w:pPr>
                  <w:r>
                    <w:rPr>
                      <w:rFonts w:hint="eastAsia" w:cs="宋体"/>
                      <w:kern w:val="0"/>
                      <w:sz w:val="21"/>
                      <w:szCs w:val="21"/>
                      <w:lang w:val="en-US" w:eastAsia="zh-CN"/>
                    </w:rPr>
                    <w:t>/</w:t>
                  </w:r>
                </w:p>
              </w:tc>
              <w:tc>
                <w:tcPr>
                  <w:tcW w:w="1126" w:type="dxa"/>
                  <w:vAlign w:val="center"/>
                </w:tcPr>
                <w:p w14:paraId="08D41157">
                  <w:pPr>
                    <w:jc w:val="center"/>
                    <w:rPr>
                      <w:sz w:val="21"/>
                      <w:szCs w:val="21"/>
                    </w:rPr>
                  </w:pPr>
                  <w:r>
                    <w:rPr>
                      <w:rFonts w:hint="eastAsia" w:cs="宋体"/>
                      <w:kern w:val="0"/>
                      <w:sz w:val="21"/>
                      <w:szCs w:val="21"/>
                      <w:lang w:val="en-US" w:eastAsia="zh-CN"/>
                    </w:rPr>
                    <w:t>园区绿化</w:t>
                  </w:r>
                </w:p>
              </w:tc>
            </w:tr>
            <w:tr w14:paraId="1D55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Align w:val="center"/>
                </w:tcPr>
                <w:p w14:paraId="4A64991E">
                  <w:pPr>
                    <w:jc w:val="center"/>
                    <w:rPr>
                      <w:bCs/>
                      <w:sz w:val="21"/>
                      <w:szCs w:val="21"/>
                    </w:rPr>
                  </w:pPr>
                  <w:r>
                    <w:rPr>
                      <w:rFonts w:hint="eastAsia"/>
                      <w:bCs/>
                      <w:sz w:val="21"/>
                      <w:szCs w:val="21"/>
                    </w:rPr>
                    <w:t>噪声</w:t>
                  </w:r>
                </w:p>
              </w:tc>
              <w:tc>
                <w:tcPr>
                  <w:tcW w:w="1336" w:type="dxa"/>
                  <w:vAlign w:val="center"/>
                </w:tcPr>
                <w:p w14:paraId="0C7B3D4B">
                  <w:pPr>
                    <w:jc w:val="center"/>
                    <w:rPr>
                      <w:bCs/>
                      <w:sz w:val="21"/>
                      <w:szCs w:val="21"/>
                    </w:rPr>
                  </w:pPr>
                  <w:r>
                    <w:rPr>
                      <w:rFonts w:hint="eastAsia"/>
                      <w:bCs/>
                      <w:sz w:val="21"/>
                      <w:szCs w:val="21"/>
                    </w:rPr>
                    <w:t>/</w:t>
                  </w:r>
                </w:p>
              </w:tc>
              <w:tc>
                <w:tcPr>
                  <w:tcW w:w="1173" w:type="dxa"/>
                  <w:vAlign w:val="center"/>
                </w:tcPr>
                <w:p w14:paraId="283A06F1">
                  <w:pPr>
                    <w:jc w:val="center"/>
                    <w:rPr>
                      <w:bCs/>
                      <w:sz w:val="21"/>
                      <w:szCs w:val="21"/>
                    </w:rPr>
                  </w:pPr>
                  <w:r>
                    <w:rPr>
                      <w:rFonts w:hint="eastAsia"/>
                      <w:bCs/>
                      <w:sz w:val="21"/>
                      <w:szCs w:val="21"/>
                    </w:rPr>
                    <w:t>设备运转</w:t>
                  </w:r>
                </w:p>
              </w:tc>
              <w:tc>
                <w:tcPr>
                  <w:tcW w:w="1477" w:type="dxa"/>
                  <w:vAlign w:val="center"/>
                </w:tcPr>
                <w:p w14:paraId="735B5100">
                  <w:pPr>
                    <w:jc w:val="center"/>
                    <w:rPr>
                      <w:bCs/>
                      <w:sz w:val="21"/>
                      <w:szCs w:val="21"/>
                    </w:rPr>
                  </w:pPr>
                  <w:r>
                    <w:rPr>
                      <w:sz w:val="21"/>
                      <w:szCs w:val="21"/>
                    </w:rPr>
                    <w:t>噪声</w:t>
                  </w:r>
                </w:p>
              </w:tc>
              <w:tc>
                <w:tcPr>
                  <w:tcW w:w="2028" w:type="dxa"/>
                  <w:vAlign w:val="center"/>
                </w:tcPr>
                <w:p w14:paraId="6BDAF607">
                  <w:pPr>
                    <w:jc w:val="center"/>
                    <w:rPr>
                      <w:bCs/>
                      <w:sz w:val="21"/>
                      <w:szCs w:val="21"/>
                    </w:rPr>
                  </w:pPr>
                  <w:r>
                    <w:rPr>
                      <w:sz w:val="21"/>
                      <w:szCs w:val="21"/>
                    </w:rPr>
                    <w:t>选用低噪声设备，并安装减振垫</w:t>
                  </w:r>
                </w:p>
              </w:tc>
              <w:tc>
                <w:tcPr>
                  <w:tcW w:w="1126" w:type="dxa"/>
                  <w:vAlign w:val="center"/>
                </w:tcPr>
                <w:p w14:paraId="302A79B7">
                  <w:pPr>
                    <w:jc w:val="center"/>
                    <w:rPr>
                      <w:sz w:val="21"/>
                      <w:szCs w:val="21"/>
                    </w:rPr>
                  </w:pPr>
                  <w:r>
                    <w:rPr>
                      <w:rFonts w:hint="eastAsia"/>
                      <w:sz w:val="21"/>
                      <w:szCs w:val="21"/>
                    </w:rPr>
                    <w:t>/</w:t>
                  </w:r>
                </w:p>
              </w:tc>
            </w:tr>
            <w:tr w14:paraId="5469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restart"/>
                  <w:vAlign w:val="center"/>
                </w:tcPr>
                <w:p w14:paraId="596C1DDB">
                  <w:pPr>
                    <w:jc w:val="center"/>
                    <w:rPr>
                      <w:bCs/>
                      <w:sz w:val="21"/>
                      <w:szCs w:val="21"/>
                    </w:rPr>
                  </w:pPr>
                  <w:r>
                    <w:rPr>
                      <w:rFonts w:hint="eastAsia"/>
                      <w:bCs/>
                      <w:sz w:val="21"/>
                      <w:szCs w:val="21"/>
                    </w:rPr>
                    <w:t>固废</w:t>
                  </w:r>
                </w:p>
              </w:tc>
              <w:tc>
                <w:tcPr>
                  <w:tcW w:w="1336" w:type="dxa"/>
                  <w:vAlign w:val="center"/>
                </w:tcPr>
                <w:p w14:paraId="3650DBC9">
                  <w:pPr>
                    <w:jc w:val="center"/>
                    <w:rPr>
                      <w:bCs/>
                      <w:sz w:val="21"/>
                      <w:szCs w:val="21"/>
                    </w:rPr>
                  </w:pPr>
                  <w:r>
                    <w:rPr>
                      <w:rFonts w:hint="eastAsia"/>
                      <w:bCs/>
                      <w:sz w:val="21"/>
                      <w:szCs w:val="21"/>
                    </w:rPr>
                    <w:t>/</w:t>
                  </w:r>
                </w:p>
              </w:tc>
              <w:tc>
                <w:tcPr>
                  <w:tcW w:w="1173" w:type="dxa"/>
                  <w:vAlign w:val="center"/>
                </w:tcPr>
                <w:p w14:paraId="3D0E289D">
                  <w:pPr>
                    <w:jc w:val="center"/>
                    <w:rPr>
                      <w:bCs/>
                      <w:sz w:val="21"/>
                      <w:szCs w:val="21"/>
                    </w:rPr>
                  </w:pPr>
                  <w:r>
                    <w:rPr>
                      <w:rFonts w:hint="eastAsia"/>
                      <w:bCs/>
                      <w:sz w:val="21"/>
                      <w:szCs w:val="21"/>
                    </w:rPr>
                    <w:t>日常生活</w:t>
                  </w:r>
                </w:p>
              </w:tc>
              <w:tc>
                <w:tcPr>
                  <w:tcW w:w="1477" w:type="dxa"/>
                  <w:vAlign w:val="center"/>
                </w:tcPr>
                <w:p w14:paraId="3036A0E7">
                  <w:pPr>
                    <w:jc w:val="center"/>
                    <w:rPr>
                      <w:bCs/>
                      <w:sz w:val="21"/>
                      <w:szCs w:val="21"/>
                    </w:rPr>
                  </w:pPr>
                  <w:r>
                    <w:rPr>
                      <w:rFonts w:hint="eastAsia"/>
                      <w:bCs/>
                      <w:sz w:val="21"/>
                      <w:szCs w:val="21"/>
                    </w:rPr>
                    <w:t>生活垃圾</w:t>
                  </w:r>
                </w:p>
              </w:tc>
              <w:tc>
                <w:tcPr>
                  <w:tcW w:w="2028" w:type="dxa"/>
                  <w:vAlign w:val="center"/>
                </w:tcPr>
                <w:p w14:paraId="247DF88C">
                  <w:pPr>
                    <w:jc w:val="center"/>
                    <w:rPr>
                      <w:bCs/>
                      <w:sz w:val="21"/>
                      <w:szCs w:val="21"/>
                    </w:rPr>
                  </w:pPr>
                  <w:r>
                    <w:rPr>
                      <w:color w:val="000000"/>
                      <w:sz w:val="21"/>
                      <w:szCs w:val="21"/>
                    </w:rPr>
                    <w:t>设置垃圾桶，定期清理</w:t>
                  </w:r>
                </w:p>
              </w:tc>
              <w:tc>
                <w:tcPr>
                  <w:tcW w:w="1126" w:type="dxa"/>
                  <w:vAlign w:val="center"/>
                </w:tcPr>
                <w:p w14:paraId="4B5A9AAE">
                  <w:pPr>
                    <w:jc w:val="center"/>
                    <w:rPr>
                      <w:bCs/>
                      <w:sz w:val="21"/>
                      <w:szCs w:val="21"/>
                    </w:rPr>
                  </w:pPr>
                  <w:r>
                    <w:rPr>
                      <w:color w:val="000000"/>
                      <w:sz w:val="21"/>
                      <w:szCs w:val="21"/>
                    </w:rPr>
                    <w:t>交环卫部门处理</w:t>
                  </w:r>
                </w:p>
              </w:tc>
            </w:tr>
            <w:tr w14:paraId="5F10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vAlign w:val="center"/>
                </w:tcPr>
                <w:p w14:paraId="3BA9E101">
                  <w:pPr>
                    <w:jc w:val="center"/>
                    <w:rPr>
                      <w:bCs/>
                      <w:sz w:val="21"/>
                      <w:szCs w:val="21"/>
                    </w:rPr>
                  </w:pPr>
                </w:p>
              </w:tc>
              <w:tc>
                <w:tcPr>
                  <w:tcW w:w="1336" w:type="dxa"/>
                  <w:vAlign w:val="center"/>
                </w:tcPr>
                <w:p w14:paraId="69768B56">
                  <w:pPr>
                    <w:jc w:val="center"/>
                    <w:rPr>
                      <w:bCs/>
                      <w:sz w:val="21"/>
                      <w:szCs w:val="21"/>
                    </w:rPr>
                  </w:pPr>
                  <w:r>
                    <w:rPr>
                      <w:rFonts w:hint="eastAsia"/>
                      <w:bCs/>
                      <w:sz w:val="21"/>
                      <w:szCs w:val="21"/>
                    </w:rPr>
                    <w:t>S1-1、S</w:t>
                  </w:r>
                  <w:r>
                    <w:rPr>
                      <w:rFonts w:hint="eastAsia"/>
                      <w:bCs/>
                      <w:sz w:val="21"/>
                      <w:szCs w:val="21"/>
                      <w:lang w:val="en-US" w:eastAsia="zh-CN"/>
                    </w:rPr>
                    <w:t>2-1</w:t>
                  </w:r>
                  <w:r>
                    <w:rPr>
                      <w:rFonts w:hint="eastAsia"/>
                      <w:bCs/>
                      <w:sz w:val="21"/>
                      <w:szCs w:val="21"/>
                    </w:rPr>
                    <w:t>、S</w:t>
                  </w:r>
                  <w:r>
                    <w:rPr>
                      <w:rFonts w:hint="eastAsia"/>
                      <w:bCs/>
                      <w:sz w:val="21"/>
                      <w:szCs w:val="21"/>
                      <w:lang w:val="en-US" w:eastAsia="zh-CN"/>
                    </w:rPr>
                    <w:t>3-1</w:t>
                  </w:r>
                </w:p>
              </w:tc>
              <w:tc>
                <w:tcPr>
                  <w:tcW w:w="1173" w:type="dxa"/>
                  <w:vAlign w:val="center"/>
                </w:tcPr>
                <w:p w14:paraId="154DBE61">
                  <w:pPr>
                    <w:jc w:val="center"/>
                    <w:rPr>
                      <w:rFonts w:hint="default" w:eastAsia="宋体"/>
                      <w:bCs/>
                      <w:sz w:val="21"/>
                      <w:szCs w:val="21"/>
                      <w:lang w:val="en-US" w:eastAsia="zh-CN"/>
                    </w:rPr>
                  </w:pPr>
                  <w:r>
                    <w:rPr>
                      <w:rFonts w:hint="eastAsia"/>
                      <w:bCs/>
                      <w:sz w:val="21"/>
                      <w:szCs w:val="21"/>
                      <w:lang w:val="en-US" w:eastAsia="zh-CN"/>
                    </w:rPr>
                    <w:t>检验</w:t>
                  </w:r>
                </w:p>
              </w:tc>
              <w:tc>
                <w:tcPr>
                  <w:tcW w:w="1477" w:type="dxa"/>
                  <w:vAlign w:val="center"/>
                </w:tcPr>
                <w:p w14:paraId="79829322">
                  <w:pPr>
                    <w:jc w:val="center"/>
                    <w:rPr>
                      <w:rFonts w:hint="eastAsia" w:eastAsia="宋体"/>
                      <w:bCs/>
                      <w:sz w:val="21"/>
                      <w:szCs w:val="21"/>
                      <w:lang w:eastAsia="zh-CN"/>
                    </w:rPr>
                  </w:pPr>
                  <w:r>
                    <w:rPr>
                      <w:rFonts w:hint="eastAsia"/>
                      <w:bCs/>
                      <w:sz w:val="21"/>
                      <w:szCs w:val="21"/>
                    </w:rPr>
                    <w:t>不合格</w:t>
                  </w:r>
                  <w:r>
                    <w:rPr>
                      <w:rFonts w:hint="eastAsia"/>
                      <w:bCs/>
                      <w:sz w:val="21"/>
                      <w:szCs w:val="21"/>
                      <w:lang w:val="en-US" w:eastAsia="zh-CN"/>
                    </w:rPr>
                    <w:t>原料</w:t>
                  </w:r>
                </w:p>
              </w:tc>
              <w:tc>
                <w:tcPr>
                  <w:tcW w:w="2028" w:type="dxa"/>
                  <w:vMerge w:val="restart"/>
                  <w:vAlign w:val="center"/>
                </w:tcPr>
                <w:p w14:paraId="7ED5B74E">
                  <w:pPr>
                    <w:jc w:val="center"/>
                    <w:rPr>
                      <w:bCs/>
                      <w:sz w:val="21"/>
                      <w:szCs w:val="21"/>
                    </w:rPr>
                  </w:pPr>
                  <w:r>
                    <w:rPr>
                      <w:sz w:val="21"/>
                      <w:szCs w:val="21"/>
                    </w:rPr>
                    <w:t>集中收集后暂存一般固废间</w:t>
                  </w:r>
                  <w:r>
                    <w:rPr>
                      <w:rFonts w:hint="eastAsia"/>
                      <w:sz w:val="21"/>
                      <w:szCs w:val="21"/>
                    </w:rPr>
                    <w:t>，交由一般固废处理单位处理</w:t>
                  </w:r>
                </w:p>
              </w:tc>
              <w:tc>
                <w:tcPr>
                  <w:tcW w:w="1126" w:type="dxa"/>
                  <w:vMerge w:val="restart"/>
                  <w:vAlign w:val="center"/>
                </w:tcPr>
                <w:p w14:paraId="3178A92A">
                  <w:pPr>
                    <w:jc w:val="center"/>
                    <w:rPr>
                      <w:sz w:val="21"/>
                      <w:szCs w:val="21"/>
                    </w:rPr>
                  </w:pPr>
                  <w:r>
                    <w:rPr>
                      <w:color w:val="000000"/>
                      <w:sz w:val="21"/>
                      <w:szCs w:val="21"/>
                    </w:rPr>
                    <w:t>合理处置，不造成二次污染</w:t>
                  </w:r>
                </w:p>
              </w:tc>
            </w:tr>
            <w:tr w14:paraId="2BD08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vAlign w:val="center"/>
                </w:tcPr>
                <w:p w14:paraId="2CF7BCE6">
                  <w:pPr>
                    <w:jc w:val="center"/>
                    <w:rPr>
                      <w:bCs/>
                      <w:sz w:val="21"/>
                      <w:szCs w:val="21"/>
                    </w:rPr>
                  </w:pPr>
                </w:p>
              </w:tc>
              <w:tc>
                <w:tcPr>
                  <w:tcW w:w="1336" w:type="dxa"/>
                  <w:vAlign w:val="center"/>
                </w:tcPr>
                <w:p w14:paraId="35A410A2">
                  <w:pPr>
                    <w:jc w:val="center"/>
                    <w:rPr>
                      <w:bCs/>
                      <w:sz w:val="21"/>
                      <w:szCs w:val="21"/>
                    </w:rPr>
                  </w:pPr>
                  <w:r>
                    <w:rPr>
                      <w:rFonts w:hint="eastAsia"/>
                      <w:bCs/>
                      <w:sz w:val="21"/>
                      <w:szCs w:val="21"/>
                    </w:rPr>
                    <w:t>S1-2、S</w:t>
                  </w:r>
                  <w:r>
                    <w:rPr>
                      <w:rFonts w:hint="eastAsia"/>
                      <w:bCs/>
                      <w:sz w:val="21"/>
                      <w:szCs w:val="21"/>
                      <w:lang w:val="en-US" w:eastAsia="zh-CN"/>
                    </w:rPr>
                    <w:t>2-2、S3-</w:t>
                  </w:r>
                  <w:r>
                    <w:rPr>
                      <w:rFonts w:hint="eastAsia"/>
                      <w:bCs/>
                      <w:sz w:val="21"/>
                      <w:szCs w:val="21"/>
                    </w:rPr>
                    <w:t>2</w:t>
                  </w:r>
                </w:p>
              </w:tc>
              <w:tc>
                <w:tcPr>
                  <w:tcW w:w="1173" w:type="dxa"/>
                  <w:vAlign w:val="center"/>
                </w:tcPr>
                <w:p w14:paraId="248B3219">
                  <w:pPr>
                    <w:jc w:val="center"/>
                    <w:rPr>
                      <w:rFonts w:hint="eastAsia" w:eastAsia="宋体"/>
                      <w:bCs/>
                      <w:sz w:val="21"/>
                      <w:szCs w:val="21"/>
                      <w:lang w:eastAsia="zh-CN"/>
                    </w:rPr>
                  </w:pPr>
                  <w:r>
                    <w:rPr>
                      <w:rFonts w:hint="eastAsia"/>
                      <w:bCs/>
                      <w:sz w:val="21"/>
                      <w:szCs w:val="21"/>
                      <w:lang w:val="en-US" w:eastAsia="zh-CN"/>
                    </w:rPr>
                    <w:t>脱包</w:t>
                  </w:r>
                </w:p>
              </w:tc>
              <w:tc>
                <w:tcPr>
                  <w:tcW w:w="1477" w:type="dxa"/>
                  <w:vAlign w:val="center"/>
                </w:tcPr>
                <w:p w14:paraId="1B628706">
                  <w:pPr>
                    <w:jc w:val="center"/>
                    <w:rPr>
                      <w:rFonts w:hint="eastAsia" w:eastAsia="宋体"/>
                      <w:bCs/>
                      <w:sz w:val="21"/>
                      <w:szCs w:val="21"/>
                      <w:lang w:eastAsia="zh-CN"/>
                    </w:rPr>
                  </w:pPr>
                  <w:r>
                    <w:rPr>
                      <w:rFonts w:hint="eastAsia"/>
                      <w:bCs/>
                      <w:sz w:val="21"/>
                      <w:szCs w:val="21"/>
                      <w:lang w:val="en-US" w:eastAsia="zh-CN"/>
                    </w:rPr>
                    <w:t>废包装</w:t>
                  </w:r>
                </w:p>
              </w:tc>
              <w:tc>
                <w:tcPr>
                  <w:tcW w:w="2028" w:type="dxa"/>
                  <w:vMerge w:val="continue"/>
                  <w:vAlign w:val="center"/>
                </w:tcPr>
                <w:p w14:paraId="30FF7E41">
                  <w:pPr>
                    <w:jc w:val="center"/>
                    <w:rPr>
                      <w:bCs/>
                      <w:sz w:val="21"/>
                      <w:szCs w:val="21"/>
                    </w:rPr>
                  </w:pPr>
                </w:p>
              </w:tc>
              <w:tc>
                <w:tcPr>
                  <w:tcW w:w="1126" w:type="dxa"/>
                  <w:vMerge w:val="continue"/>
                  <w:vAlign w:val="center"/>
                </w:tcPr>
                <w:p w14:paraId="418165F5">
                  <w:pPr>
                    <w:jc w:val="center"/>
                    <w:rPr>
                      <w:sz w:val="21"/>
                      <w:szCs w:val="21"/>
                    </w:rPr>
                  </w:pPr>
                </w:p>
              </w:tc>
            </w:tr>
            <w:tr w14:paraId="7C9C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95" w:type="dxa"/>
                  <w:vMerge w:val="continue"/>
                  <w:vAlign w:val="center"/>
                </w:tcPr>
                <w:p w14:paraId="148530D8">
                  <w:pPr>
                    <w:jc w:val="center"/>
                    <w:rPr>
                      <w:bCs/>
                      <w:sz w:val="21"/>
                      <w:szCs w:val="21"/>
                    </w:rPr>
                  </w:pPr>
                </w:p>
              </w:tc>
              <w:tc>
                <w:tcPr>
                  <w:tcW w:w="1336" w:type="dxa"/>
                  <w:vAlign w:val="center"/>
                </w:tcPr>
                <w:p w14:paraId="40A95B22">
                  <w:pPr>
                    <w:jc w:val="center"/>
                    <w:rPr>
                      <w:rFonts w:hint="default" w:eastAsia="宋体"/>
                      <w:bCs/>
                      <w:sz w:val="21"/>
                      <w:szCs w:val="21"/>
                      <w:lang w:val="en-US" w:eastAsia="zh-CN"/>
                    </w:rPr>
                  </w:pPr>
                  <w:r>
                    <w:rPr>
                      <w:rFonts w:hint="eastAsia"/>
                      <w:bCs/>
                      <w:sz w:val="21"/>
                      <w:szCs w:val="21"/>
                    </w:rPr>
                    <w:t>S1-3、S</w:t>
                  </w:r>
                  <w:r>
                    <w:rPr>
                      <w:rFonts w:hint="eastAsia"/>
                      <w:bCs/>
                      <w:sz w:val="21"/>
                      <w:szCs w:val="21"/>
                      <w:lang w:val="en-US" w:eastAsia="zh-CN"/>
                    </w:rPr>
                    <w:t>2-3、S3-3</w:t>
                  </w:r>
                </w:p>
              </w:tc>
              <w:tc>
                <w:tcPr>
                  <w:tcW w:w="1173" w:type="dxa"/>
                  <w:vAlign w:val="center"/>
                </w:tcPr>
                <w:p w14:paraId="23227689">
                  <w:pPr>
                    <w:jc w:val="center"/>
                    <w:rPr>
                      <w:rFonts w:hint="eastAsia" w:eastAsia="宋体"/>
                      <w:bCs/>
                      <w:sz w:val="21"/>
                      <w:szCs w:val="21"/>
                      <w:lang w:eastAsia="zh-CN"/>
                    </w:rPr>
                  </w:pPr>
                  <w:r>
                    <w:rPr>
                      <w:rFonts w:hint="eastAsia"/>
                      <w:bCs/>
                      <w:sz w:val="21"/>
                      <w:szCs w:val="21"/>
                      <w:lang w:val="en-US" w:eastAsia="zh-CN"/>
                    </w:rPr>
                    <w:t>成品检验</w:t>
                  </w:r>
                </w:p>
              </w:tc>
              <w:tc>
                <w:tcPr>
                  <w:tcW w:w="1477" w:type="dxa"/>
                  <w:vAlign w:val="center"/>
                </w:tcPr>
                <w:p w14:paraId="4DBF2580">
                  <w:pPr>
                    <w:jc w:val="center"/>
                    <w:rPr>
                      <w:rFonts w:hint="default" w:eastAsia="宋体"/>
                      <w:bCs/>
                      <w:sz w:val="21"/>
                      <w:szCs w:val="21"/>
                      <w:lang w:val="en-US" w:eastAsia="zh-CN"/>
                    </w:rPr>
                  </w:pPr>
                  <w:r>
                    <w:rPr>
                      <w:rFonts w:hint="eastAsia"/>
                      <w:bCs/>
                      <w:sz w:val="21"/>
                      <w:szCs w:val="21"/>
                      <w:lang w:val="en-US" w:eastAsia="zh-CN"/>
                    </w:rPr>
                    <w:t>不合格品</w:t>
                  </w:r>
                </w:p>
              </w:tc>
              <w:tc>
                <w:tcPr>
                  <w:tcW w:w="2028" w:type="dxa"/>
                  <w:vMerge w:val="continue"/>
                  <w:vAlign w:val="center"/>
                </w:tcPr>
                <w:p w14:paraId="48CE23FE">
                  <w:pPr>
                    <w:jc w:val="center"/>
                    <w:rPr>
                      <w:bCs/>
                      <w:sz w:val="21"/>
                      <w:szCs w:val="21"/>
                    </w:rPr>
                  </w:pPr>
                </w:p>
              </w:tc>
              <w:tc>
                <w:tcPr>
                  <w:tcW w:w="1126" w:type="dxa"/>
                  <w:vMerge w:val="continue"/>
                  <w:vAlign w:val="center"/>
                </w:tcPr>
                <w:p w14:paraId="0D61024D">
                  <w:pPr>
                    <w:jc w:val="center"/>
                    <w:rPr>
                      <w:sz w:val="21"/>
                      <w:szCs w:val="21"/>
                    </w:rPr>
                  </w:pPr>
                </w:p>
              </w:tc>
            </w:tr>
          </w:tbl>
          <w:p w14:paraId="014F1DE2">
            <w:pPr>
              <w:pStyle w:val="8"/>
              <w:spacing w:line="360" w:lineRule="auto"/>
              <w:ind w:firstLine="0" w:firstLineChars="0"/>
              <w:jc w:val="left"/>
              <w:rPr>
                <w:sz w:val="24"/>
              </w:rPr>
            </w:pPr>
            <w:r>
              <w:rPr>
                <w:rFonts w:hint="eastAsia"/>
                <w:sz w:val="24"/>
              </w:rPr>
              <w:t xml:space="preserve"> </w:t>
            </w:r>
          </w:p>
          <w:p w14:paraId="58FF3C3A">
            <w:pPr>
              <w:pStyle w:val="8"/>
              <w:spacing w:line="360" w:lineRule="auto"/>
              <w:ind w:firstLine="0" w:firstLineChars="0"/>
              <w:jc w:val="left"/>
              <w:rPr>
                <w:sz w:val="24"/>
              </w:rPr>
            </w:pPr>
          </w:p>
          <w:p w14:paraId="150E287D">
            <w:pPr>
              <w:pStyle w:val="8"/>
              <w:spacing w:line="360" w:lineRule="auto"/>
              <w:ind w:firstLine="0" w:firstLineChars="0"/>
              <w:jc w:val="left"/>
              <w:rPr>
                <w:sz w:val="24"/>
              </w:rPr>
            </w:pPr>
          </w:p>
          <w:p w14:paraId="4F1F3F0B">
            <w:pPr>
              <w:pStyle w:val="8"/>
              <w:spacing w:line="360" w:lineRule="auto"/>
              <w:ind w:firstLine="0" w:firstLineChars="0"/>
              <w:jc w:val="left"/>
              <w:rPr>
                <w:sz w:val="24"/>
              </w:rPr>
            </w:pPr>
          </w:p>
        </w:tc>
      </w:tr>
      <w:tr w14:paraId="5A95D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823" w:type="dxa"/>
            <w:vAlign w:val="center"/>
          </w:tcPr>
          <w:p w14:paraId="3C41C82A">
            <w:pPr>
              <w:pStyle w:val="25"/>
              <w:adjustRightInd w:val="0"/>
              <w:snapToGrid w:val="0"/>
              <w:spacing w:before="0" w:beforeAutospacing="0" w:after="0" w:afterAutospacing="0"/>
              <w:jc w:val="center"/>
              <w:rPr>
                <w:rFonts w:cs="宋体"/>
                <w:sz w:val="21"/>
                <w:szCs w:val="21"/>
              </w:rPr>
            </w:pPr>
            <w:r>
              <w:rPr>
                <w:rFonts w:hint="eastAsia" w:cs="宋体"/>
                <w:bCs/>
                <w:kern w:val="2"/>
                <w:szCs w:val="24"/>
              </w:rPr>
              <w:t>与项目有关的原有环境污染问题</w:t>
            </w:r>
          </w:p>
        </w:tc>
        <w:tc>
          <w:tcPr>
            <w:tcW w:w="8161" w:type="dxa"/>
          </w:tcPr>
          <w:p w14:paraId="035EF3A2">
            <w:pPr>
              <w:pStyle w:val="35"/>
              <w:adjustRightInd w:val="0"/>
              <w:spacing w:before="120" w:beforeLines="50" w:line="360" w:lineRule="auto"/>
              <w:rPr>
                <w:b/>
                <w:bCs/>
                <w:color w:val="auto"/>
                <w:lang w:val="en-US"/>
              </w:rPr>
            </w:pPr>
          </w:p>
          <w:p w14:paraId="75F26172">
            <w:pPr>
              <w:pStyle w:val="35"/>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firstLine="480"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项目为新建项目，</w:t>
            </w:r>
            <w:r>
              <w:rPr>
                <w:rFonts w:hint="eastAsia" w:ascii="Times New Roman" w:hAnsi="Times New Roman" w:cs="Times New Roman"/>
                <w:color w:val="000000" w:themeColor="text1"/>
                <w:sz w:val="24"/>
                <w:szCs w:val="24"/>
                <w:lang w:val="en-US" w:eastAsia="zh-CN"/>
                <w14:textFill>
                  <w14:solidFill>
                    <w14:schemeClr w14:val="tx1"/>
                  </w14:solidFill>
                </w14:textFill>
              </w:rPr>
              <w:t>位于安徽省宿州市高新技术产业开发区双创产业园，</w:t>
            </w:r>
            <w:r>
              <w:rPr>
                <w:rFonts w:hint="default" w:ascii="Times New Roman" w:hAnsi="Times New Roman" w:cs="Times New Roman"/>
                <w:color w:val="000000" w:themeColor="text1"/>
                <w:sz w:val="24"/>
                <w:szCs w:val="24"/>
                <w:lang w:val="en-US" w:eastAsia="zh-CN"/>
                <w14:textFill>
                  <w14:solidFill>
                    <w14:schemeClr w14:val="tx1"/>
                  </w14:solidFill>
                </w14:textFill>
              </w:rPr>
              <w:t>租赁</w:t>
            </w:r>
            <w:r>
              <w:rPr>
                <w:rFonts w:hint="default" w:ascii="Times New Roman" w:hAnsi="Times New Roman" w:cs="Times New Roman"/>
                <w:color w:val="auto"/>
                <w:lang w:val="en-US"/>
              </w:rPr>
              <w:t>闲置厂房</w:t>
            </w:r>
            <w:r>
              <w:rPr>
                <w:rFonts w:hint="default" w:ascii="Times New Roman" w:hAnsi="Times New Roman" w:cs="Times New Roman"/>
                <w:color w:val="000000" w:themeColor="text1"/>
                <w:sz w:val="24"/>
                <w:szCs w:val="24"/>
                <w:lang w:val="en-US" w:eastAsia="zh-CN"/>
                <w14:textFill>
                  <w14:solidFill>
                    <w14:schemeClr w14:val="tx1"/>
                  </w14:solidFill>
                </w14:textFill>
              </w:rPr>
              <w:t>，内部无生产设备且已打扫干净，不存在与本项目相关的原有污染情况及主要环境问题。</w:t>
            </w:r>
          </w:p>
          <w:p w14:paraId="1269665B">
            <w:pPr>
              <w:adjustRightInd w:val="0"/>
              <w:snapToGrid w:val="0"/>
              <w:rPr>
                <w:rFonts w:hint="eastAsia" w:ascii="宋体" w:hAnsi="宋体"/>
                <w:bCs/>
                <w:szCs w:val="21"/>
                <w:lang w:val="en-US" w:eastAsia="zh-CN"/>
              </w:rPr>
            </w:pPr>
          </w:p>
          <w:p w14:paraId="483DB51D">
            <w:pPr>
              <w:adjustRightInd w:val="0"/>
              <w:snapToGrid w:val="0"/>
              <w:rPr>
                <w:rFonts w:hint="default" w:ascii="宋体" w:hAnsi="宋体" w:eastAsia="宋体"/>
                <w:bCs/>
                <w:szCs w:val="21"/>
                <w:lang w:val="en-US" w:eastAsia="zh-CN"/>
              </w:rPr>
            </w:pPr>
          </w:p>
        </w:tc>
      </w:tr>
    </w:tbl>
    <w:p w14:paraId="281355DC">
      <w:pPr>
        <w:pStyle w:val="25"/>
        <w:jc w:val="both"/>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14:paraId="78547655">
      <w:pPr>
        <w:pStyle w:val="25"/>
        <w:ind w:firstLine="1200" w:firstLineChars="400"/>
        <w:jc w:val="both"/>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65802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800" w:type="dxa"/>
            <w:vAlign w:val="center"/>
          </w:tcPr>
          <w:p w14:paraId="67CB5A3A">
            <w:pPr>
              <w:adjustRightInd w:val="0"/>
              <w:snapToGrid w:val="0"/>
              <w:jc w:val="center"/>
              <w:rPr>
                <w:kern w:val="0"/>
              </w:rPr>
            </w:pPr>
            <w:r>
              <w:rPr>
                <w:kern w:val="0"/>
              </w:rPr>
              <w:t>区域</w:t>
            </w:r>
          </w:p>
          <w:p w14:paraId="74590F91">
            <w:pPr>
              <w:adjustRightInd w:val="0"/>
              <w:snapToGrid w:val="0"/>
              <w:jc w:val="center"/>
              <w:rPr>
                <w:kern w:val="0"/>
              </w:rPr>
            </w:pPr>
            <w:r>
              <w:rPr>
                <w:kern w:val="0"/>
              </w:rPr>
              <w:t>环境</w:t>
            </w:r>
          </w:p>
          <w:p w14:paraId="6A11C57A">
            <w:pPr>
              <w:adjustRightInd w:val="0"/>
              <w:snapToGrid w:val="0"/>
              <w:jc w:val="center"/>
              <w:rPr>
                <w:kern w:val="0"/>
              </w:rPr>
            </w:pPr>
            <w:r>
              <w:rPr>
                <w:kern w:val="0"/>
              </w:rPr>
              <w:t>质量</w:t>
            </w:r>
          </w:p>
          <w:p w14:paraId="55E87D02">
            <w:pPr>
              <w:adjustRightInd w:val="0"/>
              <w:snapToGrid w:val="0"/>
              <w:jc w:val="center"/>
              <w:rPr>
                <w:kern w:val="0"/>
              </w:rPr>
            </w:pPr>
            <w:r>
              <w:rPr>
                <w:kern w:val="0"/>
              </w:rPr>
              <w:t>现状</w:t>
            </w:r>
          </w:p>
        </w:tc>
        <w:tc>
          <w:tcPr>
            <w:tcW w:w="8190" w:type="dxa"/>
            <w:vAlign w:val="center"/>
          </w:tcPr>
          <w:p w14:paraId="2E9F8F65">
            <w:pPr>
              <w:adjustRightInd w:val="0"/>
              <w:snapToGrid w:val="0"/>
              <w:spacing w:before="120" w:beforeLines="50" w:line="360" w:lineRule="auto"/>
              <w:ind w:firstLine="480" w:firstLineChars="200"/>
            </w:pPr>
            <w:r>
              <w:t>建设项目所在地区域环境质量现状及主要环境问题</w:t>
            </w:r>
            <w:r>
              <w:rPr>
                <w:rFonts w:hint="eastAsia"/>
              </w:rPr>
              <w:t>（</w:t>
            </w:r>
            <w:r>
              <w:t>环境空气、地面水、地下水、声环境、生态环境等</w:t>
            </w:r>
            <w:r>
              <w:rPr>
                <w:rFonts w:hint="eastAsia"/>
              </w:rPr>
              <w:t>）。</w:t>
            </w:r>
          </w:p>
          <w:p w14:paraId="6A3DB09E">
            <w:pPr>
              <w:spacing w:line="360" w:lineRule="auto"/>
              <w:ind w:firstLine="482" w:firstLineChars="200"/>
              <w:rPr>
                <w:b/>
                <w:bCs/>
              </w:rPr>
            </w:pPr>
            <w:r>
              <w:rPr>
                <w:b/>
                <w:bCs/>
              </w:rPr>
              <w:t>1、环境空气质量现状</w:t>
            </w:r>
          </w:p>
          <w:p w14:paraId="1C2D64DC">
            <w:pPr>
              <w:adjustRightInd w:val="0"/>
              <w:snapToGrid w:val="0"/>
              <w:spacing w:line="360" w:lineRule="auto"/>
              <w:ind w:firstLine="480" w:firstLineChars="200"/>
              <w:jc w:val="left"/>
              <w:rPr>
                <w:rFonts w:hint="eastAsia" w:cs="宋体"/>
                <w:color w:val="FF0000"/>
                <w:kern w:val="0"/>
                <w:sz w:val="24"/>
              </w:rPr>
            </w:pPr>
            <w:r>
              <w:rPr>
                <w:rFonts w:hint="eastAsia" w:cs="宋体"/>
                <w:kern w:val="0"/>
                <w:sz w:val="24"/>
              </w:rPr>
              <w:t>2024年，宿州市环境空气中细颗粒物（PM2.5）年平均浓度为42.9微克/立方米；全市空气质量优良天数比率为74.9%，好于省年度考核目标1.6个百分点，优良天数改善幅度全省第一。</w:t>
            </w:r>
          </w:p>
          <w:p w14:paraId="42AC3345">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根据《环境空气质量模型技术支持服务系统》对区域达标情况进行判定，宿州市202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年均浓度分别为6</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71</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；CO 24小时平均第95百分位数为</w:t>
            </w:r>
            <w:r>
              <w:rPr>
                <w:rFonts w:hint="eastAsia" w:ascii="Times New Roman" w:hAnsi="Times New Roman" w:eastAsia="宋体" w:cs="Times New Roman"/>
                <w:color w:val="auto"/>
                <w:sz w:val="24"/>
                <w:szCs w:val="24"/>
                <w:lang w:val="en-US" w:eastAsia="zh-CN"/>
              </w:rPr>
              <w:t>0.9</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日最大8小时平均第90百分位数为1</w:t>
            </w:r>
            <w:r>
              <w:rPr>
                <w:rFonts w:hint="eastAsia" w:ascii="Times New Roman" w:hAnsi="Times New Roman" w:eastAsia="宋体" w:cs="Times New Roman"/>
                <w:color w:val="auto"/>
                <w:sz w:val="24"/>
                <w:szCs w:val="24"/>
                <w:lang w:val="en-US" w:eastAsia="zh-CN"/>
              </w:rPr>
              <w:t>70</w:t>
            </w:r>
            <w:r>
              <w:rPr>
                <w:rFonts w:hint="default" w:ascii="Times New Roman" w:hAnsi="Times New Roman" w:eastAsia="宋体" w:cs="Times New Roman"/>
                <w:color w:val="auto"/>
                <w:sz w:val="24"/>
                <w:szCs w:val="24"/>
                <w:lang w:eastAsia="zh-CN"/>
              </w:rPr>
              <w:t>μg/m</w:t>
            </w:r>
            <w:r>
              <w:rPr>
                <w:rFonts w:hint="default" w:ascii="Times New Roman" w:hAnsi="Times New Roman" w:eastAsia="宋体" w:cs="Times New Roman"/>
                <w:color w:val="auto"/>
                <w:sz w:val="24"/>
                <w:szCs w:val="24"/>
                <w:vertAlign w:val="superscript"/>
                <w:lang w:eastAsia="zh-CN"/>
              </w:rPr>
              <w:t>3</w:t>
            </w:r>
            <w:r>
              <w:rPr>
                <w:rFonts w:hint="default" w:ascii="Times New Roman" w:hAnsi="Times New Roman" w:eastAsia="宋体" w:cs="Times New Roman"/>
                <w:color w:val="auto"/>
                <w:sz w:val="24"/>
                <w:szCs w:val="24"/>
              </w:rPr>
              <w:t>；超过《环境空气质量标准》（GB3095-2026）中过渡阶段二级标准限值的污染物为PM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。宿州市202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年环境空气质量基础污染物监测浓度见下表</w:t>
            </w:r>
            <w:r>
              <w:rPr>
                <w:rFonts w:hint="default" w:ascii="Times New Roman" w:hAnsi="Times New Roman" w:eastAsia="宋体" w:cs="Times New Roman"/>
                <w:color w:val="auto"/>
                <w:sz w:val="24"/>
                <w:szCs w:val="24"/>
                <w:highlight w:val="none"/>
                <w:lang w:eastAsia="zh-CN"/>
              </w:rPr>
              <w:t>。</w:t>
            </w:r>
          </w:p>
          <w:p w14:paraId="1743F93F">
            <w:pPr>
              <w:pStyle w:val="9"/>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1 区域基本污染物环境质量现状评价表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843"/>
              <w:gridCol w:w="1248"/>
              <w:gridCol w:w="1267"/>
              <w:gridCol w:w="1240"/>
              <w:gridCol w:w="1328"/>
            </w:tblGrid>
            <w:tr w14:paraId="7738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68BBB0F">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 w:val="21"/>
                      <w:szCs w:val="21"/>
                      <w:highlight w:val="none"/>
                    </w:rPr>
                    <w:t>污染物</w:t>
                  </w:r>
                </w:p>
              </w:tc>
              <w:tc>
                <w:tcPr>
                  <w:tcW w:w="1923" w:type="dxa"/>
                  <w:vAlign w:val="center"/>
                </w:tcPr>
                <w:p w14:paraId="18EC4D96">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 w:val="21"/>
                      <w:szCs w:val="21"/>
                      <w:highlight w:val="none"/>
                    </w:rPr>
                    <w:t>评价标准</w:t>
                  </w:r>
                </w:p>
              </w:tc>
              <w:tc>
                <w:tcPr>
                  <w:tcW w:w="1299" w:type="dxa"/>
                  <w:vAlign w:val="center"/>
                </w:tcPr>
                <w:p w14:paraId="2EEC119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 w:val="21"/>
                      <w:szCs w:val="21"/>
                      <w:highlight w:val="none"/>
                    </w:rPr>
                    <w:t>年均浓度（μg/m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319" w:type="dxa"/>
                  <w:vAlign w:val="center"/>
                </w:tcPr>
                <w:p w14:paraId="0FD9379A">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 w:val="21"/>
                      <w:szCs w:val="21"/>
                      <w:highlight w:val="none"/>
                    </w:rPr>
                    <w:t>标准值（μg/m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c>
              <w:tc>
                <w:tcPr>
                  <w:tcW w:w="1290" w:type="dxa"/>
                  <w:vAlign w:val="center"/>
                </w:tcPr>
                <w:p w14:paraId="5AE9049E">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 w:val="21"/>
                      <w:szCs w:val="21"/>
                      <w:highlight w:val="none"/>
                    </w:rPr>
                    <w:t>占标率</w:t>
                  </w:r>
                  <w:r>
                    <w:rPr>
                      <w:rFonts w:hint="eastAsia"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eastAsia="zh-CN"/>
                    </w:rPr>
                    <w:t>）</w:t>
                  </w:r>
                </w:p>
              </w:tc>
              <w:tc>
                <w:tcPr>
                  <w:tcW w:w="1383" w:type="dxa"/>
                  <w:vAlign w:val="center"/>
                </w:tcPr>
                <w:p w14:paraId="740D8FBE">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b/>
                      <w:bCs/>
                      <w:color w:val="auto"/>
                      <w:kern w:val="0"/>
                      <w:sz w:val="21"/>
                      <w:szCs w:val="21"/>
                      <w:highlight w:val="none"/>
                    </w:rPr>
                    <w:t>达标情况</w:t>
                  </w:r>
                </w:p>
              </w:tc>
            </w:tr>
            <w:tr w14:paraId="7977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4ECA9DFE">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923" w:type="dxa"/>
                  <w:vAlign w:val="center"/>
                </w:tcPr>
                <w:p w14:paraId="717C0D08">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年平均浓度</w:t>
                  </w:r>
                </w:p>
              </w:tc>
              <w:tc>
                <w:tcPr>
                  <w:tcW w:w="1299" w:type="dxa"/>
                  <w:vAlign w:val="center"/>
                </w:tcPr>
                <w:p w14:paraId="62541333">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71</w:t>
                  </w:r>
                </w:p>
              </w:tc>
              <w:tc>
                <w:tcPr>
                  <w:tcW w:w="1319" w:type="dxa"/>
                  <w:vAlign w:val="center"/>
                </w:tcPr>
                <w:p w14:paraId="5298F2A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70</w:t>
                  </w:r>
                </w:p>
              </w:tc>
              <w:tc>
                <w:tcPr>
                  <w:tcW w:w="1290" w:type="dxa"/>
                  <w:vAlign w:val="center"/>
                </w:tcPr>
                <w:p w14:paraId="03D8C68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101.4</w:t>
                  </w:r>
                </w:p>
              </w:tc>
              <w:tc>
                <w:tcPr>
                  <w:tcW w:w="1383" w:type="dxa"/>
                  <w:vAlign w:val="center"/>
                </w:tcPr>
                <w:p w14:paraId="08D9EAD2">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不达标</w:t>
                  </w:r>
                </w:p>
              </w:tc>
            </w:tr>
            <w:tr w14:paraId="6888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785A264">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923" w:type="dxa"/>
                  <w:vAlign w:val="center"/>
                </w:tcPr>
                <w:p w14:paraId="2C479F28">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年平均浓度</w:t>
                  </w:r>
                </w:p>
              </w:tc>
              <w:tc>
                <w:tcPr>
                  <w:tcW w:w="1299" w:type="dxa"/>
                  <w:vAlign w:val="center"/>
                </w:tcPr>
                <w:p w14:paraId="43BF438C">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43</w:t>
                  </w:r>
                </w:p>
              </w:tc>
              <w:tc>
                <w:tcPr>
                  <w:tcW w:w="1319" w:type="dxa"/>
                  <w:vAlign w:val="center"/>
                </w:tcPr>
                <w:p w14:paraId="259A91B8">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35</w:t>
                  </w:r>
                </w:p>
              </w:tc>
              <w:tc>
                <w:tcPr>
                  <w:tcW w:w="1290" w:type="dxa"/>
                  <w:vAlign w:val="center"/>
                </w:tcPr>
                <w:p w14:paraId="119CBE8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122.9</w:t>
                  </w:r>
                </w:p>
              </w:tc>
              <w:tc>
                <w:tcPr>
                  <w:tcW w:w="1383" w:type="dxa"/>
                  <w:vAlign w:val="center"/>
                </w:tcPr>
                <w:p w14:paraId="09AB85EA">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不达标</w:t>
                  </w:r>
                </w:p>
              </w:tc>
            </w:tr>
            <w:tr w14:paraId="0E1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38244DD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923" w:type="dxa"/>
                  <w:vAlign w:val="center"/>
                </w:tcPr>
                <w:p w14:paraId="2D08E82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年平均浓度</w:t>
                  </w:r>
                </w:p>
              </w:tc>
              <w:tc>
                <w:tcPr>
                  <w:tcW w:w="1299" w:type="dxa"/>
                  <w:vAlign w:val="center"/>
                </w:tcPr>
                <w:p w14:paraId="245D8091">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6</w:t>
                  </w:r>
                </w:p>
              </w:tc>
              <w:tc>
                <w:tcPr>
                  <w:tcW w:w="1319" w:type="dxa"/>
                  <w:vAlign w:val="center"/>
                </w:tcPr>
                <w:p w14:paraId="6610E27C">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60</w:t>
                  </w:r>
                </w:p>
              </w:tc>
              <w:tc>
                <w:tcPr>
                  <w:tcW w:w="1290" w:type="dxa"/>
                  <w:vAlign w:val="center"/>
                </w:tcPr>
                <w:p w14:paraId="2494B71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383" w:type="dxa"/>
                  <w:vAlign w:val="center"/>
                </w:tcPr>
                <w:p w14:paraId="175878B8">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达标</w:t>
                  </w:r>
                </w:p>
              </w:tc>
            </w:tr>
            <w:tr w14:paraId="5983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4B4924F4">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923" w:type="dxa"/>
                  <w:vAlign w:val="center"/>
                </w:tcPr>
                <w:p w14:paraId="6BF67A70">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年平均浓度</w:t>
                  </w:r>
                </w:p>
              </w:tc>
              <w:tc>
                <w:tcPr>
                  <w:tcW w:w="1299" w:type="dxa"/>
                  <w:vAlign w:val="center"/>
                </w:tcPr>
                <w:p w14:paraId="42EECDEF">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18</w:t>
                  </w:r>
                </w:p>
              </w:tc>
              <w:tc>
                <w:tcPr>
                  <w:tcW w:w="1319" w:type="dxa"/>
                  <w:vAlign w:val="center"/>
                </w:tcPr>
                <w:p w14:paraId="6E7DA09E">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40</w:t>
                  </w:r>
                </w:p>
              </w:tc>
              <w:tc>
                <w:tcPr>
                  <w:tcW w:w="1290" w:type="dxa"/>
                  <w:vAlign w:val="center"/>
                </w:tcPr>
                <w:p w14:paraId="2D0B2B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45.0</w:t>
                  </w:r>
                </w:p>
              </w:tc>
              <w:tc>
                <w:tcPr>
                  <w:tcW w:w="1383" w:type="dxa"/>
                  <w:vAlign w:val="center"/>
                </w:tcPr>
                <w:p w14:paraId="7246A276">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达标</w:t>
                  </w:r>
                </w:p>
              </w:tc>
            </w:tr>
            <w:tr w14:paraId="6B859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7E063675">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CO</w:t>
                  </w:r>
                </w:p>
              </w:tc>
              <w:tc>
                <w:tcPr>
                  <w:tcW w:w="1923" w:type="dxa"/>
                  <w:vAlign w:val="center"/>
                </w:tcPr>
                <w:p w14:paraId="088E0019">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日平均第95百分位质量浓度</w:t>
                  </w:r>
                </w:p>
              </w:tc>
              <w:tc>
                <w:tcPr>
                  <w:tcW w:w="1299" w:type="dxa"/>
                  <w:vAlign w:val="center"/>
                </w:tcPr>
                <w:p w14:paraId="124D0438">
                  <w:pPr>
                    <w:adjustRightInd w:val="0"/>
                    <w:snapToGrid w:val="0"/>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 w:val="21"/>
                      <w:szCs w:val="21"/>
                      <w:highlight w:val="none"/>
                      <w:lang w:val="en-US" w:eastAsia="zh-CN"/>
                    </w:rPr>
                    <w:t>0.9</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1319" w:type="dxa"/>
                  <w:vAlign w:val="center"/>
                </w:tcPr>
                <w:p w14:paraId="5A0B481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4mg/m</w:t>
                  </w:r>
                  <w:r>
                    <w:rPr>
                      <w:rFonts w:hint="default" w:ascii="Times New Roman" w:hAnsi="Times New Roman" w:eastAsia="宋体" w:cs="Times New Roman"/>
                      <w:color w:val="auto"/>
                      <w:kern w:val="0"/>
                      <w:sz w:val="21"/>
                      <w:szCs w:val="21"/>
                      <w:highlight w:val="none"/>
                      <w:vertAlign w:val="superscript"/>
                    </w:rPr>
                    <w:t>3</w:t>
                  </w:r>
                </w:p>
              </w:tc>
              <w:tc>
                <w:tcPr>
                  <w:tcW w:w="1290" w:type="dxa"/>
                  <w:vAlign w:val="center"/>
                </w:tcPr>
                <w:p w14:paraId="00BBA47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1383" w:type="dxa"/>
                  <w:vAlign w:val="center"/>
                </w:tcPr>
                <w:p w14:paraId="02F7A604">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达标</w:t>
                  </w:r>
                </w:p>
              </w:tc>
            </w:tr>
            <w:tr w14:paraId="1E8B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9" w:type="dxa"/>
                  <w:vAlign w:val="center"/>
                </w:tcPr>
                <w:p w14:paraId="53BCDFB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923" w:type="dxa"/>
                  <w:vAlign w:val="center"/>
                </w:tcPr>
                <w:p w14:paraId="454E685D">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日最大8小时平均第90百分位质量浓度</w:t>
                  </w:r>
                </w:p>
              </w:tc>
              <w:tc>
                <w:tcPr>
                  <w:tcW w:w="1299" w:type="dxa"/>
                  <w:vAlign w:val="center"/>
                </w:tcPr>
                <w:p w14:paraId="593D3F57">
                  <w:pPr>
                    <w:adjustRightInd w:val="0"/>
                    <w:snapToGrid w:val="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170</w:t>
                  </w:r>
                </w:p>
              </w:tc>
              <w:tc>
                <w:tcPr>
                  <w:tcW w:w="1319" w:type="dxa"/>
                  <w:vAlign w:val="center"/>
                </w:tcPr>
                <w:p w14:paraId="433E3870">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160</w:t>
                  </w:r>
                </w:p>
              </w:tc>
              <w:tc>
                <w:tcPr>
                  <w:tcW w:w="1290" w:type="dxa"/>
                  <w:vAlign w:val="center"/>
                </w:tcPr>
                <w:p w14:paraId="6A60237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106.3</w:t>
                  </w:r>
                </w:p>
              </w:tc>
              <w:tc>
                <w:tcPr>
                  <w:tcW w:w="1383" w:type="dxa"/>
                  <w:vAlign w:val="center"/>
                </w:tcPr>
                <w:p w14:paraId="01D20C3F">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1"/>
                      <w:szCs w:val="21"/>
                      <w:highlight w:val="none"/>
                    </w:rPr>
                    <w:t>不达标</w:t>
                  </w:r>
                </w:p>
              </w:tc>
            </w:tr>
          </w:tbl>
          <w:p w14:paraId="4C0B703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根据《宿州市环境空气质量达标规划》（2025~2030）：2025年为短期规划年，以减排污染物为核心，开展多种源的污染防治，大气污染物排放量得到有效控制。，实现PM</w:t>
            </w:r>
            <w:r>
              <w:rPr>
                <w:rFonts w:hint="eastAsia"/>
                <w:color w:val="000000"/>
                <w:sz w:val="24"/>
                <w:szCs w:val="32"/>
                <w:vertAlign w:val="subscript"/>
              </w:rPr>
              <w:t>2.5</w:t>
            </w:r>
            <w:r>
              <w:rPr>
                <w:rFonts w:hint="eastAsia"/>
                <w:color w:val="000000"/>
                <w:sz w:val="24"/>
                <w:szCs w:val="32"/>
              </w:rPr>
              <w:t>全面达标，年均值浓度小于等于39微克/立方米，优良率高于75%，重污染天数小于等于3天，大气环境质量呈改善态势。</w:t>
            </w:r>
          </w:p>
          <w:p w14:paraId="5C28EB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2027年为中期规划年，通过宏观手段从源头减少污染物，实施联防联控，全面深化污染防治，大气污染物排放总量持续稳定下降，实现空气质量持续改善，O</w:t>
            </w:r>
            <w:r>
              <w:rPr>
                <w:rFonts w:hint="eastAsia"/>
                <w:color w:val="000000"/>
                <w:sz w:val="24"/>
                <w:szCs w:val="32"/>
                <w:vertAlign w:val="subscript"/>
              </w:rPr>
              <w:t>3</w:t>
            </w:r>
            <w:r>
              <w:rPr>
                <w:rFonts w:hint="eastAsia"/>
                <w:color w:val="000000"/>
                <w:sz w:val="24"/>
                <w:szCs w:val="32"/>
              </w:rPr>
              <w:t>日最大8小时平均值的第90百分位数达到国家二级标准要求，PM</w:t>
            </w:r>
            <w:r>
              <w:rPr>
                <w:rFonts w:hint="eastAsia"/>
                <w:color w:val="000000"/>
                <w:sz w:val="24"/>
                <w:szCs w:val="32"/>
                <w:vertAlign w:val="subscript"/>
              </w:rPr>
              <w:t>10</w:t>
            </w:r>
            <w:r>
              <w:rPr>
                <w:rFonts w:hint="eastAsia"/>
                <w:color w:val="000000"/>
                <w:sz w:val="24"/>
                <w:szCs w:val="32"/>
              </w:rPr>
              <w:t>和PM</w:t>
            </w:r>
            <w:r>
              <w:rPr>
                <w:rFonts w:hint="eastAsia"/>
                <w:color w:val="000000"/>
                <w:sz w:val="24"/>
                <w:szCs w:val="32"/>
                <w:vertAlign w:val="subscript"/>
              </w:rPr>
              <w:t>2.5</w:t>
            </w:r>
            <w:r>
              <w:rPr>
                <w:rFonts w:hint="eastAsia"/>
                <w:color w:val="000000"/>
                <w:sz w:val="24"/>
                <w:szCs w:val="32"/>
              </w:rPr>
              <w:t>年均值浓度分别下降到60微克/立方米和37微克/立方米。</w:t>
            </w:r>
          </w:p>
          <w:p w14:paraId="36E9FE0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2030年长期目标：空气质量全面达标，基本消除人为造成的重度及以上污染天。PM</w:t>
            </w:r>
            <w:r>
              <w:rPr>
                <w:rFonts w:hint="eastAsia"/>
                <w:color w:val="000000"/>
                <w:sz w:val="24"/>
                <w:szCs w:val="32"/>
                <w:vertAlign w:val="subscript"/>
              </w:rPr>
              <w:t>10</w:t>
            </w:r>
            <w:r>
              <w:rPr>
                <w:rFonts w:hint="eastAsia"/>
                <w:color w:val="000000"/>
                <w:sz w:val="24"/>
                <w:szCs w:val="32"/>
              </w:rPr>
              <w:t>和PM</w:t>
            </w:r>
            <w:r>
              <w:rPr>
                <w:rFonts w:hint="eastAsia"/>
                <w:color w:val="000000"/>
                <w:sz w:val="24"/>
                <w:szCs w:val="32"/>
                <w:vertAlign w:val="subscript"/>
              </w:rPr>
              <w:t>2.5</w:t>
            </w:r>
            <w:r>
              <w:rPr>
                <w:rFonts w:hint="eastAsia"/>
                <w:color w:val="000000"/>
                <w:sz w:val="24"/>
                <w:szCs w:val="32"/>
              </w:rPr>
              <w:t>年均值浓度分别下降到50微克/立方米和35微克/立方米。</w:t>
            </w:r>
          </w:p>
          <w:p w14:paraId="4B5C18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《规划》提出，以环境空气质量持续改善为核心，以环境空气质量达标为目标，深入践行绿色发展理念，坚持稳中求进工作总基调，以PM</w:t>
            </w:r>
            <w:r>
              <w:rPr>
                <w:rFonts w:hint="eastAsia"/>
                <w:color w:val="000000"/>
                <w:sz w:val="24"/>
                <w:szCs w:val="32"/>
                <w:vertAlign w:val="subscript"/>
              </w:rPr>
              <w:t>2.5</w:t>
            </w:r>
            <w:r>
              <w:rPr>
                <w:rFonts w:hint="eastAsia"/>
                <w:color w:val="000000"/>
                <w:sz w:val="24"/>
                <w:szCs w:val="32"/>
              </w:rPr>
              <w:t>与O3协同防控为主线，突出精准治污、科学治污、依法治污，持续调优产业结构、能源结构、交通运输结构、用地结构，强化面源治理，加强重污染应对，强化区域联防联控，加强基础保障 能力，提升大气污染精细化管控能力。</w:t>
            </w:r>
          </w:p>
          <w:p w14:paraId="079DCF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重点工程项目包括产业结构调整、能源结构调整、运输结构调整、用地结构调整等。</w:t>
            </w:r>
          </w:p>
          <w:p w14:paraId="5DA40C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在产业结构调整方面，推进2310家“散乱污”企业清理整顿和提升工作，深化了6家煤矿（祁东矿、祁南矿、桃园矿、芦岭矿、朱仙庄矿、钱营孜矿）、2家水泥企业（天瑞、海螺）、59家砖瓦窑等重点行业无组织排放的排查整治；推进6家省级工业园区集中供热或清洁能源供热建设。</w:t>
            </w:r>
          </w:p>
          <w:p w14:paraId="683D1B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在能源结构调整方面，散煤治理1.9万户，煤改气3万户，建设3个清洁煤生产企业，推广洁净煤替代散煤，替代20个乡镇原煤使用。燃煤锅炉超低排放改造3台108蒸吨，35蒸吨以上锅炉全部完成超低排放改造，建立生物质锅炉清单、取缔埇桥区符离、顺河乡等16家生物质锅炉，其他生物质锅炉实施高效除尘改造。</w:t>
            </w:r>
          </w:p>
          <w:p w14:paraId="2D727B4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000000"/>
                <w:sz w:val="24"/>
                <w:szCs w:val="32"/>
              </w:rPr>
            </w:pPr>
            <w:r>
              <w:rPr>
                <w:rFonts w:hint="eastAsia"/>
                <w:color w:val="000000"/>
                <w:sz w:val="24"/>
                <w:szCs w:val="32"/>
              </w:rPr>
              <w:t>在交通运输结构调整方面，推进符夹铁路、阜淮徐城际铁路的建设。研究推进大宗货物“公转铁”。新增公交、环卫、邮政、出租、通勤、轻型城市物流车辆中新能源车比例达到80%。完成省政府下达的淘汰国3营运柴油货车淘汰任务。推广使用电动、天然气等清洁能源。强化油品质量监管，实现全市加油站（点）抽检车用汽柴油年度全覆盖；推进“油改气”出租车尾气达标检验（燃气状态时检验），未达标车辆逐步淘汰。</w:t>
            </w:r>
          </w:p>
          <w:p w14:paraId="1547E4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highlight w:val="none"/>
              </w:rPr>
            </w:pPr>
            <w:r>
              <w:rPr>
                <w:rFonts w:hint="eastAsia"/>
                <w:color w:val="000000"/>
                <w:sz w:val="24"/>
                <w:szCs w:val="32"/>
              </w:rPr>
              <w:t>在用地结构调整方面，对全市74家非煤矿山进行生态修复，严格落实施工工地“六个百分之百”要求。完善全市施工工地扬尘管控清单，每月动态更新，实施综合督查考核。市区道路机械化清扫率达到100%，县城建成区达到86%。严格渣土运输车辆规范化管理，市、区两级城管，严厉查处、顶格处罚违规渣土运输行为。纳入名录管理的渣土运输车辆的密闭化率、卫星定位系统安装率均达到100%；全面清理城乡结合部以及城中村拆迁的渣土和建筑垃圾。各县（区）降尘量不高于5吨/月•平方公里。建立网格化监管制度，在秋收阶段开展秸秆禁烧专项巡查。秸秆综合利用率达到89%</w:t>
            </w:r>
            <w:r>
              <w:rPr>
                <w:rFonts w:hint="default"/>
                <w:color w:val="auto"/>
                <w:highlight w:val="none"/>
              </w:rPr>
              <w:t>。</w:t>
            </w:r>
          </w:p>
          <w:p w14:paraId="1EF5EAB1">
            <w:pPr>
              <w:pStyle w:val="2"/>
              <w:numPr>
                <w:ilvl w:val="2"/>
                <w:numId w:val="0"/>
              </w:numPr>
              <w:adjustRightInd w:val="0"/>
              <w:snapToGrid w:val="0"/>
              <w:spacing w:before="0" w:after="0" w:line="360" w:lineRule="auto"/>
              <w:rPr>
                <w:rFonts w:ascii="宋体" w:hAnsi="宋体" w:cs="宋体"/>
                <w:sz w:val="24"/>
                <w:szCs w:val="24"/>
              </w:rPr>
            </w:pPr>
            <w:r>
              <w:rPr>
                <w:rFonts w:hint="default" w:ascii="Times New Roman" w:hAnsi="Times New Roman" w:cs="Times New Roman"/>
                <w:sz w:val="24"/>
                <w:szCs w:val="24"/>
              </w:rPr>
              <w:t>（</w:t>
            </w:r>
            <w:r>
              <w:rPr>
                <w:rFonts w:hint="eastAsia" w:cs="Times New Roman"/>
                <w:sz w:val="24"/>
                <w:szCs w:val="24"/>
                <w:lang w:val="en-US" w:eastAsia="zh-CN"/>
              </w:rPr>
              <w:t>2</w:t>
            </w:r>
            <w:r>
              <w:rPr>
                <w:rFonts w:hint="eastAsia" w:ascii="宋体" w:hAnsi="宋体" w:cs="宋体"/>
                <w:sz w:val="24"/>
                <w:szCs w:val="24"/>
              </w:rPr>
              <w:t>）引用监测（</w:t>
            </w:r>
            <w:r>
              <w:rPr>
                <w:rFonts w:hint="default" w:ascii="Times New Roman" w:hAnsi="Times New Roman" w:cs="Times New Roman"/>
                <w:sz w:val="24"/>
                <w:szCs w:val="24"/>
                <w:lang w:val="en-US" w:eastAsia="zh-CN"/>
              </w:rPr>
              <w:t>TSP</w:t>
            </w:r>
            <w:r>
              <w:rPr>
                <w:rFonts w:hint="eastAsia" w:ascii="宋体" w:hAnsi="宋体" w:cs="宋体"/>
                <w:sz w:val="24"/>
                <w:szCs w:val="24"/>
              </w:rPr>
              <w:t>）</w:t>
            </w:r>
          </w:p>
          <w:p w14:paraId="3848F87B">
            <w:pPr>
              <w:spacing w:line="360" w:lineRule="auto"/>
              <w:ind w:firstLine="480" w:firstLineChars="200"/>
              <w:rPr>
                <w:kern w:val="0"/>
              </w:rPr>
            </w:pPr>
            <w:r>
              <w:rPr>
                <w:rFonts w:hint="eastAsia"/>
              </w:rPr>
              <w:t>项目据此引用《</w:t>
            </w:r>
            <w:r>
              <w:rPr>
                <w:rFonts w:hint="eastAsia"/>
                <w:lang w:val="en-US" w:eastAsia="zh-CN"/>
              </w:rPr>
              <w:t>安徽宿州高新技术产业开发区总体发展规划（2023-2035年）环境影响报告书</w:t>
            </w:r>
            <w:r>
              <w:t>》</w:t>
            </w:r>
            <w:r>
              <w:rPr>
                <w:rFonts w:hint="eastAsia"/>
              </w:rPr>
              <w:t>（</w:t>
            </w:r>
            <w:r>
              <w:rPr>
                <w:rFonts w:hint="eastAsia"/>
                <w:lang w:val="en-US" w:eastAsia="zh-CN"/>
              </w:rPr>
              <w:t>征求意见稿</w:t>
            </w:r>
            <w:r>
              <w:rPr>
                <w:rFonts w:hint="eastAsia"/>
              </w:rPr>
              <w:t>）</w:t>
            </w:r>
            <w:r>
              <w:t>中</w:t>
            </w:r>
            <w:r>
              <w:rPr>
                <w:rFonts w:hint="eastAsia"/>
                <w:lang w:val="en-US" w:eastAsia="zh-CN"/>
              </w:rPr>
              <w:t>安徽创新检测技术有限公司</w:t>
            </w:r>
            <w:r>
              <w:t>监测数据，监测时间为20</w:t>
            </w:r>
            <w:r>
              <w:rPr>
                <w:rFonts w:hint="eastAsia"/>
              </w:rPr>
              <w:t>2</w:t>
            </w:r>
            <w:r>
              <w:rPr>
                <w:rFonts w:hint="eastAsia"/>
                <w:lang w:val="en-US" w:eastAsia="zh-CN"/>
              </w:rPr>
              <w:t>3</w:t>
            </w:r>
            <w:r>
              <w:t>年</w:t>
            </w:r>
            <w:r>
              <w:rPr>
                <w:rFonts w:hint="eastAsia"/>
                <w:lang w:val="en-US" w:eastAsia="zh-CN"/>
              </w:rPr>
              <w:t>5</w:t>
            </w:r>
            <w:r>
              <w:t>月</w:t>
            </w:r>
            <w:r>
              <w:rPr>
                <w:rFonts w:hint="eastAsia"/>
                <w:lang w:val="en-US" w:eastAsia="zh-CN"/>
              </w:rPr>
              <w:t>15</w:t>
            </w:r>
            <w:r>
              <w:t>日~</w:t>
            </w:r>
            <w:r>
              <w:rPr>
                <w:rFonts w:hint="eastAsia"/>
                <w:lang w:val="en-US" w:eastAsia="zh-CN"/>
              </w:rPr>
              <w:t>5</w:t>
            </w:r>
            <w:r>
              <w:rPr>
                <w:rFonts w:hint="eastAsia"/>
              </w:rPr>
              <w:t>月</w:t>
            </w:r>
            <w:r>
              <w:rPr>
                <w:rFonts w:hint="eastAsia"/>
                <w:lang w:val="en-US" w:eastAsia="zh-CN"/>
              </w:rPr>
              <w:t>21</w:t>
            </w:r>
            <w:r>
              <w:t>日。本项目引用</w:t>
            </w:r>
            <w:r>
              <w:rPr>
                <w:rFonts w:hint="eastAsia"/>
              </w:rPr>
              <w:t>G</w:t>
            </w:r>
            <w:r>
              <w:rPr>
                <w:rFonts w:hint="eastAsia"/>
                <w:lang w:val="en-US" w:eastAsia="zh-CN"/>
              </w:rPr>
              <w:t>1小郭家</w:t>
            </w:r>
            <w:r>
              <w:t>监测点位监测数据</w:t>
            </w:r>
            <w:r>
              <w:rPr>
                <w:rFonts w:hint="eastAsia"/>
              </w:rPr>
              <w:t>，本项目距离G</w:t>
            </w:r>
            <w:r>
              <w:rPr>
                <w:rFonts w:hint="eastAsia"/>
                <w:lang w:val="en-US" w:eastAsia="zh-CN"/>
              </w:rPr>
              <w:t>1小郭家</w:t>
            </w:r>
            <w:r>
              <w:rPr>
                <w:rFonts w:hint="eastAsia"/>
              </w:rPr>
              <w:t>约</w:t>
            </w:r>
            <w:r>
              <w:rPr>
                <w:rFonts w:hint="eastAsia"/>
                <w:lang w:val="en-US" w:eastAsia="zh-CN"/>
              </w:rPr>
              <w:t>2511</w:t>
            </w:r>
            <w:r>
              <w:rPr>
                <w:rFonts w:hint="eastAsia"/>
              </w:rPr>
              <w:t>m</w:t>
            </w:r>
            <w:r>
              <w:t>；根据《环境影响评价技术导则 大气环境》（HJ2.2-2018）要求，本项目环境质量现状监测引用该项目现状监测数据是可行的。</w:t>
            </w:r>
          </w:p>
          <w:p w14:paraId="59D12EAC">
            <w:pPr>
              <w:adjustRightInd w:val="0"/>
              <w:snapToGrid w:val="0"/>
              <w:spacing w:line="360" w:lineRule="auto"/>
              <w:ind w:firstLine="480" w:firstLineChars="200"/>
              <w:jc w:val="left"/>
              <w:rPr>
                <w:kern w:val="0"/>
              </w:rPr>
            </w:pPr>
            <w:r>
              <w:rPr>
                <w:kern w:val="0"/>
              </w:rPr>
              <w:t>①监测点位</w:t>
            </w:r>
          </w:p>
          <w:p w14:paraId="32F40548">
            <w:pPr>
              <w:adjustRightInd w:val="0"/>
              <w:snapToGrid w:val="0"/>
              <w:ind w:firstLine="12" w:firstLineChars="5"/>
              <w:jc w:val="center"/>
              <w:rPr>
                <w:b/>
                <w:bCs/>
                <w:kern w:val="0"/>
              </w:rPr>
            </w:pPr>
            <w:r>
              <w:rPr>
                <w:b/>
                <w:bCs/>
                <w:kern w:val="0"/>
              </w:rPr>
              <w:t>表3</w:t>
            </w:r>
            <w:r>
              <w:rPr>
                <w:rFonts w:hint="eastAsia"/>
                <w:b/>
                <w:bCs/>
                <w:kern w:val="0"/>
              </w:rPr>
              <w:t>.2</w:t>
            </w:r>
            <w:r>
              <w:rPr>
                <w:b/>
                <w:bCs/>
                <w:kern w:val="0"/>
              </w:rPr>
              <w:t xml:space="preserve"> </w:t>
            </w:r>
            <w:r>
              <w:rPr>
                <w:rFonts w:hint="eastAsia"/>
                <w:b/>
                <w:bCs/>
                <w:kern w:val="0"/>
              </w:rPr>
              <w:t xml:space="preserve"> </w:t>
            </w:r>
            <w:r>
              <w:rPr>
                <w:b/>
                <w:bCs/>
                <w:kern w:val="0"/>
              </w:rPr>
              <w:t>监测点位分布</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2902"/>
              <w:gridCol w:w="1991"/>
              <w:gridCol w:w="1991"/>
            </w:tblGrid>
            <w:tr w14:paraId="22BA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pct"/>
                  <w:vAlign w:val="center"/>
                </w:tcPr>
                <w:p w14:paraId="1517B791">
                  <w:pPr>
                    <w:adjustRightInd w:val="0"/>
                    <w:snapToGrid w:val="0"/>
                    <w:jc w:val="center"/>
                    <w:rPr>
                      <w:b/>
                      <w:bCs/>
                      <w:kern w:val="0"/>
                      <w:sz w:val="21"/>
                      <w:szCs w:val="21"/>
                    </w:rPr>
                  </w:pPr>
                  <w:r>
                    <w:rPr>
                      <w:b/>
                      <w:bCs/>
                      <w:kern w:val="0"/>
                      <w:sz w:val="21"/>
                      <w:szCs w:val="21"/>
                    </w:rPr>
                    <w:t>序号</w:t>
                  </w:r>
                </w:p>
              </w:tc>
              <w:tc>
                <w:tcPr>
                  <w:tcW w:w="1822" w:type="pct"/>
                  <w:vAlign w:val="center"/>
                </w:tcPr>
                <w:p w14:paraId="2C56F121">
                  <w:pPr>
                    <w:adjustRightInd w:val="0"/>
                    <w:snapToGrid w:val="0"/>
                    <w:jc w:val="center"/>
                    <w:rPr>
                      <w:b/>
                      <w:bCs/>
                      <w:kern w:val="0"/>
                      <w:sz w:val="21"/>
                      <w:szCs w:val="21"/>
                    </w:rPr>
                  </w:pPr>
                  <w:r>
                    <w:rPr>
                      <w:b/>
                      <w:bCs/>
                      <w:kern w:val="0"/>
                      <w:sz w:val="21"/>
                      <w:szCs w:val="21"/>
                    </w:rPr>
                    <w:t>监测点位</w:t>
                  </w:r>
                </w:p>
              </w:tc>
              <w:tc>
                <w:tcPr>
                  <w:tcW w:w="1250" w:type="pct"/>
                  <w:vAlign w:val="center"/>
                </w:tcPr>
                <w:p w14:paraId="43F53FB8">
                  <w:pPr>
                    <w:adjustRightInd w:val="0"/>
                    <w:snapToGrid w:val="0"/>
                    <w:jc w:val="center"/>
                    <w:rPr>
                      <w:b/>
                      <w:bCs/>
                      <w:kern w:val="0"/>
                      <w:sz w:val="21"/>
                      <w:szCs w:val="21"/>
                    </w:rPr>
                  </w:pPr>
                  <w:r>
                    <w:rPr>
                      <w:b/>
                      <w:bCs/>
                      <w:kern w:val="0"/>
                      <w:sz w:val="21"/>
                      <w:szCs w:val="21"/>
                    </w:rPr>
                    <w:t>方位</w:t>
                  </w:r>
                </w:p>
              </w:tc>
              <w:tc>
                <w:tcPr>
                  <w:tcW w:w="1250" w:type="pct"/>
                  <w:vAlign w:val="center"/>
                </w:tcPr>
                <w:p w14:paraId="3F220AF8">
                  <w:pPr>
                    <w:adjustRightInd w:val="0"/>
                    <w:snapToGrid w:val="0"/>
                    <w:jc w:val="center"/>
                    <w:rPr>
                      <w:b/>
                      <w:bCs/>
                      <w:kern w:val="0"/>
                      <w:sz w:val="21"/>
                      <w:szCs w:val="21"/>
                    </w:rPr>
                  </w:pPr>
                  <w:r>
                    <w:rPr>
                      <w:b/>
                      <w:bCs/>
                      <w:kern w:val="0"/>
                      <w:sz w:val="21"/>
                      <w:szCs w:val="21"/>
                    </w:rPr>
                    <w:t>距离</w:t>
                  </w:r>
                </w:p>
              </w:tc>
            </w:tr>
            <w:tr w14:paraId="179A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8" w:type="pct"/>
                  <w:vAlign w:val="center"/>
                </w:tcPr>
                <w:p w14:paraId="59DB64A4">
                  <w:pPr>
                    <w:adjustRightInd w:val="0"/>
                    <w:snapToGrid w:val="0"/>
                    <w:jc w:val="center"/>
                    <w:rPr>
                      <w:kern w:val="0"/>
                      <w:sz w:val="21"/>
                      <w:szCs w:val="21"/>
                    </w:rPr>
                  </w:pPr>
                  <w:r>
                    <w:rPr>
                      <w:kern w:val="0"/>
                      <w:sz w:val="21"/>
                      <w:szCs w:val="21"/>
                    </w:rPr>
                    <w:t>1</w:t>
                  </w:r>
                </w:p>
              </w:tc>
              <w:tc>
                <w:tcPr>
                  <w:tcW w:w="1822" w:type="pct"/>
                  <w:vAlign w:val="center"/>
                </w:tcPr>
                <w:p w14:paraId="02D81965">
                  <w:pPr>
                    <w:adjustRightInd w:val="0"/>
                    <w:snapToGrid w:val="0"/>
                    <w:jc w:val="center"/>
                    <w:rPr>
                      <w:rFonts w:hint="default" w:eastAsia="宋体"/>
                      <w:kern w:val="0"/>
                      <w:sz w:val="21"/>
                      <w:szCs w:val="21"/>
                      <w:lang w:val="en-US" w:eastAsia="zh-CN"/>
                    </w:rPr>
                  </w:pPr>
                  <w:r>
                    <w:rPr>
                      <w:rFonts w:hint="eastAsia"/>
                      <w:kern w:val="0"/>
                      <w:sz w:val="21"/>
                      <w:szCs w:val="21"/>
                    </w:rPr>
                    <w:t>G1</w:t>
                  </w:r>
                  <w:r>
                    <w:rPr>
                      <w:rFonts w:hint="eastAsia"/>
                      <w:kern w:val="0"/>
                      <w:sz w:val="21"/>
                      <w:szCs w:val="21"/>
                      <w:lang w:val="en-US" w:eastAsia="zh-CN"/>
                    </w:rPr>
                    <w:t>小郭家</w:t>
                  </w:r>
                </w:p>
              </w:tc>
              <w:tc>
                <w:tcPr>
                  <w:tcW w:w="1250" w:type="pct"/>
                  <w:vAlign w:val="center"/>
                </w:tcPr>
                <w:p w14:paraId="51666EC6">
                  <w:pPr>
                    <w:adjustRightInd w:val="0"/>
                    <w:snapToGrid w:val="0"/>
                    <w:jc w:val="center"/>
                    <w:rPr>
                      <w:kern w:val="0"/>
                      <w:sz w:val="21"/>
                      <w:szCs w:val="21"/>
                    </w:rPr>
                  </w:pPr>
                  <w:r>
                    <w:rPr>
                      <w:rFonts w:hint="eastAsia"/>
                      <w:kern w:val="0"/>
                      <w:sz w:val="21"/>
                      <w:szCs w:val="21"/>
                    </w:rPr>
                    <w:t>东北</w:t>
                  </w:r>
                </w:p>
              </w:tc>
              <w:tc>
                <w:tcPr>
                  <w:tcW w:w="1250" w:type="pct"/>
                  <w:vAlign w:val="center"/>
                </w:tcPr>
                <w:p w14:paraId="6DE0DD55">
                  <w:pPr>
                    <w:adjustRightInd w:val="0"/>
                    <w:snapToGrid w:val="0"/>
                    <w:jc w:val="center"/>
                    <w:rPr>
                      <w:kern w:val="0"/>
                      <w:sz w:val="21"/>
                      <w:szCs w:val="21"/>
                    </w:rPr>
                  </w:pPr>
                  <w:r>
                    <w:rPr>
                      <w:rFonts w:hint="eastAsia"/>
                      <w:kern w:val="0"/>
                      <w:sz w:val="21"/>
                      <w:szCs w:val="21"/>
                      <w:lang w:val="en-US" w:eastAsia="zh-CN"/>
                    </w:rPr>
                    <w:t>2511</w:t>
                  </w:r>
                  <w:r>
                    <w:rPr>
                      <w:kern w:val="0"/>
                      <w:sz w:val="21"/>
                      <w:szCs w:val="21"/>
                    </w:rPr>
                    <w:t>m</w:t>
                  </w:r>
                </w:p>
              </w:tc>
            </w:tr>
          </w:tbl>
          <w:p w14:paraId="48F3ACD0">
            <w:pPr>
              <w:adjustRightInd w:val="0"/>
              <w:snapToGrid w:val="0"/>
              <w:spacing w:before="120" w:beforeLines="50" w:line="360" w:lineRule="auto"/>
              <w:jc w:val="center"/>
            </w:pPr>
            <w:r>
              <mc:AlternateContent>
                <mc:Choice Requires="wps">
                  <w:drawing>
                    <wp:anchor distT="0" distB="0" distL="114300" distR="114300" simplePos="0" relativeHeight="251664384" behindDoc="0" locked="0" layoutInCell="1" allowOverlap="1">
                      <wp:simplePos x="0" y="0"/>
                      <wp:positionH relativeFrom="column">
                        <wp:posOffset>2690495</wp:posOffset>
                      </wp:positionH>
                      <wp:positionV relativeFrom="paragraph">
                        <wp:posOffset>1479550</wp:posOffset>
                      </wp:positionV>
                      <wp:extent cx="904240" cy="266700"/>
                      <wp:effectExtent l="4445" t="4445" r="443865" b="14605"/>
                      <wp:wrapNone/>
                      <wp:docPr id="22" name="矩形标注 22"/>
                      <wp:cNvGraphicFramePr/>
                      <a:graphic xmlns:a="http://schemas.openxmlformats.org/drawingml/2006/main">
                        <a:graphicData uri="http://schemas.microsoft.com/office/word/2010/wordprocessingShape">
                          <wps:wsp>
                            <wps:cNvSpPr/>
                            <wps:spPr>
                              <a:xfrm>
                                <a:off x="0" y="0"/>
                                <a:ext cx="904240" cy="266700"/>
                              </a:xfrm>
                              <a:prstGeom prst="wedgeRectCallout">
                                <a:avLst>
                                  <a:gd name="adj1" fmla="val 94241"/>
                                  <a:gd name="adj2" fmla="val -476"/>
                                </a:avLst>
                              </a:prstGeom>
                              <a:solidFill>
                                <a:srgbClr val="FFFFFF"/>
                              </a:solidFill>
                              <a:ln w="9525" cap="flat" cmpd="sng">
                                <a:solidFill>
                                  <a:srgbClr val="000000"/>
                                </a:solidFill>
                                <a:prstDash val="solid"/>
                                <a:miter/>
                                <a:headEnd type="none" w="med" len="med"/>
                                <a:tailEnd type="none" w="med" len="med"/>
                              </a:ln>
                            </wps:spPr>
                            <wps:txbx>
                              <w:txbxContent>
                                <w:p w14:paraId="51C1F3FF">
                                  <w:pPr>
                                    <w:rPr>
                                      <w:rFonts w:hint="default" w:eastAsia="宋体"/>
                                      <w:sz w:val="21"/>
                                      <w:szCs w:val="20"/>
                                      <w:lang w:val="en-US" w:eastAsia="zh-CN"/>
                                    </w:rPr>
                                  </w:pPr>
                                  <w:r>
                                    <w:rPr>
                                      <w:rFonts w:hint="eastAsia"/>
                                      <w:sz w:val="21"/>
                                      <w:szCs w:val="20"/>
                                      <w:lang w:val="en-US" w:eastAsia="zh-CN"/>
                                    </w:rPr>
                                    <w:t>G1小郭家</w:t>
                                  </w:r>
                                </w:p>
                              </w:txbxContent>
                            </wps:txbx>
                            <wps:bodyPr upright="1"/>
                          </wps:wsp>
                        </a:graphicData>
                      </a:graphic>
                    </wp:anchor>
                  </w:drawing>
                </mc:Choice>
                <mc:Fallback>
                  <w:pict>
                    <v:shape id="_x0000_s1026" o:spid="_x0000_s1026" o:spt="61" type="#_x0000_t61" style="position:absolute;left:0pt;margin-left:211.85pt;margin-top:116.5pt;height:21pt;width:71.2pt;z-index:251664384;mso-width-relative:page;mso-height-relative:page;" fillcolor="#FFFFFF" filled="t" stroked="t" coordsize="21600,21600" o:gfxdata="UEsDBAoAAAAAAIdO4kAAAAAAAAAAAAAAAAAEAAAAZHJzL1BLAwQUAAAACACHTuJARBg5S9kAAAAL&#10;AQAADwAAAGRycy9kb3ducmV2LnhtbE2PwU7DMAyG70i8Q2QkLoglbbcOlaaTAO0IEmMXblnjtdUa&#10;pzTpVt4ec4Kj7V+fv7/czK4XZxxD50lDslAgkGpvO2o07D+29w8gQjRkTe8JNXxjgE11fVWawvoL&#10;veN5FxvBEAqF0dDGOBRShrpFZ8LCD0h8O/rRmcjj2Eg7mgvDXS9TpXLpTEf8oTUDPrdYn3aT05A+&#10;fZ7Ua/2yvfNvYW6+Mn+c9kutb28S9Qgi4hz/wvCrz+pQsdPBT2SD6DUs02zNUYZlGZfixCrPExAH&#10;3qxXCmRVyv8dqh9QSwMEFAAAAAgAh07iQAhF9hA2AgAAjAQAAA4AAABkcnMvZTJvRG9jLnhtbK1U&#10;zXLTMBC+M8M7aHRv7HjSlGbi9NAQLgx0KH0ARZJtMfobSYmdJ+AxYDjBuWceh/IaXckmSQuHHNBB&#10;Xkmrb/f7Vuv5Vack2nLnhdElHo9yjLimhgldl/ju4+rsFUY+EM2INJqXeMc9vlq8fDFv7YwXpjGS&#10;cYcARPtZa0vchGBnWeZpwxXxI2O5hsPKOEUCLF2dMUdaQFcyK/J8mrXGMesM5d7D7rI/xAOiOwXQ&#10;VJWgfGnoRnEdelTHJQlAyTfCerxI2VYVp+F9VXkekCwxMA1phiBgr+OcLeZkVjtiG0GHFMgpKTzj&#10;pIjQEHQPtSSBoI0Tf0EpQZ3xpgojalTWE0mKAItx/kyb24ZYnriA1N7uRff/D5a+2944JFiJiwIj&#10;TRRU/PeXH79+fnv4+vnh/juCbdCotX4Grrf2xg0rD2Yk3FVOxS9QQV3SdbfXlXcBUdi8zCfFBBSn&#10;cFRMpxd50j07XLbOhzfcKBSNErec1fwD1O6aSGk2ISlLtm99SBKzIU/CPo0xqpSEim2JRJcQZTxU&#10;9MgHeB18ziYX0+gCwQdAsP6Ej+jeSMFWQsq0cPX6WjoE6CVepTFcfuImNWqB5XlxDhwJ9EQFbxFM&#10;ZUFXr+uU/5Mb/hg4T+NfwDGxJfFNn0BC6PkpEbhLb7fhhL3WDIWdhdJpaFkck1GcYSQ5dHi0kmcg&#10;Qp7iCYJIDQrFmvdVjlbo1t1Q+rVhO3g0G+tE3UC5kubJHR5pknZoqNgFx+sEeviJLB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Bg5S9kAAAALAQAADwAAAAAAAAABACAAAAAiAAAAZHJzL2Rvd25y&#10;ZXYueG1sUEsBAhQAFAAAAAgAh07iQAhF9hA2AgAAjAQAAA4AAAAAAAAAAQAgAAAAKAEAAGRycy9l&#10;Mm9Eb2MueG1sUEsFBgAAAAAGAAYAWQEAANAFAAAAAA==&#10;" adj="31156,10697">
                      <v:fill on="t" focussize="0,0"/>
                      <v:stroke color="#000000" joinstyle="miter"/>
                      <v:imagedata o:title=""/>
                      <o:lock v:ext="edit" aspectratio="f"/>
                      <v:textbox>
                        <w:txbxContent>
                          <w:p w14:paraId="51C1F3FF">
                            <w:pPr>
                              <w:rPr>
                                <w:rFonts w:hint="default" w:eastAsia="宋体"/>
                                <w:sz w:val="21"/>
                                <w:szCs w:val="20"/>
                                <w:lang w:val="en-US" w:eastAsia="zh-CN"/>
                              </w:rPr>
                            </w:pPr>
                            <w:r>
                              <w:rPr>
                                <w:rFonts w:hint="eastAsia"/>
                                <w:sz w:val="21"/>
                                <w:szCs w:val="20"/>
                                <w:lang w:val="en-US" w:eastAsia="zh-CN"/>
                              </w:rPr>
                              <w:t>G1小郭家</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1299845</wp:posOffset>
                      </wp:positionH>
                      <wp:positionV relativeFrom="paragraph">
                        <wp:posOffset>2174875</wp:posOffset>
                      </wp:positionV>
                      <wp:extent cx="904240" cy="266700"/>
                      <wp:effectExtent l="4445" t="4445" r="443865" b="14605"/>
                      <wp:wrapNone/>
                      <wp:docPr id="9" name="矩形标注 9"/>
                      <wp:cNvGraphicFramePr/>
                      <a:graphic xmlns:a="http://schemas.openxmlformats.org/drawingml/2006/main">
                        <a:graphicData uri="http://schemas.microsoft.com/office/word/2010/wordprocessingShape">
                          <wps:wsp>
                            <wps:cNvSpPr/>
                            <wps:spPr>
                              <a:xfrm>
                                <a:off x="0" y="0"/>
                                <a:ext cx="904240" cy="266700"/>
                              </a:xfrm>
                              <a:prstGeom prst="wedgeRectCallout">
                                <a:avLst>
                                  <a:gd name="adj1" fmla="val 94241"/>
                                  <a:gd name="adj2" fmla="val -476"/>
                                </a:avLst>
                              </a:prstGeom>
                              <a:solidFill>
                                <a:srgbClr val="FFFFFF"/>
                              </a:solidFill>
                              <a:ln w="9525" cap="flat" cmpd="sng">
                                <a:solidFill>
                                  <a:srgbClr val="000000"/>
                                </a:solidFill>
                                <a:prstDash val="solid"/>
                                <a:miter/>
                                <a:headEnd type="none" w="med" len="med"/>
                                <a:tailEnd type="none" w="med" len="med"/>
                              </a:ln>
                            </wps:spPr>
                            <wps:txbx>
                              <w:txbxContent>
                                <w:p w14:paraId="72092356">
                                  <w:pPr>
                                    <w:rPr>
                                      <w:sz w:val="21"/>
                                      <w:szCs w:val="20"/>
                                    </w:rPr>
                                  </w:pPr>
                                  <w:r>
                                    <w:rPr>
                                      <w:rFonts w:hint="eastAsia"/>
                                      <w:sz w:val="21"/>
                                      <w:szCs w:val="20"/>
                                    </w:rPr>
                                    <w:t>项目所在地</w:t>
                                  </w:r>
                                </w:p>
                              </w:txbxContent>
                            </wps:txbx>
                            <wps:bodyPr upright="1"/>
                          </wps:wsp>
                        </a:graphicData>
                      </a:graphic>
                    </wp:anchor>
                  </w:drawing>
                </mc:Choice>
                <mc:Fallback>
                  <w:pict>
                    <v:shape id="_x0000_s1026" o:spid="_x0000_s1026" o:spt="61" type="#_x0000_t61" style="position:absolute;left:0pt;margin-left:102.35pt;margin-top:171.25pt;height:21pt;width:71.2pt;z-index:251660288;mso-width-relative:page;mso-height-relative:page;" fillcolor="#FFFFFF" filled="t" stroked="t" coordsize="21600,21600" o:gfxdata="UEsDBAoAAAAAAIdO4kAAAAAAAAAAAAAAAAAEAAAAZHJzL1BLAwQUAAAACACHTuJAtTORo9oAAAAL&#10;AQAADwAAAGRycy9kb3ducmV2LnhtbE2PTU/DMAyG70j8h8hIXBBL+jE2laaTAO0IEmMXblnjtdUa&#10;pzTpVv495gQ3W371+HnLzex6ccYxdJ40JAsFAqn2tqNGw/5je78GEaIha3pPqOEbA2yq66vSFNZf&#10;6B3Pu9gIhlAojIY2xqGQMtQtOhMWfkDi29GPzkRex0ba0VwY7nqZKvUgnemIP7RmwOcW69NuchrS&#10;p8+Teq1ftnf+LczNV+aP0z7X+vYmUY8gIs7xLwy/+qwOFTsd/EQ2iJ4ZKl9xVEOWp0sQnMjyVQLi&#10;wMM6X4KsSvm/Q/UDUEsDBBQAAAAIAIdO4kDDZ/DHNAIAAIoEAAAOAAAAZHJzL2Uyb0RvYy54bWyt&#10;VE1y0zAU3jPDHTTaN3Y8aUoycbpoCBsGOpQeQJFkW4z+RlJi5wQcA4YVrLvmOJRr9Ek2aVpYZIEX&#10;zpP19L33fZ9eFpedkmjHnRdGl3g8yjHimhomdF3i24/rs1cY+UA0I9JoXuI99/hy+fLForVzXpjG&#10;SMYdAhDt560tcROCnWeZpw1XxI+M5Ro2K+MUCbB0dcYcaQFdyazI82nWGsesM5R7D19X/SYeEN0p&#10;gKaqBOUrQ7eK69CjOi5JAEq+EdbjZeq2qjgN76vK84BkiYFpSG8oAvEmvrPlgsxrR2wj6NACOaWF&#10;Z5wUERqKHqBWJBC0deIvKCWoM95UYUSNynoiSRFgMc6faXPTEMsTF5Da24Po/v/B0ne7a4cEK/EM&#10;I00UGP77y49fP7/df/18f/cdzaJCrfVzSLyx125YeQgj3a5yKv4CEdQlVfcHVXkXEIWPs3xSTEBv&#10;ClvFdHqRJ9Wzx8PW+fCGG4ViUOKWs5p/AOeuiJRmG5KuZPfWhyQwG9ok7NMYo0pJ8GtHJJpBlfHg&#10;51FOcZxzNrmYxhQoPgBC9Kd8RPdGCrYWUqaFqzdX0iFAL/E6PcPhJ2lSoxZYnhfnwJHARFRwEyFU&#10;FlT1uk79Pznhj4Hz9PwLODa2Ir7pG0gIPT8lAnfp5jacsNeaobC34JyGgcWxGcUZRpLDfMcoZQYi&#10;5CmZIIjUoFD0vHc5RqHbdIP1G8P2cGW21om6AbuS5ikdrmiSdhinOAPH6wT6+Beyf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1M5Gj2gAAAAsBAAAPAAAAAAAAAAEAIAAAACIAAABkcnMvZG93bnJl&#10;di54bWxQSwECFAAUAAAACACHTuJAw2fwxzQCAACKBAAADgAAAAAAAAABACAAAAApAQAAZHJzL2Uy&#10;b0RvYy54bWxQSwUGAAAAAAYABgBZAQAAzwUAAAAA&#10;" adj="31156,10697">
                      <v:fill on="t" focussize="0,0"/>
                      <v:stroke color="#000000" joinstyle="miter"/>
                      <v:imagedata o:title=""/>
                      <o:lock v:ext="edit" aspectratio="f"/>
                      <v:textbox>
                        <w:txbxContent>
                          <w:p w14:paraId="72092356">
                            <w:pPr>
                              <w:rPr>
                                <w:sz w:val="21"/>
                                <w:szCs w:val="20"/>
                              </w:rPr>
                            </w:pPr>
                            <w:r>
                              <w:rPr>
                                <w:rFonts w:hint="eastAsia"/>
                                <w:sz w:val="21"/>
                                <w:szCs w:val="20"/>
                              </w:rPr>
                              <w:t>项目所在地</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2607945</wp:posOffset>
                      </wp:positionH>
                      <wp:positionV relativeFrom="paragraph">
                        <wp:posOffset>1614170</wp:posOffset>
                      </wp:positionV>
                      <wp:extent cx="1402080" cy="717550"/>
                      <wp:effectExtent l="1905" t="5080" r="5715" b="20320"/>
                      <wp:wrapNone/>
                      <wp:docPr id="10" name="直接箭头连接符 10"/>
                      <wp:cNvGraphicFramePr/>
                      <a:graphic xmlns:a="http://schemas.openxmlformats.org/drawingml/2006/main">
                        <a:graphicData uri="http://schemas.microsoft.com/office/word/2010/wordprocessingShape">
                          <wps:wsp>
                            <wps:cNvCnPr/>
                            <wps:spPr>
                              <a:xfrm flipV="1">
                                <a:off x="3668395" y="6008370"/>
                                <a:ext cx="1402080" cy="7175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5.35pt;margin-top:127.1pt;height:56.5pt;width:110.4pt;z-index:251661312;mso-width-relative:page;mso-height-relative:page;" filled="f" stroked="t" coordsize="21600,21600" o:gfxdata="UEsDBAoAAAAAAIdO4kAAAAAAAAAAAAAAAAAEAAAAZHJzL1BLAwQUAAAACACHTuJAozgPctkAAAAL&#10;AQAADwAAAGRycy9kb3ducmV2LnhtbE2Py07DMBBF90j8gzVI7KidNE1QyKQLBBskhChIbF17mkT4&#10;Edlu0/49ZgXL0T2690y3PVvDThTi5B1CsRLAyCmvJzcgfH48390Di0k6LY13hHChCNv++qqTrfaL&#10;e6fTLg0sl7jYSoQxpbnlPKqRrIwrP5PL2cEHK1M+w8B1kEsut4aXQtTcysnlhVHO9DiS+t4dLYIO&#10;6at+e5rTYlRUh+q1eRGXBvH2phAPwBKd0x8Mv/pZHfrstPdHpyMzCFUhmowilJuqBJaJel1sgO0R&#10;1nVTAu87/v+H/gdQSwMEFAAAAAgAh07iQPiiXRgVAgAA5AMAAA4AAABkcnMvZTJvRG9jLnhtbK1T&#10;zY7TMBC+I/EOlu80aUt/tmq6h5ZyQVAJlrvrOIkl/2nsbdqX4AWQOAGnhdPeeRp2eQzGTlhgueyB&#10;HKKxZ+ab+b4ZL8+PWpGDAC+tKehwkFMiDLelNHVBL95sn8wp8YGZkilrREFPwtPz1eNHy9YtxMg2&#10;VpUCCIIYv2hdQZsQ3CLLPG+EZn5gnTDorCxoFvAIdVYCaxFdq2yU59OstVA6sFx4j7ebzkl7RHgI&#10;oK0qycXG8kstTOhQQSgWkJJvpPN0lbqtKsHDq6ryIhBVUGQa0h+LoL2P/2y1ZIsamGsk71tgD2nh&#10;HifNpMGid1AbFhi5BPkPlJYcrLdVGHCrs45IUgRZDPN72rxumBOJC0rt3Z3o/v/B8peHHRBZ4iag&#10;JIZpnPjt++ubd59uv375/vH6x7cP0b76TNCPYrXOLzBnbXbQn7zbQWR+rECTSkn3FrGSFsiOHAs6&#10;nk7n47MJJaeCTvN8Pp71sotjIBwDhk/zUT7H8hwjZsPZZJICsg4zYjvw4bmwmkSjoD4Ak3UT1tYY&#10;nLCFrh47vPABu8LEXwkx2ditVCoNWhnSFvRsMsJuOMPlrXBp0NQOBfCmpoSpGl8FD5AYeKtkGbMj&#10;jod6v1ZADgx3abvN8YuKYLW/wmLpDfNNF5dc3ZYFJtUzU5JwcigyA7Btn68MwkRlOy2jtbflKUmc&#10;7nH4qVC/qHG7/jyn7N+Pc/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zgPctkAAAALAQAADwAA&#10;AAAAAAABACAAAAAiAAAAZHJzL2Rvd25yZXYueG1sUEsBAhQAFAAAAAgAh07iQPiiXRgVAgAA5AMA&#10;AA4AAAAAAAAAAQAgAAAAKAEAAGRycy9lMm9Eb2MueG1sUEsFBgAAAAAGAAYAWQEAAK8FAAAAAA==&#10;">
                      <v:fill on="f" focussize="0,0"/>
                      <v:stroke color="#FF0000 [3204]" joinstyle="round" endarrow="open"/>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2752725</wp:posOffset>
                      </wp:positionH>
                      <wp:positionV relativeFrom="paragraph">
                        <wp:posOffset>1376045</wp:posOffset>
                      </wp:positionV>
                      <wp:extent cx="695960" cy="400050"/>
                      <wp:effectExtent l="0" t="0" r="0" b="0"/>
                      <wp:wrapNone/>
                      <wp:docPr id="8" name="文本框 8"/>
                      <wp:cNvGraphicFramePr/>
                      <a:graphic xmlns:a="http://schemas.openxmlformats.org/drawingml/2006/main">
                        <a:graphicData uri="http://schemas.microsoft.com/office/word/2010/wordprocessingShape">
                          <wps:wsp>
                            <wps:cNvSpPr txBox="1"/>
                            <wps:spPr>
                              <a:xfrm>
                                <a:off x="5083810" y="6055995"/>
                                <a:ext cx="695960"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244074">
                                  <w:pPr>
                                    <w:rPr>
                                      <w:color w:val="FF0000"/>
                                    </w:rPr>
                                  </w:pPr>
                                  <w:r>
                                    <w:rPr>
                                      <w:rFonts w:hint="eastAsia"/>
                                      <w:color w:val="FF0000"/>
                                      <w:lang w:val="en-US" w:eastAsia="zh-CN"/>
                                    </w:rPr>
                                    <w:t>2511</w:t>
                                  </w:r>
                                  <w:r>
                                    <w:rPr>
                                      <w:rFonts w:hint="eastAsia"/>
                                      <w:color w:val="FF0000"/>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75pt;margin-top:108.35pt;height:31.5pt;width:54.8pt;z-index:251662336;mso-width-relative:page;mso-height-relative:page;" filled="f" stroked="f" coordsize="21600,21600" o:gfxdata="UEsDBAoAAAAAAIdO4kAAAAAAAAAAAAAAAAAEAAAAZHJzL1BLAwQUAAAACACHTuJAmiGSrtwAAAAL&#10;AQAADwAAAGRycy9kb3ducmV2LnhtbE2Py07DMBBF90j8gzVI7KjzaJoS4lQoUoWEYNHSDbtJ7CYR&#10;foTYfdCvZ7qC5cwc3Tm3XJ2NZkc1+cFZAfEsAqZs6+RgOwG7j/XDEpgPaCVqZ5WAH+VhVd3elFhI&#10;d7IbddyGjlGI9QUK6EMYC8592yuDfuZGZem2d5PBQOPUcTnhicKN5kkULbjBwdKHHkdV96r92h6M&#10;gNd6/Y6bJjHLi65f3vbP4/fuMxPi/i6OnoAFdQ5/MFz1SR0qcmrcwUrPtIB5mmaECkjiRQ6MiGye&#10;xsAa2uSPOfCq5P87VL9QSwMEFAAAAAgAh07iQHkX3plGAgAAcQQAAA4AAABkcnMvZTJvRG9jLnht&#10;bK1UzW4TMRC+I/EOlu90N2k2JFE3VWhVhFTRSgVxdrze7Er+w3a6Wx4A3oATF+48V56Dz96kLYVD&#10;D1ycsWf2m/m+mcnJaa8kuRXOt0aXdHSUUyI0N1WrNyX9+OHi1YwSH5iumDRalPROeHq6fPnipLML&#10;MTaNkZVwBCDaLzpb0iYEu8gyzxuhmD8yVmg4a+MUC7i6TVY51gFdyWyc59OsM66yznDhPV7PByfd&#10;I7rnAJq6brk4N3yrhA4DqhOSBVDyTWs9XaZq61rwcFXXXgQiSwqmIZ1IAnsdz2x5whYbx2zT8n0J&#10;7DklPOGkWKuR9B7qnAVGtq79C0q13Blv6nDEjcoGIkkRsBjlT7S5aZgViQuk9vZedP//YPn722tH&#10;2qqkaLtmCg3fff+2+/Fr9/MrmUV5OusXiLqxiAv9G9NjaA7vHo+RdV87FX/Bh8Bf5LPj2QgS35V0&#10;mhfFfF4MQos+EI6A6byYT+HnCJjkeV6kRmQPQNb58FYYRaJRUoc+JnnZ7aUPKAqhh5CYV5uLVsrU&#10;S6lJhwTHgPzDgy+kxoeRzlB2tEK/7vcc16a6A0Vnhhnxll+0SH7JfLhmDkOBerE24QpHLQ2SmL1F&#10;SWPcl3+9x3j0Cl5KOgxZSf3nLXOCEvlOo4vz0WQC2JAuk+L1GBf32LN+7NFbdWYwxyMsqOXJjPFB&#10;HszaGfUJ27WKWeFimiN3ScPBPAvD6GM7uVitUhDm0LJwqW8sj9CDaKttMHWblI4yDdrs1cMkpgbs&#10;tyaO+uN7inr4p1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ohkq7cAAAACwEAAA8AAAAAAAAA&#10;AQAgAAAAIgAAAGRycy9kb3ducmV2LnhtbFBLAQIUABQAAAAIAIdO4kB5F96ZRgIAAHEEAAAOAAAA&#10;AAAAAAEAIAAAACsBAABkcnMvZTJvRG9jLnhtbFBLBQYAAAAABgAGAFkBAADjBQAAAAA=&#10;">
                      <v:fill on="f" focussize="0,0"/>
                      <v:stroke on="f" weight="0.5pt"/>
                      <v:imagedata o:title=""/>
                      <o:lock v:ext="edit" aspectratio="f"/>
                      <v:textbox>
                        <w:txbxContent>
                          <w:p w14:paraId="4D244074">
                            <w:pPr>
                              <w:rPr>
                                <w:color w:val="FF0000"/>
                              </w:rPr>
                            </w:pPr>
                            <w:r>
                              <w:rPr>
                                <w:rFonts w:hint="eastAsia"/>
                                <w:color w:val="FF0000"/>
                                <w:lang w:val="en-US" w:eastAsia="zh-CN"/>
                              </w:rPr>
                              <w:t>2511</w:t>
                            </w:r>
                            <w:r>
                              <w:rPr>
                                <w:rFonts w:hint="eastAsia"/>
                                <w:color w:val="FF0000"/>
                              </w:rPr>
                              <w:t>m</w:t>
                            </w:r>
                          </w:p>
                        </w:txbxContent>
                      </v:textbox>
                    </v:shape>
                  </w:pict>
                </mc:Fallback>
              </mc:AlternateContent>
            </w:r>
            <w:r>
              <w:rPr>
                <w:rFonts w:hint="eastAsia"/>
              </w:rPr>
              <w:drawing>
                <wp:anchor distT="0" distB="0" distL="114300" distR="114300" simplePos="0" relativeHeight="251663360" behindDoc="0" locked="0" layoutInCell="1" allowOverlap="1">
                  <wp:simplePos x="0" y="0"/>
                  <wp:positionH relativeFrom="column">
                    <wp:posOffset>4244340</wp:posOffset>
                  </wp:positionH>
                  <wp:positionV relativeFrom="paragraph">
                    <wp:posOffset>89535</wp:posOffset>
                  </wp:positionV>
                  <wp:extent cx="343535" cy="448310"/>
                  <wp:effectExtent l="0" t="0" r="18415" b="8890"/>
                  <wp:wrapNone/>
                  <wp:docPr id="2" name="图片 2" descr="埇桥区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埇桥区风玫瑰图"/>
                          <pic:cNvPicPr>
                            <a:picLocks noChangeAspect="1"/>
                          </pic:cNvPicPr>
                        </pic:nvPicPr>
                        <pic:blipFill>
                          <a:blip r:embed="rId15"/>
                          <a:stretch>
                            <a:fillRect/>
                          </a:stretch>
                        </pic:blipFill>
                        <pic:spPr>
                          <a:xfrm>
                            <a:off x="0" y="0"/>
                            <a:ext cx="343535" cy="448310"/>
                          </a:xfrm>
                          <a:prstGeom prst="rect">
                            <a:avLst/>
                          </a:prstGeom>
                        </pic:spPr>
                      </pic:pic>
                    </a:graphicData>
                  </a:graphic>
                </wp:anchor>
              </w:drawing>
            </w:r>
            <w:r>
              <w:drawing>
                <wp:inline distT="0" distB="0" distL="114300" distR="114300">
                  <wp:extent cx="5061585" cy="3345815"/>
                  <wp:effectExtent l="0" t="0" r="5715" b="698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6"/>
                          <a:stretch>
                            <a:fillRect/>
                          </a:stretch>
                        </pic:blipFill>
                        <pic:spPr>
                          <a:xfrm>
                            <a:off x="0" y="0"/>
                            <a:ext cx="5061585" cy="3345815"/>
                          </a:xfrm>
                          <a:prstGeom prst="rect">
                            <a:avLst/>
                          </a:prstGeom>
                          <a:noFill/>
                          <a:ln>
                            <a:noFill/>
                          </a:ln>
                        </pic:spPr>
                      </pic:pic>
                    </a:graphicData>
                  </a:graphic>
                </wp:inline>
              </w:drawing>
            </w:r>
          </w:p>
          <w:p w14:paraId="0773A149">
            <w:pPr>
              <w:keepNext/>
              <w:keepLines/>
              <w:tabs>
                <w:tab w:val="left" w:pos="1134"/>
                <w:tab w:val="left" w:pos="2880"/>
              </w:tabs>
              <w:jc w:val="center"/>
              <w:rPr>
                <w:kern w:val="0"/>
              </w:rPr>
            </w:pPr>
            <w:r>
              <w:rPr>
                <w:b/>
                <w:bCs/>
              </w:rPr>
              <w:t>图</w:t>
            </w:r>
            <w:r>
              <w:rPr>
                <w:rFonts w:hint="eastAsia"/>
                <w:b/>
                <w:bCs/>
              </w:rPr>
              <w:t>3</w:t>
            </w:r>
            <w:r>
              <w:rPr>
                <w:b/>
                <w:bCs/>
              </w:rPr>
              <w:t xml:space="preserve">.1  </w:t>
            </w:r>
            <w:r>
              <w:rPr>
                <w:rFonts w:hint="eastAsia"/>
                <w:b/>
                <w:bCs/>
              </w:rPr>
              <w:t>大气</w:t>
            </w:r>
            <w:r>
              <w:rPr>
                <w:b/>
                <w:bCs/>
              </w:rPr>
              <w:t>监测点位图</w:t>
            </w:r>
          </w:p>
          <w:p w14:paraId="1917C316">
            <w:pPr>
              <w:adjustRightInd w:val="0"/>
              <w:snapToGrid w:val="0"/>
              <w:spacing w:before="120" w:beforeLines="50" w:line="360" w:lineRule="auto"/>
              <w:ind w:left="480" w:leftChars="200"/>
              <w:rPr>
                <w:kern w:val="0"/>
              </w:rPr>
            </w:pPr>
            <w:r>
              <w:rPr>
                <w:kern w:val="0"/>
              </w:rPr>
              <w:t>②监测日期和监测单位</w:t>
            </w:r>
          </w:p>
          <w:p w14:paraId="4BD090A4">
            <w:pPr>
              <w:adjustRightInd w:val="0"/>
              <w:snapToGrid w:val="0"/>
              <w:spacing w:line="360" w:lineRule="auto"/>
              <w:ind w:firstLine="480" w:firstLineChars="200"/>
              <w:jc w:val="left"/>
              <w:rPr>
                <w:kern w:val="0"/>
              </w:rPr>
            </w:pPr>
            <w:r>
              <w:rPr>
                <w:rFonts w:hint="eastAsia"/>
                <w:lang w:val="en-US" w:eastAsia="zh-CN"/>
              </w:rPr>
              <w:t>安徽创新检测技术有限公司</w:t>
            </w:r>
            <w:r>
              <w:rPr>
                <w:kern w:val="0"/>
              </w:rPr>
              <w:t>分别于</w:t>
            </w:r>
            <w:r>
              <w:t>20</w:t>
            </w:r>
            <w:r>
              <w:rPr>
                <w:rFonts w:hint="eastAsia"/>
              </w:rPr>
              <w:t>2</w:t>
            </w:r>
            <w:r>
              <w:rPr>
                <w:rFonts w:hint="eastAsia"/>
                <w:lang w:val="en-US" w:eastAsia="zh-CN"/>
              </w:rPr>
              <w:t>3</w:t>
            </w:r>
            <w:r>
              <w:t>年</w:t>
            </w:r>
            <w:r>
              <w:rPr>
                <w:rFonts w:hint="eastAsia"/>
                <w:lang w:val="en-US" w:eastAsia="zh-CN"/>
              </w:rPr>
              <w:t>5</w:t>
            </w:r>
            <w:r>
              <w:t>月</w:t>
            </w:r>
            <w:r>
              <w:rPr>
                <w:rFonts w:hint="eastAsia"/>
                <w:lang w:val="en-US" w:eastAsia="zh-CN"/>
              </w:rPr>
              <w:t>15</w:t>
            </w:r>
            <w:r>
              <w:t>日~</w:t>
            </w:r>
            <w:r>
              <w:rPr>
                <w:rFonts w:hint="eastAsia"/>
                <w:lang w:val="en-US" w:eastAsia="zh-CN"/>
              </w:rPr>
              <w:t>5</w:t>
            </w:r>
            <w:r>
              <w:rPr>
                <w:rFonts w:hint="eastAsia"/>
              </w:rPr>
              <w:t>月</w:t>
            </w:r>
            <w:r>
              <w:rPr>
                <w:rFonts w:hint="eastAsia"/>
                <w:lang w:val="en-US" w:eastAsia="zh-CN"/>
              </w:rPr>
              <w:t>21</w:t>
            </w:r>
            <w:r>
              <w:t>日</w:t>
            </w:r>
            <w:r>
              <w:rPr>
                <w:kern w:val="0"/>
              </w:rPr>
              <w:t>对项目区大气环境质量现状进行监测。</w:t>
            </w:r>
          </w:p>
          <w:p w14:paraId="78483B97">
            <w:pPr>
              <w:adjustRightInd w:val="0"/>
              <w:snapToGrid w:val="0"/>
              <w:spacing w:line="360" w:lineRule="auto"/>
              <w:ind w:firstLine="480" w:firstLineChars="200"/>
              <w:jc w:val="left"/>
              <w:rPr>
                <w:kern w:val="0"/>
              </w:rPr>
            </w:pPr>
            <w:r>
              <w:rPr>
                <w:kern w:val="0"/>
              </w:rPr>
              <w:t>③监测因子</w:t>
            </w:r>
          </w:p>
          <w:p w14:paraId="36287504">
            <w:pPr>
              <w:adjustRightInd w:val="0"/>
              <w:snapToGrid w:val="0"/>
              <w:spacing w:line="360" w:lineRule="auto"/>
              <w:ind w:firstLine="480" w:firstLineChars="200"/>
              <w:jc w:val="left"/>
              <w:rPr>
                <w:rFonts w:hint="default" w:eastAsia="宋体"/>
                <w:kern w:val="0"/>
                <w:lang w:val="en-US" w:eastAsia="zh-CN"/>
              </w:rPr>
            </w:pPr>
            <w:r>
              <w:rPr>
                <w:rFonts w:hint="eastAsia"/>
                <w:kern w:val="0"/>
                <w:lang w:val="en-US" w:eastAsia="zh-CN"/>
              </w:rPr>
              <w:t>TSP</w:t>
            </w:r>
          </w:p>
          <w:p w14:paraId="7C0AE667">
            <w:pPr>
              <w:adjustRightInd w:val="0"/>
              <w:snapToGrid w:val="0"/>
              <w:spacing w:line="360" w:lineRule="auto"/>
              <w:ind w:firstLine="480" w:firstLineChars="200"/>
              <w:jc w:val="left"/>
              <w:rPr>
                <w:kern w:val="0"/>
              </w:rPr>
            </w:pPr>
            <w:r>
              <w:rPr>
                <w:rFonts w:hint="eastAsia" w:ascii="宋体" w:hAnsi="宋体" w:cs="宋体"/>
                <w:kern w:val="0"/>
              </w:rPr>
              <w:t>④</w:t>
            </w:r>
            <w:r>
              <w:rPr>
                <w:kern w:val="0"/>
              </w:rPr>
              <w:t>监测结果</w:t>
            </w:r>
          </w:p>
          <w:p w14:paraId="24A1F573">
            <w:pPr>
              <w:adjustRightInd w:val="0"/>
              <w:snapToGrid w:val="0"/>
              <w:spacing w:line="360" w:lineRule="auto"/>
              <w:ind w:firstLine="480" w:firstLineChars="200"/>
              <w:jc w:val="left"/>
              <w:rPr>
                <w:kern w:val="0"/>
              </w:rPr>
            </w:pPr>
            <w:r>
              <w:rPr>
                <w:kern w:val="0"/>
              </w:rPr>
              <w:t>监测数据如下：</w:t>
            </w:r>
          </w:p>
          <w:p w14:paraId="115ACBC5">
            <w:pPr>
              <w:adjustRightInd w:val="0"/>
              <w:snapToGrid w:val="0"/>
              <w:jc w:val="center"/>
              <w:rPr>
                <w:b/>
                <w:bCs/>
                <w:kern w:val="0"/>
                <w:vertAlign w:val="superscript"/>
              </w:rPr>
            </w:pPr>
            <w:r>
              <w:rPr>
                <w:b/>
                <w:bCs/>
                <w:kern w:val="0"/>
              </w:rPr>
              <w:t>表3</w:t>
            </w:r>
            <w:r>
              <w:rPr>
                <w:rFonts w:hint="eastAsia"/>
                <w:b/>
                <w:bCs/>
                <w:kern w:val="0"/>
              </w:rPr>
              <w:t>.3</w:t>
            </w:r>
            <w:r>
              <w:rPr>
                <w:b/>
                <w:bCs/>
                <w:kern w:val="0"/>
              </w:rPr>
              <w:t xml:space="preserve">  现状监测结果表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35"/>
              <w:gridCol w:w="750"/>
              <w:gridCol w:w="705"/>
              <w:gridCol w:w="825"/>
              <w:gridCol w:w="840"/>
              <w:gridCol w:w="705"/>
              <w:gridCol w:w="735"/>
              <w:gridCol w:w="630"/>
              <w:gridCol w:w="679"/>
            </w:tblGrid>
            <w:tr w14:paraId="6562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pct"/>
                  <w:vMerge w:val="restart"/>
                  <w:shd w:val="clear" w:color="auto" w:fill="auto"/>
                  <w:noWrap/>
                  <w:vAlign w:val="center"/>
                </w:tcPr>
                <w:p w14:paraId="22C156E5">
                  <w:pPr>
                    <w:widowControl/>
                    <w:adjustRightInd w:val="0"/>
                    <w:snapToGrid w:val="0"/>
                    <w:spacing w:line="276" w:lineRule="auto"/>
                    <w:jc w:val="center"/>
                    <w:rPr>
                      <w:b/>
                      <w:kern w:val="0"/>
                      <w:sz w:val="21"/>
                      <w:szCs w:val="21"/>
                    </w:rPr>
                  </w:pPr>
                  <w:r>
                    <w:rPr>
                      <w:rFonts w:hint="eastAsia"/>
                      <w:b/>
                      <w:kern w:val="0"/>
                      <w:sz w:val="21"/>
                      <w:szCs w:val="21"/>
                    </w:rPr>
                    <w:t>监测点位</w:t>
                  </w:r>
                </w:p>
              </w:tc>
              <w:tc>
                <w:tcPr>
                  <w:tcW w:w="838" w:type="pct"/>
                  <w:vMerge w:val="restart"/>
                  <w:shd w:val="clear" w:color="auto" w:fill="auto"/>
                  <w:noWrap/>
                  <w:vAlign w:val="center"/>
                </w:tcPr>
                <w:p w14:paraId="02C48126">
                  <w:pPr>
                    <w:widowControl/>
                    <w:adjustRightInd w:val="0"/>
                    <w:snapToGrid w:val="0"/>
                    <w:spacing w:line="276" w:lineRule="auto"/>
                    <w:jc w:val="center"/>
                    <w:rPr>
                      <w:b/>
                      <w:kern w:val="0"/>
                      <w:sz w:val="21"/>
                      <w:szCs w:val="21"/>
                    </w:rPr>
                  </w:pPr>
                  <w:r>
                    <w:rPr>
                      <w:rFonts w:hint="eastAsia"/>
                      <w:b/>
                      <w:kern w:val="0"/>
                      <w:sz w:val="21"/>
                      <w:szCs w:val="21"/>
                    </w:rPr>
                    <w:t>监测项目</w:t>
                  </w:r>
                </w:p>
              </w:tc>
              <w:tc>
                <w:tcPr>
                  <w:tcW w:w="3258" w:type="pct"/>
                  <w:gridSpan w:val="7"/>
                  <w:shd w:val="clear" w:color="auto" w:fill="auto"/>
                  <w:noWrap/>
                  <w:vAlign w:val="center"/>
                </w:tcPr>
                <w:p w14:paraId="4A669605">
                  <w:pPr>
                    <w:widowControl/>
                    <w:adjustRightInd w:val="0"/>
                    <w:snapToGrid w:val="0"/>
                    <w:spacing w:line="276" w:lineRule="auto"/>
                    <w:jc w:val="center"/>
                    <w:rPr>
                      <w:rFonts w:hint="default" w:eastAsia="宋体"/>
                      <w:b/>
                      <w:kern w:val="0"/>
                      <w:sz w:val="21"/>
                      <w:szCs w:val="21"/>
                      <w:lang w:val="en-US" w:eastAsia="zh-CN"/>
                    </w:rPr>
                  </w:pPr>
                  <w:r>
                    <w:rPr>
                      <w:rFonts w:hint="eastAsia"/>
                      <w:b/>
                      <w:kern w:val="0"/>
                      <w:sz w:val="21"/>
                      <w:szCs w:val="21"/>
                      <w:lang w:val="en-US" w:eastAsia="zh-CN"/>
                    </w:rPr>
                    <w:t>监测时间</w:t>
                  </w:r>
                </w:p>
              </w:tc>
              <w:tc>
                <w:tcPr>
                  <w:tcW w:w="426" w:type="pct"/>
                  <w:vMerge w:val="restart"/>
                  <w:shd w:val="clear" w:color="auto" w:fill="auto"/>
                  <w:noWrap/>
                  <w:vAlign w:val="center"/>
                </w:tcPr>
                <w:p w14:paraId="0D74D353">
                  <w:pPr>
                    <w:widowControl/>
                    <w:adjustRightInd w:val="0"/>
                    <w:snapToGrid w:val="0"/>
                    <w:spacing w:line="276" w:lineRule="auto"/>
                    <w:jc w:val="center"/>
                    <w:rPr>
                      <w:rFonts w:hint="default"/>
                      <w:b/>
                      <w:kern w:val="0"/>
                      <w:sz w:val="21"/>
                      <w:szCs w:val="21"/>
                      <w:lang w:val="en-US" w:eastAsia="zh-CN"/>
                    </w:rPr>
                  </w:pPr>
                  <w:r>
                    <w:rPr>
                      <w:rFonts w:hint="eastAsia"/>
                      <w:b/>
                      <w:kern w:val="0"/>
                      <w:sz w:val="21"/>
                      <w:szCs w:val="21"/>
                      <w:lang w:val="en-US" w:eastAsia="zh-CN"/>
                    </w:rPr>
                    <w:t>达标情况</w:t>
                  </w:r>
                </w:p>
              </w:tc>
            </w:tr>
            <w:tr w14:paraId="53B2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pct"/>
                  <w:vMerge w:val="continue"/>
                  <w:shd w:val="clear" w:color="auto" w:fill="auto"/>
                  <w:noWrap/>
                  <w:vAlign w:val="center"/>
                </w:tcPr>
                <w:p w14:paraId="558D389A">
                  <w:pPr>
                    <w:widowControl/>
                    <w:adjustRightInd w:val="0"/>
                    <w:snapToGrid w:val="0"/>
                    <w:spacing w:line="276" w:lineRule="auto"/>
                    <w:jc w:val="center"/>
                    <w:rPr>
                      <w:rFonts w:hint="eastAsia"/>
                      <w:b/>
                      <w:kern w:val="0"/>
                      <w:sz w:val="21"/>
                      <w:szCs w:val="21"/>
                    </w:rPr>
                  </w:pPr>
                </w:p>
              </w:tc>
              <w:tc>
                <w:tcPr>
                  <w:tcW w:w="838" w:type="pct"/>
                  <w:vMerge w:val="continue"/>
                  <w:shd w:val="clear" w:color="auto" w:fill="auto"/>
                  <w:noWrap/>
                  <w:vAlign w:val="center"/>
                </w:tcPr>
                <w:p w14:paraId="233F1D18">
                  <w:pPr>
                    <w:widowControl/>
                    <w:adjustRightInd w:val="0"/>
                    <w:snapToGrid w:val="0"/>
                    <w:spacing w:line="276" w:lineRule="auto"/>
                    <w:jc w:val="center"/>
                    <w:rPr>
                      <w:rFonts w:hint="eastAsia"/>
                      <w:b/>
                      <w:kern w:val="0"/>
                      <w:sz w:val="21"/>
                      <w:szCs w:val="21"/>
                    </w:rPr>
                  </w:pPr>
                </w:p>
              </w:tc>
              <w:tc>
                <w:tcPr>
                  <w:tcW w:w="470" w:type="pct"/>
                  <w:shd w:val="clear" w:color="auto" w:fill="auto"/>
                  <w:noWrap/>
                  <w:vAlign w:val="center"/>
                </w:tcPr>
                <w:p w14:paraId="032F9D04">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5.15</w:t>
                  </w:r>
                </w:p>
              </w:tc>
              <w:tc>
                <w:tcPr>
                  <w:tcW w:w="442" w:type="pct"/>
                  <w:shd w:val="clear" w:color="auto" w:fill="auto"/>
                  <w:noWrap/>
                  <w:vAlign w:val="center"/>
                </w:tcPr>
                <w:p w14:paraId="43982B07">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5.16</w:t>
                  </w:r>
                </w:p>
              </w:tc>
              <w:tc>
                <w:tcPr>
                  <w:tcW w:w="517" w:type="pct"/>
                  <w:shd w:val="clear" w:color="auto" w:fill="auto"/>
                  <w:noWrap/>
                  <w:vAlign w:val="center"/>
                </w:tcPr>
                <w:p w14:paraId="49E9FD78">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5.17</w:t>
                  </w:r>
                </w:p>
              </w:tc>
              <w:tc>
                <w:tcPr>
                  <w:tcW w:w="527" w:type="pct"/>
                  <w:shd w:val="clear" w:color="auto" w:fill="auto"/>
                  <w:noWrap/>
                  <w:vAlign w:val="center"/>
                </w:tcPr>
                <w:p w14:paraId="1012A990">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5.18</w:t>
                  </w:r>
                </w:p>
              </w:tc>
              <w:tc>
                <w:tcPr>
                  <w:tcW w:w="442" w:type="pct"/>
                  <w:shd w:val="clear" w:color="auto" w:fill="auto"/>
                  <w:noWrap/>
                  <w:vAlign w:val="center"/>
                </w:tcPr>
                <w:p w14:paraId="674DF735">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5.19</w:t>
                  </w:r>
                </w:p>
              </w:tc>
              <w:tc>
                <w:tcPr>
                  <w:tcW w:w="461" w:type="pct"/>
                  <w:shd w:val="clear" w:color="auto" w:fill="auto"/>
                  <w:noWrap/>
                  <w:vAlign w:val="center"/>
                </w:tcPr>
                <w:p w14:paraId="5DE7A703">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5.20</w:t>
                  </w:r>
                </w:p>
              </w:tc>
              <w:tc>
                <w:tcPr>
                  <w:tcW w:w="395" w:type="pct"/>
                  <w:shd w:val="clear" w:color="auto" w:fill="auto"/>
                  <w:noWrap/>
                  <w:vAlign w:val="center"/>
                </w:tcPr>
                <w:p w14:paraId="048076EA">
                  <w:pPr>
                    <w:widowControl/>
                    <w:adjustRightInd w:val="0"/>
                    <w:snapToGrid w:val="0"/>
                    <w:spacing w:line="276" w:lineRule="auto"/>
                    <w:jc w:val="center"/>
                    <w:rPr>
                      <w:rFonts w:hint="default" w:eastAsia="宋体"/>
                      <w:b w:val="0"/>
                      <w:bCs/>
                      <w:kern w:val="0"/>
                      <w:sz w:val="21"/>
                      <w:szCs w:val="21"/>
                      <w:lang w:val="en-US" w:eastAsia="zh-CN"/>
                    </w:rPr>
                  </w:pPr>
                  <w:r>
                    <w:rPr>
                      <w:rFonts w:hint="eastAsia"/>
                      <w:b w:val="0"/>
                      <w:bCs/>
                      <w:kern w:val="0"/>
                      <w:sz w:val="21"/>
                      <w:szCs w:val="21"/>
                      <w:lang w:val="en-US" w:eastAsia="zh-CN"/>
                    </w:rPr>
                    <w:t>5.21</w:t>
                  </w:r>
                </w:p>
              </w:tc>
              <w:tc>
                <w:tcPr>
                  <w:tcW w:w="426" w:type="pct"/>
                  <w:vMerge w:val="continue"/>
                  <w:shd w:val="clear" w:color="auto" w:fill="auto"/>
                  <w:noWrap/>
                  <w:vAlign w:val="center"/>
                </w:tcPr>
                <w:p w14:paraId="7F9EC13F">
                  <w:pPr>
                    <w:widowControl/>
                    <w:adjustRightInd w:val="0"/>
                    <w:snapToGrid w:val="0"/>
                    <w:spacing w:line="276" w:lineRule="auto"/>
                    <w:jc w:val="center"/>
                    <w:rPr>
                      <w:rFonts w:hint="eastAsia"/>
                      <w:b/>
                      <w:kern w:val="0"/>
                      <w:sz w:val="21"/>
                      <w:szCs w:val="21"/>
                    </w:rPr>
                  </w:pPr>
                </w:p>
              </w:tc>
            </w:tr>
            <w:tr w14:paraId="6D09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7" w:type="pct"/>
                  <w:shd w:val="clear" w:color="auto" w:fill="auto"/>
                  <w:noWrap/>
                  <w:vAlign w:val="center"/>
                </w:tcPr>
                <w:p w14:paraId="61D8C2D4">
                  <w:pPr>
                    <w:widowControl/>
                    <w:adjustRightInd w:val="0"/>
                    <w:snapToGrid w:val="0"/>
                    <w:spacing w:line="276" w:lineRule="auto"/>
                    <w:jc w:val="center"/>
                    <w:rPr>
                      <w:kern w:val="0"/>
                      <w:sz w:val="21"/>
                      <w:szCs w:val="21"/>
                    </w:rPr>
                  </w:pPr>
                  <w:r>
                    <w:rPr>
                      <w:rFonts w:hint="eastAsia"/>
                      <w:kern w:val="0"/>
                      <w:sz w:val="21"/>
                      <w:szCs w:val="21"/>
                    </w:rPr>
                    <w:t>G1</w:t>
                  </w:r>
                  <w:r>
                    <w:rPr>
                      <w:rFonts w:hint="eastAsia"/>
                      <w:kern w:val="0"/>
                      <w:sz w:val="21"/>
                      <w:szCs w:val="21"/>
                      <w:lang w:val="en-US" w:eastAsia="zh-CN"/>
                    </w:rPr>
                    <w:t>小郭家</w:t>
                  </w:r>
                </w:p>
              </w:tc>
              <w:tc>
                <w:tcPr>
                  <w:tcW w:w="838" w:type="pct"/>
                  <w:shd w:val="clear" w:color="auto" w:fill="auto"/>
                  <w:noWrap/>
                  <w:vAlign w:val="center"/>
                </w:tcPr>
                <w:p w14:paraId="6E59D18D">
                  <w:pPr>
                    <w:widowControl/>
                    <w:adjustRightInd w:val="0"/>
                    <w:snapToGrid w:val="0"/>
                    <w:spacing w:line="276" w:lineRule="auto"/>
                    <w:jc w:val="center"/>
                    <w:rPr>
                      <w:rFonts w:hint="default" w:eastAsia="宋体"/>
                      <w:kern w:val="0"/>
                      <w:sz w:val="21"/>
                      <w:szCs w:val="21"/>
                      <w:lang w:val="en-US" w:eastAsia="zh-CN"/>
                    </w:rPr>
                  </w:pPr>
                  <w:r>
                    <w:rPr>
                      <w:rFonts w:hint="eastAsia"/>
                      <w:kern w:val="0"/>
                      <w:sz w:val="21"/>
                      <w:szCs w:val="21"/>
                      <w:lang w:val="en-US" w:eastAsia="zh-CN"/>
                    </w:rPr>
                    <w:t>TSP日均值（ug/m</w:t>
                  </w:r>
                  <w:r>
                    <w:rPr>
                      <w:rFonts w:hint="eastAsia"/>
                      <w:kern w:val="0"/>
                      <w:sz w:val="21"/>
                      <w:szCs w:val="21"/>
                      <w:vertAlign w:val="superscript"/>
                      <w:lang w:val="en-US" w:eastAsia="zh-CN"/>
                    </w:rPr>
                    <w:t>3</w:t>
                  </w:r>
                  <w:r>
                    <w:rPr>
                      <w:rFonts w:hint="eastAsia"/>
                      <w:kern w:val="0"/>
                      <w:sz w:val="21"/>
                      <w:szCs w:val="21"/>
                      <w:lang w:val="en-US" w:eastAsia="zh-CN"/>
                    </w:rPr>
                    <w:t>）</w:t>
                  </w:r>
                </w:p>
              </w:tc>
              <w:tc>
                <w:tcPr>
                  <w:tcW w:w="470" w:type="pct"/>
                  <w:shd w:val="clear" w:color="auto" w:fill="auto"/>
                  <w:noWrap/>
                  <w:vAlign w:val="center"/>
                </w:tcPr>
                <w:p w14:paraId="1A81A161">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125</w:t>
                  </w:r>
                </w:p>
              </w:tc>
              <w:tc>
                <w:tcPr>
                  <w:tcW w:w="442" w:type="pct"/>
                  <w:shd w:val="clear" w:color="auto" w:fill="auto"/>
                  <w:noWrap/>
                  <w:vAlign w:val="center"/>
                </w:tcPr>
                <w:p w14:paraId="61099A48">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124</w:t>
                  </w:r>
                </w:p>
              </w:tc>
              <w:tc>
                <w:tcPr>
                  <w:tcW w:w="517" w:type="pct"/>
                  <w:shd w:val="clear" w:color="auto" w:fill="auto"/>
                  <w:noWrap/>
                  <w:vAlign w:val="center"/>
                </w:tcPr>
                <w:p w14:paraId="21E29379">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129</w:t>
                  </w:r>
                </w:p>
              </w:tc>
              <w:tc>
                <w:tcPr>
                  <w:tcW w:w="527" w:type="pct"/>
                  <w:shd w:val="clear" w:color="auto" w:fill="auto"/>
                  <w:noWrap/>
                  <w:vAlign w:val="center"/>
                </w:tcPr>
                <w:p w14:paraId="2CF90B63">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127</w:t>
                  </w:r>
                </w:p>
              </w:tc>
              <w:tc>
                <w:tcPr>
                  <w:tcW w:w="442" w:type="pct"/>
                  <w:shd w:val="clear" w:color="auto" w:fill="auto"/>
                  <w:noWrap/>
                  <w:vAlign w:val="center"/>
                </w:tcPr>
                <w:p w14:paraId="7D5B0F37">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128</w:t>
                  </w:r>
                </w:p>
              </w:tc>
              <w:tc>
                <w:tcPr>
                  <w:tcW w:w="461" w:type="pct"/>
                  <w:shd w:val="clear" w:color="auto" w:fill="auto"/>
                  <w:noWrap/>
                  <w:vAlign w:val="center"/>
                </w:tcPr>
                <w:p w14:paraId="7E0D57A4">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132</w:t>
                  </w:r>
                </w:p>
              </w:tc>
              <w:tc>
                <w:tcPr>
                  <w:tcW w:w="395" w:type="pct"/>
                  <w:shd w:val="clear" w:color="auto" w:fill="auto"/>
                  <w:noWrap/>
                  <w:vAlign w:val="center"/>
                </w:tcPr>
                <w:p w14:paraId="726BEB04">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133</w:t>
                  </w:r>
                </w:p>
              </w:tc>
              <w:tc>
                <w:tcPr>
                  <w:tcW w:w="426" w:type="pct"/>
                  <w:shd w:val="clear" w:color="auto" w:fill="auto"/>
                  <w:noWrap/>
                  <w:vAlign w:val="center"/>
                </w:tcPr>
                <w:p w14:paraId="6A508E11">
                  <w:pPr>
                    <w:widowControl/>
                    <w:adjustRightInd w:val="0"/>
                    <w:snapToGrid w:val="0"/>
                    <w:spacing w:line="276" w:lineRule="auto"/>
                    <w:jc w:val="center"/>
                    <w:rPr>
                      <w:rFonts w:hint="default"/>
                      <w:kern w:val="0"/>
                      <w:sz w:val="21"/>
                      <w:szCs w:val="21"/>
                      <w:lang w:val="en-US" w:eastAsia="zh-CN"/>
                    </w:rPr>
                  </w:pPr>
                  <w:r>
                    <w:rPr>
                      <w:rFonts w:hint="eastAsia"/>
                      <w:kern w:val="0"/>
                      <w:sz w:val="21"/>
                      <w:szCs w:val="21"/>
                      <w:lang w:val="en-US" w:eastAsia="zh-CN"/>
                    </w:rPr>
                    <w:t>达标</w:t>
                  </w:r>
                </w:p>
              </w:tc>
            </w:tr>
          </w:tbl>
          <w:p w14:paraId="3CE858FB">
            <w:pPr>
              <w:adjustRightInd w:val="0"/>
              <w:snapToGrid w:val="0"/>
              <w:spacing w:before="120" w:beforeLines="50" w:line="360" w:lineRule="auto"/>
              <w:ind w:firstLine="480" w:firstLineChars="200"/>
              <w:rPr>
                <w:rFonts w:hint="default" w:ascii="Times New Roman" w:hAnsi="Times New Roman" w:cs="Times New Roman"/>
                <w:sz w:val="24"/>
                <w:szCs w:val="24"/>
              </w:rPr>
            </w:pPr>
            <w:r>
              <w:rPr>
                <w:kern w:val="0"/>
              </w:rPr>
              <w:t>现状监测结果表明：</w:t>
            </w:r>
            <w:r>
              <w:rPr>
                <w:rFonts w:hint="eastAsia"/>
                <w:lang w:bidi="ar"/>
              </w:rPr>
              <w:t>域空气中的</w:t>
            </w:r>
            <w:r>
              <w:rPr>
                <w:rFonts w:hint="eastAsia"/>
                <w:kern w:val="0"/>
                <w:lang w:val="en-US" w:eastAsia="zh-CN"/>
              </w:rPr>
              <w:t>TSP满足</w:t>
            </w:r>
            <w:r>
              <w:rPr>
                <w:rFonts w:hint="default" w:ascii="Times New Roman" w:hAnsi="Times New Roman" w:eastAsia="宋体" w:cs="Times New Roman"/>
                <w:color w:val="auto"/>
                <w:sz w:val="24"/>
                <w:szCs w:val="24"/>
              </w:rPr>
              <w:t>《环境空气质量标准》（GB3095-2026）中过渡阶段二级标准限值</w:t>
            </w:r>
            <w:r>
              <w:rPr>
                <w:rFonts w:hint="eastAsia"/>
              </w:rPr>
              <w:t>。</w:t>
            </w:r>
          </w:p>
          <w:p w14:paraId="4DAA7687">
            <w:pPr>
              <w:adjustRightInd w:val="0"/>
              <w:snapToGrid w:val="0"/>
              <w:spacing w:line="360" w:lineRule="auto"/>
              <w:jc w:val="left"/>
              <w:rPr>
                <w:b/>
                <w:bCs/>
                <w:kern w:val="0"/>
              </w:rPr>
            </w:pPr>
            <w:r>
              <w:rPr>
                <w:b/>
                <w:bCs/>
                <w:kern w:val="0"/>
              </w:rPr>
              <w:t>2、</w:t>
            </w:r>
            <w:r>
              <w:rPr>
                <w:rFonts w:hint="eastAsia"/>
                <w:b/>
                <w:bCs/>
                <w:kern w:val="0"/>
              </w:rPr>
              <w:t>地表</w:t>
            </w:r>
            <w:r>
              <w:rPr>
                <w:b/>
                <w:bCs/>
                <w:kern w:val="0"/>
              </w:rPr>
              <w:t>水环境</w:t>
            </w:r>
          </w:p>
          <w:p w14:paraId="6287CA66">
            <w:pPr>
              <w:adjustRightInd w:val="0"/>
              <w:snapToGrid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根据2024年宿州市环境质量状况，宿州市水环境质量：2024年，宿州市水环境质量稳中向好、稳中趋优。全市13个地表水国家考核断面中10个水质达到Ⅲ类，水质优良比例为76.9%，较上一年同比提升7.7个百分点；10个地表水省考核断面中5个断面水质为Ⅲ类，水质优良比例为50%。9个县级及以上集中式饮用水水源地水质达标率保持100%。</w:t>
            </w:r>
          </w:p>
          <w:p w14:paraId="7D96C1D6">
            <w:pPr>
              <w:adjustRightInd w:val="0"/>
              <w:snapToGrid w:val="0"/>
              <w:spacing w:line="360" w:lineRule="auto"/>
              <w:jc w:val="left"/>
              <w:rPr>
                <w:b/>
                <w:bCs/>
                <w:kern w:val="0"/>
              </w:rPr>
            </w:pPr>
            <w:r>
              <w:rPr>
                <w:b/>
                <w:bCs/>
                <w:kern w:val="0"/>
              </w:rPr>
              <w:t>3、声环境</w:t>
            </w:r>
          </w:p>
          <w:p w14:paraId="65FB1114">
            <w:pPr>
              <w:adjustRightInd w:val="0"/>
              <w:snapToGrid w:val="0"/>
              <w:spacing w:line="360" w:lineRule="auto"/>
              <w:ind w:firstLine="480" w:firstLineChars="200"/>
              <w:jc w:val="left"/>
              <w:rPr>
                <w:color w:val="auto"/>
                <w:kern w:val="0"/>
                <w:highlight w:val="none"/>
              </w:rPr>
            </w:pPr>
            <w:r>
              <w:rPr>
                <w:rFonts w:hint="eastAsia"/>
                <w:color w:val="auto"/>
                <w:kern w:val="0"/>
                <w:highlight w:val="none"/>
              </w:rPr>
              <w:t>本项目厂界周边50米范围内无声环境保护目标，不需要进行保护目标声环境质量现状监测。</w:t>
            </w:r>
          </w:p>
          <w:p w14:paraId="5B4AE319">
            <w:pPr>
              <w:adjustRightInd w:val="0"/>
              <w:snapToGrid w:val="0"/>
              <w:spacing w:line="360" w:lineRule="auto"/>
              <w:jc w:val="left"/>
              <w:rPr>
                <w:b/>
                <w:bCs/>
                <w:kern w:val="0"/>
              </w:rPr>
            </w:pPr>
            <w:r>
              <w:rPr>
                <w:rFonts w:hint="eastAsia"/>
                <w:b/>
                <w:bCs/>
                <w:kern w:val="0"/>
              </w:rPr>
              <w:t>4、生态环境</w:t>
            </w:r>
          </w:p>
          <w:p w14:paraId="404801D3">
            <w:pPr>
              <w:adjustRightInd w:val="0"/>
              <w:snapToGrid w:val="0"/>
              <w:spacing w:line="360" w:lineRule="auto"/>
              <w:ind w:firstLine="480" w:firstLineChars="200"/>
              <w:jc w:val="left"/>
              <w:rPr>
                <w:kern w:val="0"/>
              </w:rPr>
            </w:pPr>
            <w:r>
              <w:rPr>
                <w:rFonts w:hint="eastAsia"/>
                <w:kern w:val="0"/>
              </w:rPr>
              <w:t>本项目位于</w:t>
            </w:r>
            <w:r>
              <w:rPr>
                <w:rFonts w:hint="eastAsia"/>
                <w:kern w:val="0"/>
                <w:lang w:eastAsia="zh-CN"/>
              </w:rPr>
              <w:t>安徽省宿州市高新技术产业开发区双创产业园4#楼</w:t>
            </w:r>
            <w:r>
              <w:rPr>
                <w:rFonts w:hint="eastAsia"/>
                <w:kern w:val="0"/>
              </w:rPr>
              <w:t>，属于工业用地，不涉及新增用地。</w:t>
            </w:r>
          </w:p>
          <w:p w14:paraId="0CACD9D2">
            <w:pPr>
              <w:adjustRightInd w:val="0"/>
              <w:snapToGrid w:val="0"/>
              <w:spacing w:line="360" w:lineRule="auto"/>
              <w:jc w:val="left"/>
              <w:rPr>
                <w:b/>
                <w:bCs/>
                <w:kern w:val="0"/>
              </w:rPr>
            </w:pPr>
            <w:r>
              <w:rPr>
                <w:rFonts w:hint="eastAsia"/>
                <w:b/>
                <w:bCs/>
                <w:kern w:val="0"/>
              </w:rPr>
              <w:t>5、电磁辐射</w:t>
            </w:r>
          </w:p>
          <w:p w14:paraId="4F36DC6C">
            <w:pPr>
              <w:adjustRightInd w:val="0"/>
              <w:snapToGrid w:val="0"/>
              <w:spacing w:line="360" w:lineRule="auto"/>
              <w:ind w:firstLine="480" w:firstLineChars="200"/>
              <w:jc w:val="left"/>
              <w:rPr>
                <w:kern w:val="0"/>
              </w:rPr>
            </w:pPr>
            <w:r>
              <w:rPr>
                <w:rFonts w:hint="eastAsia"/>
                <w:kern w:val="0"/>
              </w:rPr>
              <w:t>本项目无电磁辐射。</w:t>
            </w:r>
          </w:p>
        </w:tc>
      </w:tr>
      <w:tr w14:paraId="385D3E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00" w:type="dxa"/>
          </w:tcPr>
          <w:p w14:paraId="4D103E33">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01C2361D">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2C3DDD1B">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69A38741">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04F8BEA6">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5B8B5C77">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26FDED78">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2A64F2CB">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p>
          <w:p w14:paraId="68B14917">
            <w:pPr>
              <w:pStyle w:val="25"/>
              <w:adjustRightInd w:val="0"/>
              <w:snapToGrid w:val="0"/>
              <w:spacing w:before="0" w:beforeAutospacing="0" w:after="0" w:afterAutospacing="0" w:line="360" w:lineRule="auto"/>
              <w:jc w:val="center"/>
              <w:outlineLvl w:val="0"/>
              <w:rPr>
                <w:rFonts w:ascii="Times New Roman" w:hAnsi="Times New Roman"/>
              </w:rPr>
            </w:pPr>
            <w:r>
              <w:rPr>
                <w:rFonts w:hint="eastAsia" w:ascii="Times New Roman" w:hAnsi="Times New Roman"/>
                <w:snapToGrid w:val="0"/>
                <w:szCs w:val="24"/>
              </w:rPr>
              <w:t>环境保护目标</w:t>
            </w:r>
          </w:p>
        </w:tc>
        <w:tc>
          <w:tcPr>
            <w:tcW w:w="8190" w:type="dxa"/>
          </w:tcPr>
          <w:p w14:paraId="5528A173">
            <w:pPr>
              <w:adjustRightInd w:val="0"/>
              <w:snapToGrid w:val="0"/>
              <w:spacing w:before="120" w:beforeLines="50" w:line="360" w:lineRule="auto"/>
              <w:rPr>
                <w:b/>
                <w:bCs/>
                <w:kern w:val="0"/>
              </w:rPr>
            </w:pPr>
            <w:r>
              <w:rPr>
                <w:b/>
                <w:bCs/>
                <w:kern w:val="0"/>
              </w:rPr>
              <w:t>1、大气环境</w:t>
            </w:r>
          </w:p>
          <w:p w14:paraId="46F6B558">
            <w:pPr>
              <w:pStyle w:val="5"/>
              <w:adjustRightInd w:val="0"/>
              <w:snapToGrid w:val="0"/>
              <w:spacing w:before="0" w:after="0" w:line="360" w:lineRule="auto"/>
              <w:ind w:firstLine="480" w:firstLineChars="200"/>
              <w:rPr>
                <w:rFonts w:hint="eastAsia" w:ascii="Times New Roman" w:hAnsi="Times New Roman" w:eastAsia="宋体"/>
                <w:b w:val="0"/>
                <w:bCs w:val="0"/>
                <w:kern w:val="0"/>
              </w:rPr>
            </w:pPr>
            <w:r>
              <w:rPr>
                <w:rFonts w:hint="eastAsia" w:ascii="Times New Roman" w:hAnsi="Times New Roman" w:eastAsia="宋体"/>
                <w:b w:val="0"/>
                <w:bCs w:val="0"/>
                <w:kern w:val="0"/>
              </w:rPr>
              <w:t>厂界外500m范围内无</w:t>
            </w:r>
            <w:r>
              <w:rPr>
                <w:rFonts w:hint="eastAsia" w:ascii="Times New Roman" w:hAnsi="Times New Roman" w:eastAsia="宋体"/>
                <w:b w:val="0"/>
                <w:bCs w:val="0"/>
                <w:kern w:val="0"/>
                <w:lang w:val="en-US" w:eastAsia="zh-CN"/>
              </w:rPr>
              <w:t>大气环境保护目标</w:t>
            </w:r>
            <w:r>
              <w:rPr>
                <w:rFonts w:hint="eastAsia" w:ascii="Times New Roman" w:hAnsi="Times New Roman" w:eastAsia="宋体"/>
                <w:b w:val="0"/>
                <w:bCs w:val="0"/>
                <w:kern w:val="0"/>
              </w:rPr>
              <w:t>。</w:t>
            </w:r>
          </w:p>
          <w:p w14:paraId="3786F8DC">
            <w:pPr>
              <w:pStyle w:val="5"/>
              <w:adjustRightInd w:val="0"/>
              <w:snapToGrid w:val="0"/>
              <w:spacing w:before="0" w:after="0" w:line="360" w:lineRule="auto"/>
              <w:rPr>
                <w:rFonts w:ascii="Times New Roman" w:hAnsi="Times New Roman" w:eastAsia="宋体"/>
                <w:bCs/>
                <w:kern w:val="0"/>
              </w:rPr>
            </w:pPr>
            <w:r>
              <w:rPr>
                <w:rFonts w:hint="eastAsia" w:ascii="Times New Roman" w:hAnsi="Times New Roman" w:eastAsia="宋体"/>
                <w:bCs/>
                <w:kern w:val="0"/>
              </w:rPr>
              <w:t>2、地表水</w:t>
            </w:r>
          </w:p>
          <w:p w14:paraId="56A75A29">
            <w:pPr>
              <w:jc w:val="center"/>
              <w:rPr>
                <w:b/>
                <w:bCs/>
              </w:rPr>
            </w:pPr>
            <w:r>
              <w:rPr>
                <w:b/>
                <w:bCs/>
              </w:rPr>
              <w:t>表3</w:t>
            </w:r>
            <w:r>
              <w:rPr>
                <w:rFonts w:hint="eastAsia"/>
                <w:b/>
                <w:bCs/>
              </w:rPr>
              <w:t>.</w:t>
            </w:r>
            <w:r>
              <w:rPr>
                <w:rFonts w:hint="eastAsia"/>
                <w:b/>
                <w:bCs/>
                <w:lang w:val="en-US" w:eastAsia="zh-CN"/>
              </w:rPr>
              <w:t>4</w:t>
            </w:r>
            <w:r>
              <w:rPr>
                <w:b/>
                <w:bCs/>
              </w:rPr>
              <w:t xml:space="preserve">  水环境保护目标一览表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387"/>
              <w:gridCol w:w="1476"/>
              <w:gridCol w:w="959"/>
              <w:gridCol w:w="2885"/>
            </w:tblGrid>
            <w:tr w14:paraId="7A4B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7" w:type="dxa"/>
                  <w:vAlign w:val="center"/>
                </w:tcPr>
                <w:p w14:paraId="6C707216">
                  <w:pPr>
                    <w:jc w:val="center"/>
                    <w:rPr>
                      <w:b/>
                      <w:bCs/>
                      <w:sz w:val="21"/>
                      <w:szCs w:val="21"/>
                    </w:rPr>
                  </w:pPr>
                  <w:r>
                    <w:rPr>
                      <w:b/>
                      <w:bCs/>
                      <w:sz w:val="21"/>
                      <w:szCs w:val="21"/>
                    </w:rPr>
                    <w:t>环境要素</w:t>
                  </w:r>
                </w:p>
              </w:tc>
              <w:tc>
                <w:tcPr>
                  <w:tcW w:w="1387" w:type="dxa"/>
                  <w:vAlign w:val="center"/>
                </w:tcPr>
                <w:p w14:paraId="3776AD26">
                  <w:pPr>
                    <w:jc w:val="center"/>
                    <w:rPr>
                      <w:b/>
                      <w:bCs/>
                      <w:sz w:val="21"/>
                      <w:szCs w:val="21"/>
                    </w:rPr>
                  </w:pPr>
                  <w:r>
                    <w:rPr>
                      <w:b/>
                      <w:bCs/>
                      <w:sz w:val="21"/>
                      <w:szCs w:val="21"/>
                    </w:rPr>
                    <w:t>环境保护对象名称</w:t>
                  </w:r>
                </w:p>
              </w:tc>
              <w:tc>
                <w:tcPr>
                  <w:tcW w:w="1476" w:type="dxa"/>
                  <w:vAlign w:val="center"/>
                </w:tcPr>
                <w:p w14:paraId="4D3D8867">
                  <w:pPr>
                    <w:jc w:val="center"/>
                    <w:rPr>
                      <w:b/>
                      <w:bCs/>
                      <w:sz w:val="21"/>
                      <w:szCs w:val="21"/>
                    </w:rPr>
                  </w:pPr>
                  <w:r>
                    <w:rPr>
                      <w:b/>
                      <w:bCs/>
                      <w:sz w:val="21"/>
                      <w:szCs w:val="21"/>
                    </w:rPr>
                    <w:t>方位/距离（m）</w:t>
                  </w:r>
                </w:p>
              </w:tc>
              <w:tc>
                <w:tcPr>
                  <w:tcW w:w="959" w:type="dxa"/>
                  <w:vAlign w:val="center"/>
                </w:tcPr>
                <w:p w14:paraId="725342C5">
                  <w:pPr>
                    <w:jc w:val="center"/>
                    <w:rPr>
                      <w:b/>
                      <w:bCs/>
                      <w:sz w:val="21"/>
                      <w:szCs w:val="21"/>
                    </w:rPr>
                  </w:pPr>
                  <w:r>
                    <w:rPr>
                      <w:b/>
                      <w:bCs/>
                      <w:sz w:val="21"/>
                      <w:szCs w:val="21"/>
                    </w:rPr>
                    <w:t>规模</w:t>
                  </w:r>
                </w:p>
              </w:tc>
              <w:tc>
                <w:tcPr>
                  <w:tcW w:w="2885" w:type="dxa"/>
                  <w:vAlign w:val="center"/>
                </w:tcPr>
                <w:p w14:paraId="549FB76F">
                  <w:pPr>
                    <w:jc w:val="center"/>
                    <w:rPr>
                      <w:b/>
                      <w:bCs/>
                      <w:sz w:val="21"/>
                      <w:szCs w:val="21"/>
                    </w:rPr>
                  </w:pPr>
                  <w:r>
                    <w:rPr>
                      <w:b/>
                      <w:bCs/>
                      <w:sz w:val="21"/>
                      <w:szCs w:val="21"/>
                    </w:rPr>
                    <w:t>保护目标</w:t>
                  </w:r>
                </w:p>
              </w:tc>
            </w:tr>
            <w:tr w14:paraId="7784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7" w:type="dxa"/>
                  <w:vMerge w:val="restart"/>
                  <w:vAlign w:val="center"/>
                </w:tcPr>
                <w:p w14:paraId="3DAA4CCA">
                  <w:pPr>
                    <w:jc w:val="center"/>
                    <w:rPr>
                      <w:sz w:val="21"/>
                      <w:szCs w:val="21"/>
                    </w:rPr>
                  </w:pPr>
                  <w:r>
                    <w:rPr>
                      <w:sz w:val="21"/>
                      <w:szCs w:val="21"/>
                    </w:rPr>
                    <w:t>地表水</w:t>
                  </w:r>
                </w:p>
              </w:tc>
              <w:tc>
                <w:tcPr>
                  <w:tcW w:w="1387" w:type="dxa"/>
                  <w:vAlign w:val="center"/>
                </w:tcPr>
                <w:p w14:paraId="59E54987">
                  <w:pPr>
                    <w:jc w:val="center"/>
                    <w:rPr>
                      <w:rFonts w:hint="eastAsia" w:eastAsia="宋体"/>
                      <w:sz w:val="21"/>
                      <w:szCs w:val="21"/>
                      <w:lang w:eastAsia="zh-CN"/>
                    </w:rPr>
                  </w:pPr>
                  <w:r>
                    <w:rPr>
                      <w:rFonts w:hint="eastAsia"/>
                      <w:bCs/>
                      <w:sz w:val="21"/>
                      <w:szCs w:val="21"/>
                      <w:lang w:val="en-US" w:eastAsia="zh-CN"/>
                    </w:rPr>
                    <w:t>新汴河</w:t>
                  </w:r>
                </w:p>
              </w:tc>
              <w:tc>
                <w:tcPr>
                  <w:tcW w:w="1476" w:type="dxa"/>
                  <w:vAlign w:val="center"/>
                </w:tcPr>
                <w:p w14:paraId="698BFE9F">
                  <w:pPr>
                    <w:jc w:val="center"/>
                    <w:rPr>
                      <w:rFonts w:hint="default" w:eastAsia="宋体"/>
                      <w:sz w:val="21"/>
                      <w:szCs w:val="21"/>
                      <w:lang w:val="en-US" w:eastAsia="zh-CN"/>
                    </w:rPr>
                  </w:pPr>
                  <w:r>
                    <w:rPr>
                      <w:rFonts w:hint="eastAsia"/>
                      <w:bCs/>
                      <w:color w:val="000000"/>
                      <w:sz w:val="21"/>
                      <w:szCs w:val="21"/>
                    </w:rPr>
                    <w:t>南</w:t>
                  </w:r>
                  <w:r>
                    <w:rPr>
                      <w:rFonts w:hint="eastAsia"/>
                      <w:bCs/>
                      <w:color w:val="000000"/>
                      <w:sz w:val="21"/>
                      <w:szCs w:val="21"/>
                      <w:lang w:val="en-US" w:eastAsia="zh-CN"/>
                    </w:rPr>
                    <w:t>3305</w:t>
                  </w:r>
                </w:p>
              </w:tc>
              <w:tc>
                <w:tcPr>
                  <w:tcW w:w="959" w:type="dxa"/>
                  <w:vAlign w:val="center"/>
                </w:tcPr>
                <w:p w14:paraId="2ECC77AF">
                  <w:pPr>
                    <w:jc w:val="center"/>
                    <w:rPr>
                      <w:sz w:val="21"/>
                      <w:szCs w:val="21"/>
                    </w:rPr>
                  </w:pPr>
                  <w:r>
                    <w:rPr>
                      <w:sz w:val="21"/>
                      <w:szCs w:val="21"/>
                    </w:rPr>
                    <w:t>小河</w:t>
                  </w:r>
                </w:p>
              </w:tc>
              <w:tc>
                <w:tcPr>
                  <w:tcW w:w="2885" w:type="dxa"/>
                  <w:vAlign w:val="center"/>
                </w:tcPr>
                <w:p w14:paraId="28FD7F6D">
                  <w:pPr>
                    <w:jc w:val="center"/>
                    <w:rPr>
                      <w:sz w:val="21"/>
                      <w:szCs w:val="21"/>
                    </w:rPr>
                  </w:pPr>
                  <w:r>
                    <w:rPr>
                      <w:sz w:val="21"/>
                      <w:szCs w:val="21"/>
                    </w:rPr>
                    <w:t>《地表水环境质量标准》（GB3838-2002）IV类</w:t>
                  </w:r>
                </w:p>
              </w:tc>
            </w:tr>
            <w:tr w14:paraId="2376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7" w:type="dxa"/>
                  <w:vMerge w:val="continue"/>
                  <w:vAlign w:val="center"/>
                </w:tcPr>
                <w:p w14:paraId="73CA242A">
                  <w:pPr>
                    <w:jc w:val="center"/>
                    <w:rPr>
                      <w:sz w:val="21"/>
                      <w:szCs w:val="21"/>
                    </w:rPr>
                  </w:pPr>
                </w:p>
              </w:tc>
              <w:tc>
                <w:tcPr>
                  <w:tcW w:w="1387" w:type="dxa"/>
                  <w:vAlign w:val="center"/>
                </w:tcPr>
                <w:p w14:paraId="63647B5C">
                  <w:pPr>
                    <w:jc w:val="center"/>
                    <w:rPr>
                      <w:bCs/>
                      <w:sz w:val="21"/>
                      <w:szCs w:val="21"/>
                    </w:rPr>
                  </w:pPr>
                  <w:r>
                    <w:rPr>
                      <w:rFonts w:hint="eastAsia"/>
                      <w:bCs/>
                      <w:sz w:val="21"/>
                      <w:szCs w:val="21"/>
                    </w:rPr>
                    <w:t>引塘沟</w:t>
                  </w:r>
                </w:p>
              </w:tc>
              <w:tc>
                <w:tcPr>
                  <w:tcW w:w="1476" w:type="dxa"/>
                  <w:vAlign w:val="center"/>
                </w:tcPr>
                <w:p w14:paraId="3F0BBC91">
                  <w:pPr>
                    <w:jc w:val="center"/>
                    <w:rPr>
                      <w:rFonts w:hint="default" w:eastAsia="宋体"/>
                      <w:bCs/>
                      <w:color w:val="000000"/>
                      <w:sz w:val="21"/>
                      <w:szCs w:val="21"/>
                      <w:lang w:val="en-US" w:eastAsia="zh-CN"/>
                    </w:rPr>
                  </w:pPr>
                  <w:r>
                    <w:rPr>
                      <w:rFonts w:hint="eastAsia"/>
                      <w:bCs/>
                      <w:color w:val="000000"/>
                      <w:sz w:val="21"/>
                      <w:szCs w:val="21"/>
                    </w:rPr>
                    <w:t>东2</w:t>
                  </w:r>
                  <w:r>
                    <w:rPr>
                      <w:rFonts w:hint="eastAsia"/>
                      <w:bCs/>
                      <w:color w:val="000000"/>
                      <w:sz w:val="21"/>
                      <w:szCs w:val="21"/>
                      <w:lang w:val="en-US" w:eastAsia="zh-CN"/>
                    </w:rPr>
                    <w:t>407</w:t>
                  </w:r>
                </w:p>
              </w:tc>
              <w:tc>
                <w:tcPr>
                  <w:tcW w:w="959" w:type="dxa"/>
                  <w:vAlign w:val="center"/>
                </w:tcPr>
                <w:p w14:paraId="469BC387">
                  <w:pPr>
                    <w:jc w:val="center"/>
                    <w:rPr>
                      <w:sz w:val="21"/>
                      <w:szCs w:val="21"/>
                    </w:rPr>
                  </w:pPr>
                  <w:r>
                    <w:rPr>
                      <w:sz w:val="21"/>
                      <w:szCs w:val="21"/>
                    </w:rPr>
                    <w:t>小河</w:t>
                  </w:r>
                </w:p>
              </w:tc>
              <w:tc>
                <w:tcPr>
                  <w:tcW w:w="2885" w:type="dxa"/>
                  <w:vAlign w:val="center"/>
                </w:tcPr>
                <w:p w14:paraId="259043B8">
                  <w:pPr>
                    <w:jc w:val="center"/>
                    <w:rPr>
                      <w:sz w:val="21"/>
                      <w:szCs w:val="21"/>
                    </w:rPr>
                  </w:pPr>
                  <w:r>
                    <w:rPr>
                      <w:sz w:val="21"/>
                      <w:szCs w:val="21"/>
                    </w:rPr>
                    <w:t>《地表水环境质量标准》（GB3838-2002）IV类</w:t>
                  </w:r>
                </w:p>
              </w:tc>
            </w:tr>
          </w:tbl>
          <w:p w14:paraId="770D5200">
            <w:pPr>
              <w:adjustRightInd w:val="0"/>
              <w:snapToGrid w:val="0"/>
              <w:spacing w:before="120" w:beforeLines="50" w:line="360" w:lineRule="auto"/>
              <w:rPr>
                <w:b/>
                <w:bCs/>
                <w:kern w:val="0"/>
              </w:rPr>
            </w:pPr>
            <w:r>
              <w:rPr>
                <w:rFonts w:hint="eastAsia"/>
                <w:b/>
                <w:bCs/>
                <w:kern w:val="0"/>
              </w:rPr>
              <w:t>3</w:t>
            </w:r>
            <w:r>
              <w:rPr>
                <w:b/>
                <w:bCs/>
                <w:kern w:val="0"/>
              </w:rPr>
              <w:t>、声环境</w:t>
            </w:r>
          </w:p>
          <w:p w14:paraId="45B4963B">
            <w:pPr>
              <w:adjustRightInd w:val="0"/>
              <w:snapToGrid w:val="0"/>
              <w:spacing w:line="360" w:lineRule="auto"/>
              <w:ind w:firstLine="480" w:firstLineChars="200"/>
              <w:rPr>
                <w:rFonts w:hint="eastAsia" w:eastAsia="宋体"/>
                <w:color w:val="auto"/>
                <w:kern w:val="0"/>
                <w:highlight w:val="none"/>
                <w:lang w:eastAsia="zh-CN"/>
              </w:rPr>
            </w:pPr>
            <w:r>
              <w:rPr>
                <w:rFonts w:hint="eastAsia"/>
                <w:color w:val="auto"/>
                <w:kern w:val="0"/>
                <w:highlight w:val="none"/>
              </w:rPr>
              <w:t>厂界外50m范围内没有声环境保护目标</w:t>
            </w:r>
            <w:r>
              <w:rPr>
                <w:rFonts w:hint="eastAsia"/>
                <w:color w:val="auto"/>
                <w:kern w:val="0"/>
                <w:highlight w:val="none"/>
                <w:lang w:eastAsia="zh-CN"/>
              </w:rPr>
              <w:t>。</w:t>
            </w:r>
          </w:p>
          <w:p w14:paraId="5D525950">
            <w:pPr>
              <w:adjustRightInd w:val="0"/>
              <w:snapToGrid w:val="0"/>
              <w:spacing w:line="360" w:lineRule="auto"/>
              <w:rPr>
                <w:b/>
                <w:bCs/>
                <w:kern w:val="0"/>
              </w:rPr>
            </w:pPr>
            <w:r>
              <w:rPr>
                <w:rFonts w:hint="eastAsia"/>
                <w:b/>
                <w:bCs/>
                <w:kern w:val="0"/>
              </w:rPr>
              <w:t>4</w:t>
            </w:r>
            <w:r>
              <w:rPr>
                <w:b/>
                <w:bCs/>
                <w:kern w:val="0"/>
              </w:rPr>
              <w:t>、地下水环境</w:t>
            </w:r>
          </w:p>
          <w:p w14:paraId="783FFF14">
            <w:pPr>
              <w:adjustRightInd w:val="0"/>
              <w:snapToGrid w:val="0"/>
              <w:spacing w:line="360" w:lineRule="auto"/>
              <w:ind w:firstLine="480" w:firstLineChars="200"/>
              <w:rPr>
                <w:kern w:val="0"/>
              </w:rPr>
            </w:pPr>
            <w:r>
              <w:rPr>
                <w:rFonts w:hint="eastAsia"/>
                <w:kern w:val="0"/>
              </w:rPr>
              <w:t>厂界外500m范围内无地下水集中式引用水水源和热水、矿泉水、温泉等特殊地下水资源。</w:t>
            </w:r>
          </w:p>
          <w:p w14:paraId="2D99BFB6">
            <w:pPr>
              <w:adjustRightInd w:val="0"/>
              <w:snapToGrid w:val="0"/>
              <w:spacing w:line="360" w:lineRule="auto"/>
              <w:rPr>
                <w:b/>
                <w:bCs/>
                <w:kern w:val="0"/>
              </w:rPr>
            </w:pPr>
            <w:r>
              <w:rPr>
                <w:rFonts w:hint="eastAsia"/>
                <w:b/>
                <w:bCs/>
                <w:kern w:val="0"/>
              </w:rPr>
              <w:t>5、生态环境</w:t>
            </w:r>
          </w:p>
          <w:p w14:paraId="34B215B4">
            <w:pPr>
              <w:adjustRightInd w:val="0"/>
              <w:snapToGrid w:val="0"/>
              <w:spacing w:line="360" w:lineRule="auto"/>
              <w:ind w:firstLine="480" w:firstLineChars="200"/>
              <w:jc w:val="left"/>
              <w:rPr>
                <w:kern w:val="0"/>
              </w:rPr>
            </w:pPr>
            <w:r>
              <w:rPr>
                <w:rFonts w:hint="eastAsia"/>
                <w:kern w:val="0"/>
              </w:rPr>
              <w:t>本项目位于</w:t>
            </w:r>
            <w:r>
              <w:rPr>
                <w:rFonts w:hint="eastAsia"/>
                <w:kern w:val="0"/>
                <w:lang w:eastAsia="zh-CN"/>
              </w:rPr>
              <w:t>安徽省宿州市高新技术产业开发区双创产业园4#楼</w:t>
            </w:r>
            <w:r>
              <w:rPr>
                <w:rFonts w:hint="eastAsia"/>
                <w:kern w:val="0"/>
              </w:rPr>
              <w:t>，不涉及</w:t>
            </w:r>
            <w:r>
              <w:rPr>
                <w:rFonts w:hint="eastAsia"/>
              </w:rPr>
              <w:t>在工业园区外</w:t>
            </w:r>
            <w:r>
              <w:rPr>
                <w:rFonts w:hint="eastAsia"/>
                <w:kern w:val="0"/>
              </w:rPr>
              <w:t>新增用地。</w:t>
            </w:r>
          </w:p>
          <w:p w14:paraId="7DCCA375">
            <w:pPr>
              <w:adjustRightInd w:val="0"/>
              <w:snapToGrid w:val="0"/>
              <w:spacing w:line="360" w:lineRule="auto"/>
              <w:jc w:val="left"/>
              <w:rPr>
                <w:kern w:val="0"/>
              </w:rPr>
            </w:pPr>
          </w:p>
        </w:tc>
      </w:tr>
      <w:tr w14:paraId="7C4490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800" w:type="dxa"/>
          </w:tcPr>
          <w:p w14:paraId="6004A41E">
            <w:pPr>
              <w:pStyle w:val="25"/>
              <w:snapToGrid w:val="0"/>
              <w:spacing w:before="0" w:beforeAutospacing="0" w:after="0" w:afterAutospacing="0"/>
              <w:jc w:val="both"/>
              <w:outlineLvl w:val="0"/>
              <w:rPr>
                <w:rFonts w:ascii="Times New Roman" w:hAnsi="Times New Roman"/>
                <w:snapToGrid w:val="0"/>
                <w:szCs w:val="24"/>
              </w:rPr>
            </w:pPr>
          </w:p>
          <w:p w14:paraId="591A24E4">
            <w:pPr>
              <w:pStyle w:val="25"/>
              <w:snapToGrid w:val="0"/>
              <w:spacing w:before="0" w:beforeAutospacing="0" w:after="0" w:afterAutospacing="0"/>
              <w:jc w:val="both"/>
              <w:outlineLvl w:val="0"/>
              <w:rPr>
                <w:rFonts w:ascii="Times New Roman" w:hAnsi="Times New Roman"/>
                <w:snapToGrid w:val="0"/>
                <w:szCs w:val="24"/>
              </w:rPr>
            </w:pPr>
          </w:p>
          <w:p w14:paraId="452349FA">
            <w:pPr>
              <w:pStyle w:val="25"/>
              <w:snapToGrid w:val="0"/>
              <w:spacing w:before="0" w:beforeAutospacing="0" w:after="0" w:afterAutospacing="0"/>
              <w:jc w:val="both"/>
              <w:outlineLvl w:val="0"/>
              <w:rPr>
                <w:rFonts w:ascii="Times New Roman" w:hAnsi="Times New Roman"/>
                <w:snapToGrid w:val="0"/>
                <w:szCs w:val="24"/>
              </w:rPr>
            </w:pPr>
          </w:p>
          <w:p w14:paraId="1D28A957">
            <w:pPr>
              <w:pStyle w:val="25"/>
              <w:snapToGrid w:val="0"/>
              <w:spacing w:before="0" w:beforeAutospacing="0" w:after="0" w:afterAutospacing="0"/>
              <w:jc w:val="both"/>
              <w:outlineLvl w:val="0"/>
              <w:rPr>
                <w:rFonts w:ascii="Times New Roman" w:hAnsi="Times New Roman"/>
                <w:snapToGrid w:val="0"/>
                <w:szCs w:val="24"/>
              </w:rPr>
            </w:pPr>
          </w:p>
          <w:p w14:paraId="3B602916">
            <w:pPr>
              <w:pStyle w:val="25"/>
              <w:snapToGrid w:val="0"/>
              <w:spacing w:before="0" w:beforeAutospacing="0" w:after="0" w:afterAutospacing="0"/>
              <w:jc w:val="both"/>
              <w:outlineLvl w:val="0"/>
              <w:rPr>
                <w:rFonts w:ascii="Times New Roman" w:hAnsi="Times New Roman"/>
                <w:snapToGrid w:val="0"/>
                <w:szCs w:val="24"/>
              </w:rPr>
            </w:pPr>
          </w:p>
          <w:p w14:paraId="1D9519C4">
            <w:pPr>
              <w:pStyle w:val="25"/>
              <w:snapToGrid w:val="0"/>
              <w:spacing w:before="0" w:beforeAutospacing="0" w:after="0" w:afterAutospacing="0"/>
              <w:jc w:val="center"/>
              <w:outlineLvl w:val="0"/>
              <w:rPr>
                <w:rFonts w:ascii="Times New Roman" w:hAnsi="Times New Roman"/>
                <w:snapToGrid w:val="0"/>
                <w:szCs w:val="24"/>
              </w:rPr>
            </w:pPr>
            <w:r>
              <w:rPr>
                <w:rFonts w:ascii="Times New Roman" w:hAnsi="Times New Roman"/>
                <w:snapToGrid w:val="0"/>
                <w:szCs w:val="24"/>
              </w:rPr>
              <w:t>污染</w:t>
            </w:r>
          </w:p>
          <w:p w14:paraId="6363959E">
            <w:pPr>
              <w:pStyle w:val="25"/>
              <w:snapToGrid w:val="0"/>
              <w:spacing w:before="0" w:beforeAutospacing="0" w:after="0" w:afterAutospacing="0"/>
              <w:jc w:val="center"/>
              <w:outlineLvl w:val="0"/>
              <w:rPr>
                <w:rFonts w:ascii="Times New Roman" w:hAnsi="Times New Roman"/>
                <w:snapToGrid w:val="0"/>
                <w:szCs w:val="24"/>
              </w:rPr>
            </w:pPr>
            <w:r>
              <w:rPr>
                <w:rFonts w:ascii="Times New Roman" w:hAnsi="Times New Roman"/>
                <w:snapToGrid w:val="0"/>
                <w:szCs w:val="24"/>
              </w:rPr>
              <w:t>物排</w:t>
            </w:r>
          </w:p>
          <w:p w14:paraId="3DF1E038">
            <w:pPr>
              <w:pStyle w:val="25"/>
              <w:snapToGrid w:val="0"/>
              <w:spacing w:before="0" w:beforeAutospacing="0" w:after="0" w:afterAutospacing="0"/>
              <w:jc w:val="center"/>
              <w:outlineLvl w:val="0"/>
              <w:rPr>
                <w:rFonts w:ascii="Times New Roman" w:hAnsi="Times New Roman"/>
                <w:snapToGrid w:val="0"/>
                <w:szCs w:val="24"/>
              </w:rPr>
            </w:pPr>
            <w:r>
              <w:rPr>
                <w:rFonts w:ascii="Times New Roman" w:hAnsi="Times New Roman"/>
                <w:snapToGrid w:val="0"/>
                <w:szCs w:val="24"/>
              </w:rPr>
              <w:t>放控</w:t>
            </w:r>
          </w:p>
          <w:p w14:paraId="35B9146D">
            <w:pPr>
              <w:pStyle w:val="25"/>
              <w:snapToGrid w:val="0"/>
              <w:spacing w:before="0" w:beforeAutospacing="0" w:after="0" w:afterAutospacing="0"/>
              <w:jc w:val="center"/>
              <w:outlineLvl w:val="0"/>
              <w:rPr>
                <w:rFonts w:ascii="Times New Roman" w:hAnsi="Times New Roman"/>
                <w:snapToGrid w:val="0"/>
                <w:szCs w:val="24"/>
              </w:rPr>
            </w:pPr>
            <w:r>
              <w:rPr>
                <w:rFonts w:ascii="Times New Roman" w:hAnsi="Times New Roman"/>
                <w:snapToGrid w:val="0"/>
                <w:szCs w:val="24"/>
              </w:rPr>
              <w:t>制标</w:t>
            </w:r>
          </w:p>
          <w:p w14:paraId="404B1C04">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r>
              <w:rPr>
                <w:rFonts w:ascii="Times New Roman" w:hAnsi="Times New Roman"/>
                <w:snapToGrid w:val="0"/>
                <w:szCs w:val="24"/>
              </w:rPr>
              <w:t>准</w:t>
            </w:r>
          </w:p>
        </w:tc>
        <w:tc>
          <w:tcPr>
            <w:tcW w:w="8190" w:type="dxa"/>
          </w:tcPr>
          <w:p w14:paraId="774656C5">
            <w:pPr>
              <w:adjustRightInd w:val="0"/>
              <w:snapToGrid w:val="0"/>
              <w:spacing w:before="120" w:beforeLines="50" w:line="360" w:lineRule="auto"/>
              <w:rPr>
                <w:b/>
              </w:rPr>
            </w:pPr>
            <w:r>
              <w:rPr>
                <w:b/>
              </w:rPr>
              <w:t>1、废水排放标准</w:t>
            </w:r>
          </w:p>
          <w:p w14:paraId="50DFCD7D">
            <w:pPr>
              <w:adjustRightInd w:val="0"/>
              <w:snapToGrid w:val="0"/>
              <w:spacing w:line="360" w:lineRule="auto"/>
              <w:ind w:firstLine="480" w:firstLineChars="200"/>
              <w:jc w:val="left"/>
            </w:pPr>
            <w:r>
              <w:rPr>
                <w:rFonts w:hint="eastAsia"/>
                <w:bCs/>
              </w:rPr>
              <w:t>生活污水经化粪池处理后达到《污水综合排放标准》（GB8978-1996）中三级标准</w:t>
            </w:r>
            <w:r>
              <w:rPr>
                <w:bCs/>
              </w:rPr>
              <w:t>并满足污水处理厂接管要求，进入</w:t>
            </w:r>
            <w:r>
              <w:rPr>
                <w:rFonts w:hint="eastAsia"/>
              </w:rPr>
              <w:t>汴北污水处理厂</w:t>
            </w:r>
            <w:r>
              <w:rPr>
                <w:bCs/>
              </w:rPr>
              <w:t>进一步处理，达标后排放至</w:t>
            </w:r>
            <w:r>
              <w:rPr>
                <w:rFonts w:hint="eastAsia"/>
                <w:bCs/>
              </w:rPr>
              <w:t>运粮河。</w:t>
            </w:r>
          </w:p>
          <w:p w14:paraId="691B0016">
            <w:pPr>
              <w:adjustRightInd w:val="0"/>
              <w:snapToGrid w:val="0"/>
              <w:jc w:val="center"/>
              <w:rPr>
                <w:b/>
                <w:bCs/>
              </w:rPr>
            </w:pPr>
            <w:r>
              <w:rPr>
                <w:rFonts w:hint="eastAsia"/>
                <w:b/>
                <w:bCs/>
              </w:rPr>
              <w:t>表3.</w:t>
            </w:r>
            <w:r>
              <w:rPr>
                <w:rFonts w:hint="eastAsia"/>
                <w:b/>
                <w:bCs/>
                <w:lang w:val="en-US" w:eastAsia="zh-CN"/>
              </w:rPr>
              <w:t>5</w:t>
            </w:r>
            <w:r>
              <w:rPr>
                <w:rFonts w:hint="eastAsia"/>
                <w:b/>
                <w:bCs/>
              </w:rPr>
              <w:t xml:space="preserve">  污水排放标准 单位mg/L  pH无量纲</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872"/>
              <w:gridCol w:w="889"/>
              <w:gridCol w:w="1206"/>
              <w:gridCol w:w="1066"/>
              <w:gridCol w:w="903"/>
            </w:tblGrid>
            <w:tr w14:paraId="61CA7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5" w:type="dxa"/>
                  <w:vAlign w:val="center"/>
                </w:tcPr>
                <w:p w14:paraId="1510A7C8">
                  <w:pPr>
                    <w:pStyle w:val="76"/>
                    <w:rPr>
                      <w:b/>
                      <w:bCs/>
                      <w:sz w:val="21"/>
                      <w:szCs w:val="21"/>
                    </w:rPr>
                  </w:pPr>
                  <w:r>
                    <w:rPr>
                      <w:b/>
                      <w:bCs/>
                      <w:sz w:val="21"/>
                      <w:szCs w:val="21"/>
                    </w:rPr>
                    <w:t>标准类别</w:t>
                  </w:r>
                </w:p>
              </w:tc>
              <w:tc>
                <w:tcPr>
                  <w:tcW w:w="791" w:type="dxa"/>
                  <w:vAlign w:val="center"/>
                </w:tcPr>
                <w:p w14:paraId="7C3BA6D3">
                  <w:pPr>
                    <w:pStyle w:val="76"/>
                    <w:rPr>
                      <w:b/>
                      <w:bCs/>
                      <w:sz w:val="21"/>
                      <w:szCs w:val="21"/>
                    </w:rPr>
                  </w:pPr>
                  <w:r>
                    <w:rPr>
                      <w:b/>
                      <w:bCs/>
                      <w:sz w:val="21"/>
                      <w:szCs w:val="21"/>
                    </w:rPr>
                    <w:t>pH</w:t>
                  </w:r>
                </w:p>
              </w:tc>
              <w:tc>
                <w:tcPr>
                  <w:tcW w:w="806" w:type="dxa"/>
                  <w:vAlign w:val="center"/>
                </w:tcPr>
                <w:p w14:paraId="13E4D4A6">
                  <w:pPr>
                    <w:pStyle w:val="76"/>
                    <w:rPr>
                      <w:b/>
                      <w:bCs/>
                      <w:sz w:val="21"/>
                      <w:szCs w:val="21"/>
                    </w:rPr>
                  </w:pPr>
                  <w:r>
                    <w:rPr>
                      <w:b/>
                      <w:bCs/>
                      <w:kern w:val="2"/>
                      <w:sz w:val="21"/>
                      <w:szCs w:val="21"/>
                    </w:rPr>
                    <w:t>COD</w:t>
                  </w:r>
                </w:p>
              </w:tc>
              <w:tc>
                <w:tcPr>
                  <w:tcW w:w="1094" w:type="dxa"/>
                  <w:vAlign w:val="center"/>
                </w:tcPr>
                <w:p w14:paraId="7E60DCD3">
                  <w:pPr>
                    <w:pStyle w:val="76"/>
                    <w:rPr>
                      <w:b/>
                      <w:bCs/>
                      <w:sz w:val="21"/>
                      <w:szCs w:val="21"/>
                    </w:rPr>
                  </w:pPr>
                  <w:r>
                    <w:rPr>
                      <w:b/>
                      <w:bCs/>
                      <w:sz w:val="21"/>
                      <w:szCs w:val="21"/>
                    </w:rPr>
                    <w:t>BOD</w:t>
                  </w:r>
                  <w:r>
                    <w:rPr>
                      <w:b/>
                      <w:bCs/>
                      <w:sz w:val="21"/>
                      <w:szCs w:val="21"/>
                      <w:vertAlign w:val="subscript"/>
                    </w:rPr>
                    <w:t>5</w:t>
                  </w:r>
                </w:p>
              </w:tc>
              <w:tc>
                <w:tcPr>
                  <w:tcW w:w="967" w:type="dxa"/>
                  <w:vAlign w:val="center"/>
                </w:tcPr>
                <w:p w14:paraId="6914C0C6">
                  <w:pPr>
                    <w:pStyle w:val="76"/>
                    <w:rPr>
                      <w:b/>
                      <w:bCs/>
                      <w:sz w:val="21"/>
                      <w:szCs w:val="21"/>
                    </w:rPr>
                  </w:pPr>
                  <w:r>
                    <w:rPr>
                      <w:b/>
                      <w:bCs/>
                      <w:sz w:val="21"/>
                      <w:szCs w:val="21"/>
                    </w:rPr>
                    <w:t>SS</w:t>
                  </w:r>
                </w:p>
              </w:tc>
              <w:tc>
                <w:tcPr>
                  <w:tcW w:w="819" w:type="dxa"/>
                  <w:vAlign w:val="center"/>
                </w:tcPr>
                <w:p w14:paraId="422B0AAB">
                  <w:pPr>
                    <w:pStyle w:val="76"/>
                    <w:rPr>
                      <w:b/>
                      <w:bCs/>
                      <w:sz w:val="21"/>
                      <w:szCs w:val="21"/>
                    </w:rPr>
                  </w:pPr>
                  <w:r>
                    <w:rPr>
                      <w:b/>
                      <w:bCs/>
                      <w:sz w:val="21"/>
                      <w:szCs w:val="21"/>
                    </w:rPr>
                    <w:t>氨氮</w:t>
                  </w:r>
                </w:p>
              </w:tc>
            </w:tr>
            <w:tr w14:paraId="2FEE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5" w:type="dxa"/>
                  <w:vAlign w:val="center"/>
                </w:tcPr>
                <w:p w14:paraId="021B9849">
                  <w:pPr>
                    <w:pStyle w:val="76"/>
                    <w:rPr>
                      <w:sz w:val="21"/>
                      <w:szCs w:val="21"/>
                    </w:rPr>
                  </w:pPr>
                  <w:r>
                    <w:rPr>
                      <w:sz w:val="21"/>
                      <w:szCs w:val="21"/>
                    </w:rPr>
                    <w:t>《污水综合排放标准》（GB8978-1996）</w:t>
                  </w:r>
                </w:p>
              </w:tc>
              <w:tc>
                <w:tcPr>
                  <w:tcW w:w="791" w:type="dxa"/>
                  <w:vAlign w:val="center"/>
                </w:tcPr>
                <w:p w14:paraId="46FA346F">
                  <w:pPr>
                    <w:jc w:val="center"/>
                    <w:rPr>
                      <w:sz w:val="21"/>
                      <w:szCs w:val="21"/>
                    </w:rPr>
                  </w:pPr>
                  <w:r>
                    <w:rPr>
                      <w:sz w:val="21"/>
                      <w:szCs w:val="21"/>
                    </w:rPr>
                    <w:t>6~9</w:t>
                  </w:r>
                </w:p>
              </w:tc>
              <w:tc>
                <w:tcPr>
                  <w:tcW w:w="806" w:type="dxa"/>
                  <w:vAlign w:val="center"/>
                </w:tcPr>
                <w:p w14:paraId="3F433A7B">
                  <w:pPr>
                    <w:jc w:val="center"/>
                    <w:rPr>
                      <w:sz w:val="21"/>
                      <w:szCs w:val="21"/>
                    </w:rPr>
                  </w:pPr>
                  <w:r>
                    <w:rPr>
                      <w:sz w:val="21"/>
                      <w:szCs w:val="21"/>
                      <w:lang w:bidi="ar"/>
                    </w:rPr>
                    <w:t>500</w:t>
                  </w:r>
                </w:p>
              </w:tc>
              <w:tc>
                <w:tcPr>
                  <w:tcW w:w="1094" w:type="dxa"/>
                  <w:vAlign w:val="center"/>
                </w:tcPr>
                <w:p w14:paraId="04FC00BC">
                  <w:pPr>
                    <w:jc w:val="center"/>
                    <w:rPr>
                      <w:sz w:val="21"/>
                      <w:szCs w:val="21"/>
                    </w:rPr>
                  </w:pPr>
                  <w:r>
                    <w:rPr>
                      <w:sz w:val="21"/>
                      <w:szCs w:val="21"/>
                      <w:lang w:bidi="ar"/>
                    </w:rPr>
                    <w:t>300</w:t>
                  </w:r>
                </w:p>
              </w:tc>
              <w:tc>
                <w:tcPr>
                  <w:tcW w:w="967" w:type="dxa"/>
                  <w:vAlign w:val="center"/>
                </w:tcPr>
                <w:p w14:paraId="789AEE9D">
                  <w:pPr>
                    <w:jc w:val="center"/>
                    <w:rPr>
                      <w:sz w:val="21"/>
                      <w:szCs w:val="21"/>
                    </w:rPr>
                  </w:pPr>
                  <w:r>
                    <w:rPr>
                      <w:sz w:val="21"/>
                      <w:szCs w:val="21"/>
                      <w:lang w:bidi="ar"/>
                    </w:rPr>
                    <w:t>400</w:t>
                  </w:r>
                </w:p>
              </w:tc>
              <w:tc>
                <w:tcPr>
                  <w:tcW w:w="819" w:type="dxa"/>
                  <w:vAlign w:val="center"/>
                </w:tcPr>
                <w:p w14:paraId="4BF1CAF8">
                  <w:pPr>
                    <w:jc w:val="center"/>
                    <w:rPr>
                      <w:sz w:val="21"/>
                      <w:szCs w:val="21"/>
                    </w:rPr>
                  </w:pPr>
                  <w:r>
                    <w:rPr>
                      <w:sz w:val="21"/>
                      <w:szCs w:val="21"/>
                      <w:lang w:bidi="ar"/>
                    </w:rPr>
                    <w:t>/</w:t>
                  </w:r>
                </w:p>
              </w:tc>
            </w:tr>
            <w:tr w14:paraId="127E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5" w:type="dxa"/>
                  <w:vAlign w:val="center"/>
                </w:tcPr>
                <w:p w14:paraId="13FB04C5">
                  <w:pPr>
                    <w:pStyle w:val="76"/>
                    <w:rPr>
                      <w:sz w:val="21"/>
                      <w:szCs w:val="21"/>
                    </w:rPr>
                  </w:pPr>
                  <w:r>
                    <w:rPr>
                      <w:rFonts w:hint="eastAsia"/>
                      <w:sz w:val="21"/>
                      <w:szCs w:val="21"/>
                    </w:rPr>
                    <w:t>汴北污水处理厂</w:t>
                  </w:r>
                  <w:r>
                    <w:rPr>
                      <w:sz w:val="21"/>
                      <w:szCs w:val="21"/>
                    </w:rPr>
                    <w:t>接管标准</w:t>
                  </w:r>
                </w:p>
              </w:tc>
              <w:tc>
                <w:tcPr>
                  <w:tcW w:w="791" w:type="dxa"/>
                  <w:vAlign w:val="center"/>
                </w:tcPr>
                <w:p w14:paraId="700FAF14">
                  <w:pPr>
                    <w:jc w:val="center"/>
                    <w:rPr>
                      <w:sz w:val="21"/>
                      <w:szCs w:val="21"/>
                    </w:rPr>
                  </w:pPr>
                  <w:r>
                    <w:rPr>
                      <w:rFonts w:hint="eastAsia"/>
                      <w:bCs/>
                      <w:sz w:val="21"/>
                      <w:szCs w:val="21"/>
                    </w:rPr>
                    <w:t>6~9</w:t>
                  </w:r>
                </w:p>
              </w:tc>
              <w:tc>
                <w:tcPr>
                  <w:tcW w:w="806" w:type="dxa"/>
                  <w:vAlign w:val="center"/>
                </w:tcPr>
                <w:p w14:paraId="4399A5C6">
                  <w:pPr>
                    <w:jc w:val="center"/>
                    <w:rPr>
                      <w:sz w:val="21"/>
                      <w:szCs w:val="21"/>
                    </w:rPr>
                  </w:pPr>
                  <w:r>
                    <w:rPr>
                      <w:rFonts w:hint="eastAsia"/>
                      <w:sz w:val="21"/>
                      <w:szCs w:val="21"/>
                    </w:rPr>
                    <w:t>360</w:t>
                  </w:r>
                </w:p>
              </w:tc>
              <w:tc>
                <w:tcPr>
                  <w:tcW w:w="1094" w:type="dxa"/>
                  <w:vAlign w:val="center"/>
                </w:tcPr>
                <w:p w14:paraId="3E788BAD">
                  <w:pPr>
                    <w:jc w:val="center"/>
                    <w:rPr>
                      <w:sz w:val="21"/>
                      <w:szCs w:val="21"/>
                    </w:rPr>
                  </w:pPr>
                  <w:r>
                    <w:rPr>
                      <w:rFonts w:hint="eastAsia"/>
                      <w:sz w:val="21"/>
                      <w:szCs w:val="21"/>
                      <w:lang w:bidi="ar"/>
                    </w:rPr>
                    <w:t>180</w:t>
                  </w:r>
                </w:p>
              </w:tc>
              <w:tc>
                <w:tcPr>
                  <w:tcW w:w="967" w:type="dxa"/>
                  <w:vAlign w:val="center"/>
                </w:tcPr>
                <w:p w14:paraId="175DED4B">
                  <w:pPr>
                    <w:jc w:val="center"/>
                    <w:rPr>
                      <w:sz w:val="21"/>
                      <w:szCs w:val="21"/>
                    </w:rPr>
                  </w:pPr>
                  <w:r>
                    <w:rPr>
                      <w:rFonts w:hint="eastAsia"/>
                      <w:sz w:val="21"/>
                      <w:szCs w:val="21"/>
                      <w:lang w:bidi="ar"/>
                    </w:rPr>
                    <w:t>220</w:t>
                  </w:r>
                </w:p>
              </w:tc>
              <w:tc>
                <w:tcPr>
                  <w:tcW w:w="819" w:type="dxa"/>
                  <w:vAlign w:val="center"/>
                </w:tcPr>
                <w:p w14:paraId="0DE0AB51">
                  <w:pPr>
                    <w:jc w:val="center"/>
                    <w:rPr>
                      <w:sz w:val="21"/>
                      <w:szCs w:val="21"/>
                    </w:rPr>
                  </w:pPr>
                  <w:r>
                    <w:rPr>
                      <w:rFonts w:hint="eastAsia"/>
                      <w:sz w:val="21"/>
                      <w:szCs w:val="21"/>
                    </w:rPr>
                    <w:t>35</w:t>
                  </w:r>
                </w:p>
              </w:tc>
            </w:tr>
            <w:tr w14:paraId="506E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45" w:type="dxa"/>
                  <w:vAlign w:val="center"/>
                </w:tcPr>
                <w:p w14:paraId="6CB0D7BB">
                  <w:pPr>
                    <w:pStyle w:val="76"/>
                    <w:rPr>
                      <w:sz w:val="21"/>
                      <w:szCs w:val="21"/>
                    </w:rPr>
                  </w:pPr>
                  <w:r>
                    <w:rPr>
                      <w:sz w:val="21"/>
                      <w:szCs w:val="21"/>
                    </w:rPr>
                    <w:t>本项目执行</w:t>
                  </w:r>
                </w:p>
              </w:tc>
              <w:tc>
                <w:tcPr>
                  <w:tcW w:w="791" w:type="dxa"/>
                  <w:vAlign w:val="center"/>
                </w:tcPr>
                <w:p w14:paraId="7690C0E8">
                  <w:pPr>
                    <w:jc w:val="center"/>
                    <w:rPr>
                      <w:sz w:val="21"/>
                      <w:szCs w:val="21"/>
                    </w:rPr>
                  </w:pPr>
                  <w:r>
                    <w:rPr>
                      <w:sz w:val="21"/>
                      <w:szCs w:val="21"/>
                    </w:rPr>
                    <w:t>6~9</w:t>
                  </w:r>
                </w:p>
              </w:tc>
              <w:tc>
                <w:tcPr>
                  <w:tcW w:w="806" w:type="dxa"/>
                  <w:vAlign w:val="center"/>
                </w:tcPr>
                <w:p w14:paraId="6D4C3F04">
                  <w:pPr>
                    <w:jc w:val="center"/>
                    <w:rPr>
                      <w:sz w:val="21"/>
                      <w:szCs w:val="21"/>
                    </w:rPr>
                  </w:pPr>
                  <w:r>
                    <w:rPr>
                      <w:rFonts w:hint="eastAsia"/>
                      <w:sz w:val="21"/>
                      <w:szCs w:val="21"/>
                    </w:rPr>
                    <w:t>360</w:t>
                  </w:r>
                </w:p>
              </w:tc>
              <w:tc>
                <w:tcPr>
                  <w:tcW w:w="1094" w:type="dxa"/>
                  <w:vAlign w:val="center"/>
                </w:tcPr>
                <w:p w14:paraId="346F1F45">
                  <w:pPr>
                    <w:jc w:val="center"/>
                    <w:rPr>
                      <w:sz w:val="21"/>
                      <w:szCs w:val="21"/>
                    </w:rPr>
                  </w:pPr>
                  <w:r>
                    <w:rPr>
                      <w:rFonts w:hint="eastAsia"/>
                      <w:sz w:val="21"/>
                      <w:szCs w:val="21"/>
                      <w:lang w:bidi="ar"/>
                    </w:rPr>
                    <w:t>180</w:t>
                  </w:r>
                </w:p>
              </w:tc>
              <w:tc>
                <w:tcPr>
                  <w:tcW w:w="967" w:type="dxa"/>
                  <w:vAlign w:val="center"/>
                </w:tcPr>
                <w:p w14:paraId="48A65765">
                  <w:pPr>
                    <w:jc w:val="center"/>
                    <w:rPr>
                      <w:sz w:val="21"/>
                      <w:szCs w:val="21"/>
                    </w:rPr>
                  </w:pPr>
                  <w:r>
                    <w:rPr>
                      <w:rFonts w:hint="eastAsia"/>
                      <w:sz w:val="21"/>
                      <w:szCs w:val="21"/>
                      <w:lang w:bidi="ar"/>
                    </w:rPr>
                    <w:t>220</w:t>
                  </w:r>
                </w:p>
              </w:tc>
              <w:tc>
                <w:tcPr>
                  <w:tcW w:w="819" w:type="dxa"/>
                  <w:vAlign w:val="center"/>
                </w:tcPr>
                <w:p w14:paraId="08AC43EB">
                  <w:pPr>
                    <w:jc w:val="center"/>
                    <w:rPr>
                      <w:kern w:val="0"/>
                      <w:sz w:val="21"/>
                      <w:szCs w:val="21"/>
                    </w:rPr>
                  </w:pPr>
                  <w:r>
                    <w:rPr>
                      <w:rFonts w:hint="eastAsia"/>
                      <w:sz w:val="21"/>
                      <w:szCs w:val="21"/>
                    </w:rPr>
                    <w:t>35</w:t>
                  </w:r>
                </w:p>
              </w:tc>
            </w:tr>
          </w:tbl>
          <w:p w14:paraId="2BD8C63D">
            <w:pPr>
              <w:adjustRightInd w:val="0"/>
              <w:snapToGrid w:val="0"/>
              <w:spacing w:before="120" w:beforeLines="50" w:line="360" w:lineRule="auto"/>
              <w:rPr>
                <w:b/>
              </w:rPr>
            </w:pPr>
            <w:r>
              <w:rPr>
                <w:b/>
              </w:rPr>
              <w:t>2、大气污染物排放标准</w:t>
            </w:r>
          </w:p>
          <w:p w14:paraId="275350E9">
            <w:pPr>
              <w:adjustRightInd w:val="0"/>
              <w:snapToGrid w:val="0"/>
              <w:spacing w:line="360" w:lineRule="auto"/>
              <w:ind w:firstLine="480" w:firstLineChars="200"/>
            </w:pPr>
            <w:r>
              <w:rPr>
                <w:rFonts w:hint="eastAsia"/>
              </w:rPr>
              <w:t>本项目废气执行</w:t>
            </w:r>
            <w:r>
              <w:rPr>
                <w:color w:val="000000"/>
              </w:rPr>
              <w:t>《大气污染物综合排放标准》（</w:t>
            </w:r>
            <w:r>
              <w:rPr>
                <w:rFonts w:hint="eastAsia"/>
                <w:color w:val="000000"/>
              </w:rPr>
              <w:t>G</w:t>
            </w:r>
            <w:r>
              <w:rPr>
                <w:color w:val="000000"/>
              </w:rPr>
              <w:t>B</w:t>
            </w:r>
            <w:r>
              <w:rPr>
                <w:rFonts w:hint="eastAsia"/>
                <w:color w:val="000000"/>
              </w:rPr>
              <w:t>16297</w:t>
            </w:r>
            <w:r>
              <w:rPr>
                <w:color w:val="000000"/>
              </w:rPr>
              <w:t>—</w:t>
            </w:r>
            <w:r>
              <w:rPr>
                <w:rFonts w:hint="eastAsia"/>
                <w:color w:val="000000"/>
              </w:rPr>
              <w:t>1996</w:t>
            </w:r>
            <w:r>
              <w:rPr>
                <w:color w:val="000000"/>
              </w:rPr>
              <w:t>）</w:t>
            </w:r>
            <w:r>
              <w:t>中二级标准限值要求</w:t>
            </w:r>
            <w:r>
              <w:rPr>
                <w:rFonts w:hint="eastAsia"/>
              </w:rPr>
              <w:t>，具体标准值见下表。</w:t>
            </w:r>
          </w:p>
          <w:p w14:paraId="754E9AA3">
            <w:pPr>
              <w:adjustRightInd w:val="0"/>
              <w:snapToGrid w:val="0"/>
              <w:jc w:val="center"/>
              <w:rPr>
                <w:b/>
                <w:bCs/>
                <w:color w:val="000000"/>
              </w:rPr>
            </w:pPr>
            <w:r>
              <w:rPr>
                <w:rFonts w:hint="eastAsia"/>
                <w:b/>
                <w:bCs/>
                <w:color w:val="000000"/>
              </w:rPr>
              <w:t>表3.</w:t>
            </w:r>
            <w:r>
              <w:rPr>
                <w:rFonts w:hint="eastAsia"/>
                <w:b/>
                <w:bCs/>
                <w:color w:val="000000"/>
                <w:lang w:val="en-US" w:eastAsia="zh-CN"/>
              </w:rPr>
              <w:t>6</w:t>
            </w:r>
            <w:r>
              <w:rPr>
                <w:rFonts w:hint="eastAsia"/>
                <w:b/>
                <w:bCs/>
                <w:color w:val="000000"/>
              </w:rPr>
              <w:t xml:space="preserve">  《大气污染物综合排放标准》（GB16297—1996）</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289"/>
              <w:gridCol w:w="1390"/>
              <w:gridCol w:w="1390"/>
              <w:gridCol w:w="1576"/>
              <w:gridCol w:w="988"/>
            </w:tblGrid>
            <w:tr w14:paraId="060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1" w:type="dxa"/>
                  <w:vMerge w:val="restart"/>
                  <w:tcBorders>
                    <w:bottom w:val="single" w:color="auto" w:sz="4" w:space="0"/>
                  </w:tcBorders>
                  <w:vAlign w:val="center"/>
                </w:tcPr>
                <w:p w14:paraId="40368BE7">
                  <w:pPr>
                    <w:jc w:val="center"/>
                    <w:rPr>
                      <w:b/>
                      <w:sz w:val="21"/>
                      <w:szCs w:val="21"/>
                    </w:rPr>
                  </w:pPr>
                  <w:r>
                    <w:rPr>
                      <w:b/>
                      <w:sz w:val="21"/>
                      <w:szCs w:val="21"/>
                    </w:rPr>
                    <w:t>污染物</w:t>
                  </w:r>
                </w:p>
              </w:tc>
              <w:tc>
                <w:tcPr>
                  <w:tcW w:w="1289" w:type="dxa"/>
                  <w:vMerge w:val="restart"/>
                  <w:tcBorders>
                    <w:bottom w:val="single" w:color="auto" w:sz="4" w:space="0"/>
                  </w:tcBorders>
                  <w:vAlign w:val="center"/>
                </w:tcPr>
                <w:p w14:paraId="1C09A065">
                  <w:pPr>
                    <w:jc w:val="center"/>
                    <w:rPr>
                      <w:b/>
                      <w:sz w:val="21"/>
                      <w:szCs w:val="21"/>
                    </w:rPr>
                  </w:pPr>
                  <w:r>
                    <w:rPr>
                      <w:b/>
                      <w:sz w:val="21"/>
                      <w:szCs w:val="21"/>
                    </w:rPr>
                    <w:t>最高允许排放浓度mg/m</w:t>
                  </w:r>
                  <w:r>
                    <w:rPr>
                      <w:b/>
                      <w:sz w:val="21"/>
                      <w:szCs w:val="21"/>
                      <w:vertAlign w:val="superscript"/>
                    </w:rPr>
                    <w:t>3</w:t>
                  </w:r>
                </w:p>
              </w:tc>
              <w:tc>
                <w:tcPr>
                  <w:tcW w:w="1390" w:type="dxa"/>
                  <w:vMerge w:val="restart"/>
                  <w:vAlign w:val="center"/>
                </w:tcPr>
                <w:p w14:paraId="00E6D6FF">
                  <w:pPr>
                    <w:jc w:val="center"/>
                    <w:rPr>
                      <w:b/>
                      <w:sz w:val="21"/>
                      <w:szCs w:val="21"/>
                    </w:rPr>
                  </w:pPr>
                  <w:r>
                    <w:rPr>
                      <w:rFonts w:hint="eastAsia"/>
                      <w:b/>
                      <w:sz w:val="21"/>
                      <w:szCs w:val="21"/>
                    </w:rPr>
                    <w:t>排气筒高度m</w:t>
                  </w:r>
                </w:p>
              </w:tc>
              <w:tc>
                <w:tcPr>
                  <w:tcW w:w="1390" w:type="dxa"/>
                  <w:vMerge w:val="restart"/>
                  <w:vAlign w:val="center"/>
                </w:tcPr>
                <w:p w14:paraId="03E172DC">
                  <w:pPr>
                    <w:jc w:val="center"/>
                    <w:rPr>
                      <w:b/>
                      <w:sz w:val="21"/>
                      <w:szCs w:val="21"/>
                    </w:rPr>
                  </w:pPr>
                  <w:r>
                    <w:rPr>
                      <w:b/>
                      <w:sz w:val="21"/>
                      <w:szCs w:val="21"/>
                    </w:rPr>
                    <w:t>最高允许排放速率，kg/h</w:t>
                  </w:r>
                </w:p>
              </w:tc>
              <w:tc>
                <w:tcPr>
                  <w:tcW w:w="2564" w:type="dxa"/>
                  <w:gridSpan w:val="2"/>
                  <w:tcBorders>
                    <w:bottom w:val="single" w:color="auto" w:sz="4" w:space="0"/>
                  </w:tcBorders>
                  <w:vAlign w:val="center"/>
                </w:tcPr>
                <w:p w14:paraId="050FDE5F">
                  <w:pPr>
                    <w:jc w:val="center"/>
                    <w:rPr>
                      <w:b/>
                      <w:sz w:val="21"/>
                      <w:szCs w:val="21"/>
                    </w:rPr>
                  </w:pPr>
                  <w:r>
                    <w:rPr>
                      <w:b/>
                      <w:sz w:val="21"/>
                      <w:szCs w:val="21"/>
                    </w:rPr>
                    <w:t>无组织排放监控浓度限值</w:t>
                  </w:r>
                </w:p>
              </w:tc>
            </w:tr>
            <w:tr w14:paraId="7E26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1" w:type="dxa"/>
                  <w:vMerge w:val="continue"/>
                  <w:vAlign w:val="center"/>
                </w:tcPr>
                <w:p w14:paraId="4C4C04C7">
                  <w:pPr>
                    <w:jc w:val="center"/>
                    <w:rPr>
                      <w:b/>
                      <w:sz w:val="21"/>
                      <w:szCs w:val="21"/>
                    </w:rPr>
                  </w:pPr>
                </w:p>
              </w:tc>
              <w:tc>
                <w:tcPr>
                  <w:tcW w:w="1289" w:type="dxa"/>
                  <w:vMerge w:val="continue"/>
                  <w:vAlign w:val="center"/>
                </w:tcPr>
                <w:p w14:paraId="0AC14043">
                  <w:pPr>
                    <w:jc w:val="center"/>
                    <w:rPr>
                      <w:b/>
                      <w:sz w:val="21"/>
                      <w:szCs w:val="21"/>
                    </w:rPr>
                  </w:pPr>
                </w:p>
              </w:tc>
              <w:tc>
                <w:tcPr>
                  <w:tcW w:w="1390" w:type="dxa"/>
                  <w:vMerge w:val="continue"/>
                  <w:vAlign w:val="center"/>
                </w:tcPr>
                <w:p w14:paraId="42C8F872">
                  <w:pPr>
                    <w:jc w:val="center"/>
                    <w:rPr>
                      <w:b/>
                      <w:sz w:val="21"/>
                      <w:szCs w:val="21"/>
                    </w:rPr>
                  </w:pPr>
                </w:p>
              </w:tc>
              <w:tc>
                <w:tcPr>
                  <w:tcW w:w="1390" w:type="dxa"/>
                  <w:vMerge w:val="continue"/>
                  <w:vAlign w:val="center"/>
                </w:tcPr>
                <w:p w14:paraId="0937044D">
                  <w:pPr>
                    <w:jc w:val="center"/>
                    <w:rPr>
                      <w:b/>
                      <w:sz w:val="21"/>
                      <w:szCs w:val="21"/>
                    </w:rPr>
                  </w:pPr>
                </w:p>
              </w:tc>
              <w:tc>
                <w:tcPr>
                  <w:tcW w:w="1576" w:type="dxa"/>
                  <w:vAlign w:val="center"/>
                </w:tcPr>
                <w:p w14:paraId="67DE1EC1">
                  <w:pPr>
                    <w:jc w:val="center"/>
                    <w:rPr>
                      <w:b/>
                      <w:sz w:val="21"/>
                      <w:szCs w:val="21"/>
                    </w:rPr>
                  </w:pPr>
                  <w:r>
                    <w:rPr>
                      <w:b/>
                      <w:sz w:val="21"/>
                      <w:szCs w:val="21"/>
                    </w:rPr>
                    <w:t>监控点</w:t>
                  </w:r>
                </w:p>
              </w:tc>
              <w:tc>
                <w:tcPr>
                  <w:tcW w:w="988" w:type="dxa"/>
                  <w:vAlign w:val="center"/>
                </w:tcPr>
                <w:p w14:paraId="0FA4B485">
                  <w:pPr>
                    <w:jc w:val="center"/>
                    <w:rPr>
                      <w:b/>
                      <w:sz w:val="21"/>
                      <w:szCs w:val="21"/>
                    </w:rPr>
                  </w:pPr>
                  <w:r>
                    <w:rPr>
                      <w:b/>
                      <w:sz w:val="21"/>
                      <w:szCs w:val="21"/>
                    </w:rPr>
                    <w:t>浓度，mg/m</w:t>
                  </w:r>
                  <w:r>
                    <w:rPr>
                      <w:b/>
                      <w:sz w:val="21"/>
                      <w:szCs w:val="21"/>
                      <w:vertAlign w:val="superscript"/>
                    </w:rPr>
                    <w:t>3</w:t>
                  </w:r>
                </w:p>
              </w:tc>
            </w:tr>
            <w:tr w14:paraId="669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1" w:type="dxa"/>
                  <w:vAlign w:val="center"/>
                </w:tcPr>
                <w:p w14:paraId="3DD86318">
                  <w:pPr>
                    <w:jc w:val="center"/>
                    <w:rPr>
                      <w:bCs/>
                      <w:sz w:val="21"/>
                      <w:szCs w:val="21"/>
                    </w:rPr>
                  </w:pPr>
                  <w:r>
                    <w:rPr>
                      <w:bCs/>
                      <w:sz w:val="21"/>
                      <w:szCs w:val="21"/>
                    </w:rPr>
                    <w:t>非甲烷总烃</w:t>
                  </w:r>
                </w:p>
              </w:tc>
              <w:tc>
                <w:tcPr>
                  <w:tcW w:w="1289" w:type="dxa"/>
                  <w:vAlign w:val="center"/>
                </w:tcPr>
                <w:p w14:paraId="2339421B">
                  <w:pPr>
                    <w:jc w:val="center"/>
                    <w:rPr>
                      <w:bCs/>
                      <w:sz w:val="21"/>
                      <w:szCs w:val="21"/>
                    </w:rPr>
                  </w:pPr>
                  <w:r>
                    <w:rPr>
                      <w:rFonts w:hint="eastAsia"/>
                      <w:bCs/>
                      <w:sz w:val="21"/>
                      <w:szCs w:val="21"/>
                    </w:rPr>
                    <w:t>120</w:t>
                  </w:r>
                </w:p>
              </w:tc>
              <w:tc>
                <w:tcPr>
                  <w:tcW w:w="1390" w:type="dxa"/>
                  <w:vAlign w:val="center"/>
                </w:tcPr>
                <w:p w14:paraId="62D95540">
                  <w:pPr>
                    <w:jc w:val="center"/>
                    <w:rPr>
                      <w:bCs/>
                      <w:sz w:val="21"/>
                      <w:szCs w:val="21"/>
                    </w:rPr>
                  </w:pPr>
                  <w:r>
                    <w:rPr>
                      <w:rFonts w:hint="eastAsia"/>
                      <w:bCs/>
                      <w:sz w:val="21"/>
                      <w:szCs w:val="21"/>
                    </w:rPr>
                    <w:t>15</w:t>
                  </w:r>
                </w:p>
              </w:tc>
              <w:tc>
                <w:tcPr>
                  <w:tcW w:w="1390" w:type="dxa"/>
                  <w:vAlign w:val="center"/>
                </w:tcPr>
                <w:p w14:paraId="4144BCD4">
                  <w:pPr>
                    <w:jc w:val="center"/>
                    <w:rPr>
                      <w:bCs/>
                      <w:sz w:val="21"/>
                      <w:szCs w:val="21"/>
                    </w:rPr>
                  </w:pPr>
                  <w:r>
                    <w:rPr>
                      <w:rFonts w:hint="eastAsia"/>
                      <w:bCs/>
                      <w:sz w:val="21"/>
                      <w:szCs w:val="21"/>
                    </w:rPr>
                    <w:t>10</w:t>
                  </w:r>
                </w:p>
              </w:tc>
              <w:tc>
                <w:tcPr>
                  <w:tcW w:w="1576" w:type="dxa"/>
                  <w:vAlign w:val="center"/>
                </w:tcPr>
                <w:p w14:paraId="04764829">
                  <w:pPr>
                    <w:jc w:val="center"/>
                    <w:rPr>
                      <w:bCs/>
                      <w:sz w:val="21"/>
                      <w:szCs w:val="21"/>
                    </w:rPr>
                  </w:pPr>
                  <w:r>
                    <w:rPr>
                      <w:bCs/>
                      <w:sz w:val="21"/>
                      <w:szCs w:val="21"/>
                    </w:rPr>
                    <w:t>周界外浓度最高点</w:t>
                  </w:r>
                </w:p>
              </w:tc>
              <w:tc>
                <w:tcPr>
                  <w:tcW w:w="988" w:type="dxa"/>
                  <w:vAlign w:val="center"/>
                </w:tcPr>
                <w:p w14:paraId="3033392D">
                  <w:pPr>
                    <w:jc w:val="center"/>
                    <w:rPr>
                      <w:bCs/>
                      <w:sz w:val="21"/>
                      <w:szCs w:val="21"/>
                    </w:rPr>
                  </w:pPr>
                  <w:r>
                    <w:rPr>
                      <w:rFonts w:hint="eastAsia"/>
                      <w:bCs/>
                      <w:sz w:val="21"/>
                      <w:szCs w:val="21"/>
                    </w:rPr>
                    <w:t>4</w:t>
                  </w:r>
                  <w:r>
                    <w:rPr>
                      <w:bCs/>
                      <w:sz w:val="21"/>
                      <w:szCs w:val="21"/>
                    </w:rPr>
                    <w:t>.0</w:t>
                  </w:r>
                </w:p>
              </w:tc>
            </w:tr>
            <w:tr w14:paraId="083D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1" w:type="dxa"/>
                  <w:vAlign w:val="center"/>
                </w:tcPr>
                <w:p w14:paraId="0FE57386">
                  <w:pPr>
                    <w:jc w:val="center"/>
                    <w:rPr>
                      <w:bCs/>
                      <w:sz w:val="21"/>
                      <w:szCs w:val="21"/>
                    </w:rPr>
                  </w:pPr>
                  <w:r>
                    <w:rPr>
                      <w:rFonts w:hint="eastAsia"/>
                      <w:bCs/>
                      <w:sz w:val="21"/>
                      <w:szCs w:val="21"/>
                    </w:rPr>
                    <w:t>颗粒物</w:t>
                  </w:r>
                </w:p>
              </w:tc>
              <w:tc>
                <w:tcPr>
                  <w:tcW w:w="1289" w:type="dxa"/>
                  <w:vAlign w:val="center"/>
                </w:tcPr>
                <w:p w14:paraId="0B46A4A3">
                  <w:pPr>
                    <w:jc w:val="center"/>
                    <w:rPr>
                      <w:bCs/>
                      <w:sz w:val="21"/>
                      <w:szCs w:val="21"/>
                    </w:rPr>
                  </w:pPr>
                  <w:r>
                    <w:rPr>
                      <w:rFonts w:hint="eastAsia"/>
                      <w:bCs/>
                      <w:sz w:val="21"/>
                      <w:szCs w:val="21"/>
                    </w:rPr>
                    <w:t>120</w:t>
                  </w:r>
                </w:p>
              </w:tc>
              <w:tc>
                <w:tcPr>
                  <w:tcW w:w="1390" w:type="dxa"/>
                  <w:vAlign w:val="center"/>
                </w:tcPr>
                <w:p w14:paraId="32D21106">
                  <w:pPr>
                    <w:jc w:val="center"/>
                    <w:rPr>
                      <w:bCs/>
                      <w:sz w:val="21"/>
                      <w:szCs w:val="21"/>
                    </w:rPr>
                  </w:pPr>
                  <w:r>
                    <w:rPr>
                      <w:rFonts w:hint="eastAsia"/>
                      <w:bCs/>
                      <w:sz w:val="21"/>
                      <w:szCs w:val="21"/>
                    </w:rPr>
                    <w:t>15</w:t>
                  </w:r>
                </w:p>
              </w:tc>
              <w:tc>
                <w:tcPr>
                  <w:tcW w:w="1390" w:type="dxa"/>
                  <w:vAlign w:val="center"/>
                </w:tcPr>
                <w:p w14:paraId="23DBBA38">
                  <w:pPr>
                    <w:jc w:val="center"/>
                    <w:rPr>
                      <w:bCs/>
                      <w:sz w:val="21"/>
                      <w:szCs w:val="21"/>
                    </w:rPr>
                  </w:pPr>
                  <w:r>
                    <w:rPr>
                      <w:rFonts w:hint="eastAsia"/>
                      <w:bCs/>
                      <w:sz w:val="21"/>
                      <w:szCs w:val="21"/>
                    </w:rPr>
                    <w:t>3.5</w:t>
                  </w:r>
                </w:p>
              </w:tc>
              <w:tc>
                <w:tcPr>
                  <w:tcW w:w="1576" w:type="dxa"/>
                  <w:vAlign w:val="center"/>
                </w:tcPr>
                <w:p w14:paraId="739D06B2">
                  <w:pPr>
                    <w:jc w:val="center"/>
                    <w:rPr>
                      <w:bCs/>
                      <w:sz w:val="21"/>
                      <w:szCs w:val="21"/>
                    </w:rPr>
                  </w:pPr>
                  <w:r>
                    <w:rPr>
                      <w:bCs/>
                      <w:sz w:val="21"/>
                      <w:szCs w:val="21"/>
                    </w:rPr>
                    <w:t>周界外浓度最高点</w:t>
                  </w:r>
                </w:p>
              </w:tc>
              <w:tc>
                <w:tcPr>
                  <w:tcW w:w="988" w:type="dxa"/>
                  <w:vAlign w:val="center"/>
                </w:tcPr>
                <w:p w14:paraId="5B0928B8">
                  <w:pPr>
                    <w:jc w:val="center"/>
                    <w:rPr>
                      <w:bCs/>
                      <w:sz w:val="21"/>
                      <w:szCs w:val="21"/>
                    </w:rPr>
                  </w:pPr>
                  <w:r>
                    <w:rPr>
                      <w:rFonts w:hint="eastAsia"/>
                      <w:bCs/>
                      <w:sz w:val="21"/>
                      <w:szCs w:val="21"/>
                    </w:rPr>
                    <w:t>1.0</w:t>
                  </w:r>
                </w:p>
              </w:tc>
            </w:tr>
          </w:tbl>
          <w:p w14:paraId="62BD392E">
            <w:pPr>
              <w:adjustRightInd w:val="0"/>
              <w:snapToGrid w:val="0"/>
              <w:spacing w:before="120" w:beforeLines="50" w:line="360" w:lineRule="auto"/>
              <w:ind w:firstLine="480" w:firstLineChars="200"/>
            </w:pPr>
            <w:r>
              <w:t>厂区内监控点处1h平均浓度值、任意一次浓度值执行《挥发性有机物无组织排放控制标准》（GB 37822-2019）附录A的表A.1的相应规定。</w:t>
            </w:r>
          </w:p>
          <w:p w14:paraId="7B6F94C4">
            <w:pPr>
              <w:pStyle w:val="80"/>
              <w:numPr>
                <w:ilvl w:val="0"/>
                <w:numId w:val="0"/>
              </w:numPr>
              <w:spacing w:line="240" w:lineRule="auto"/>
              <w:rPr>
                <w:rFonts w:ascii="Times New Roman" w:hAnsi="Times New Roman" w:cs="Times New Roman"/>
                <w:color w:val="auto"/>
                <w:szCs w:val="24"/>
              </w:rPr>
            </w:pPr>
            <w:r>
              <w:rPr>
                <w:rFonts w:ascii="Times New Roman" w:hAnsi="Times New Roman" w:cs="Times New Roman"/>
                <w:color w:val="auto"/>
                <w:szCs w:val="24"/>
              </w:rPr>
              <w:t>表3</w:t>
            </w:r>
            <w:r>
              <w:rPr>
                <w:rFonts w:hint="eastAsia" w:ascii="Times New Roman" w:hAnsi="Times New Roman" w:cs="Times New Roman"/>
                <w:color w:val="auto"/>
                <w:szCs w:val="24"/>
              </w:rPr>
              <w:t>.</w:t>
            </w:r>
            <w:r>
              <w:rPr>
                <w:rFonts w:hint="eastAsia" w:ascii="Times New Roman" w:hAnsi="Times New Roman" w:cs="Times New Roman"/>
                <w:color w:val="auto"/>
                <w:szCs w:val="24"/>
                <w:lang w:val="en-US" w:eastAsia="zh-CN"/>
              </w:rPr>
              <w:t>7</w:t>
            </w:r>
            <w:r>
              <w:rPr>
                <w:rFonts w:ascii="Times New Roman" w:hAnsi="Times New Roman" w:cs="Times New Roman"/>
                <w:color w:val="auto"/>
                <w:szCs w:val="24"/>
              </w:rPr>
              <w:t xml:space="preserve">  厂区内VOCs无组织排放限值 单位：mg/m</w:t>
            </w:r>
            <w:r>
              <w:rPr>
                <w:rFonts w:ascii="Times New Roman" w:hAnsi="Times New Roman" w:cs="Times New Roman"/>
                <w:color w:val="auto"/>
                <w:szCs w:val="24"/>
                <w:vertAlign w:val="superscript"/>
              </w:rPr>
              <w:t>3</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99"/>
              <w:gridCol w:w="1620"/>
              <w:gridCol w:w="2800"/>
              <w:gridCol w:w="2045"/>
            </w:tblGrid>
            <w:tr w14:paraId="46E01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1" w:type="pct"/>
                  <w:vAlign w:val="center"/>
                </w:tcPr>
                <w:p w14:paraId="35E58415">
                  <w:pPr>
                    <w:pStyle w:val="73"/>
                    <w:rPr>
                      <w:b/>
                      <w:bCs/>
                      <w:sz w:val="21"/>
                      <w:szCs w:val="21"/>
                    </w:rPr>
                  </w:pPr>
                  <w:r>
                    <w:rPr>
                      <w:b/>
                      <w:bCs/>
                      <w:sz w:val="21"/>
                      <w:szCs w:val="21"/>
                    </w:rPr>
                    <w:t>污染物项目</w:t>
                  </w:r>
                </w:p>
              </w:tc>
              <w:tc>
                <w:tcPr>
                  <w:tcW w:w="1017" w:type="pct"/>
                  <w:vAlign w:val="center"/>
                </w:tcPr>
                <w:p w14:paraId="4B012345">
                  <w:pPr>
                    <w:pStyle w:val="73"/>
                    <w:rPr>
                      <w:b/>
                      <w:bCs/>
                      <w:sz w:val="21"/>
                      <w:szCs w:val="21"/>
                    </w:rPr>
                  </w:pPr>
                  <w:r>
                    <w:rPr>
                      <w:b/>
                      <w:bCs/>
                      <w:sz w:val="21"/>
                      <w:szCs w:val="21"/>
                    </w:rPr>
                    <w:t>特别排放限值</w:t>
                  </w:r>
                </w:p>
              </w:tc>
              <w:tc>
                <w:tcPr>
                  <w:tcW w:w="1758" w:type="pct"/>
                  <w:vAlign w:val="center"/>
                </w:tcPr>
                <w:p w14:paraId="16CC3193">
                  <w:pPr>
                    <w:pStyle w:val="73"/>
                    <w:rPr>
                      <w:b/>
                      <w:bCs/>
                      <w:sz w:val="21"/>
                      <w:szCs w:val="21"/>
                    </w:rPr>
                  </w:pPr>
                  <w:r>
                    <w:rPr>
                      <w:b/>
                      <w:bCs/>
                      <w:sz w:val="21"/>
                      <w:szCs w:val="21"/>
                    </w:rPr>
                    <w:t>限值含义</w:t>
                  </w:r>
                </w:p>
              </w:tc>
              <w:tc>
                <w:tcPr>
                  <w:tcW w:w="1284" w:type="pct"/>
                  <w:vAlign w:val="center"/>
                </w:tcPr>
                <w:p w14:paraId="431AE9EC">
                  <w:pPr>
                    <w:pStyle w:val="73"/>
                    <w:rPr>
                      <w:b/>
                      <w:bCs/>
                      <w:sz w:val="21"/>
                      <w:szCs w:val="21"/>
                    </w:rPr>
                  </w:pPr>
                  <w:r>
                    <w:rPr>
                      <w:b/>
                      <w:bCs/>
                      <w:sz w:val="21"/>
                      <w:szCs w:val="21"/>
                    </w:rPr>
                    <w:t>执行标准</w:t>
                  </w:r>
                </w:p>
              </w:tc>
            </w:tr>
            <w:tr w14:paraId="7E70F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1" w:type="pct"/>
                  <w:vMerge w:val="restart"/>
                  <w:vAlign w:val="center"/>
                </w:tcPr>
                <w:p w14:paraId="73E3C632">
                  <w:pPr>
                    <w:pStyle w:val="73"/>
                    <w:rPr>
                      <w:sz w:val="21"/>
                      <w:szCs w:val="21"/>
                    </w:rPr>
                  </w:pPr>
                  <w:r>
                    <w:rPr>
                      <w:sz w:val="21"/>
                      <w:szCs w:val="21"/>
                    </w:rPr>
                    <w:t>非甲烷总烃</w:t>
                  </w:r>
                </w:p>
              </w:tc>
              <w:tc>
                <w:tcPr>
                  <w:tcW w:w="1017" w:type="pct"/>
                  <w:vAlign w:val="center"/>
                </w:tcPr>
                <w:p w14:paraId="087C2701">
                  <w:pPr>
                    <w:pStyle w:val="73"/>
                    <w:rPr>
                      <w:sz w:val="21"/>
                      <w:szCs w:val="21"/>
                    </w:rPr>
                  </w:pPr>
                  <w:r>
                    <w:rPr>
                      <w:sz w:val="21"/>
                      <w:szCs w:val="21"/>
                    </w:rPr>
                    <w:t>6</w:t>
                  </w:r>
                </w:p>
              </w:tc>
              <w:tc>
                <w:tcPr>
                  <w:tcW w:w="1758" w:type="pct"/>
                  <w:vAlign w:val="center"/>
                </w:tcPr>
                <w:p w14:paraId="0DFCF220">
                  <w:pPr>
                    <w:pStyle w:val="73"/>
                    <w:rPr>
                      <w:sz w:val="21"/>
                      <w:szCs w:val="21"/>
                    </w:rPr>
                  </w:pPr>
                  <w:r>
                    <w:rPr>
                      <w:sz w:val="21"/>
                      <w:szCs w:val="21"/>
                    </w:rPr>
                    <w:t>监控点处1h平均浓度值</w:t>
                  </w:r>
                </w:p>
              </w:tc>
              <w:tc>
                <w:tcPr>
                  <w:tcW w:w="1284" w:type="pct"/>
                  <w:vMerge w:val="restart"/>
                  <w:vAlign w:val="center"/>
                </w:tcPr>
                <w:p w14:paraId="6D5EBE0C">
                  <w:pPr>
                    <w:pStyle w:val="73"/>
                    <w:rPr>
                      <w:sz w:val="21"/>
                      <w:szCs w:val="21"/>
                    </w:rPr>
                  </w:pPr>
                  <w:r>
                    <w:rPr>
                      <w:sz w:val="21"/>
                      <w:szCs w:val="21"/>
                    </w:rPr>
                    <w:t>GB37822-2019 中表A.1中排放限值</w:t>
                  </w:r>
                </w:p>
              </w:tc>
            </w:tr>
            <w:tr w14:paraId="041F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941" w:type="pct"/>
                  <w:vMerge w:val="continue"/>
                  <w:vAlign w:val="center"/>
                </w:tcPr>
                <w:p w14:paraId="6A12F7D3">
                  <w:pPr>
                    <w:pStyle w:val="73"/>
                    <w:rPr>
                      <w:sz w:val="21"/>
                      <w:szCs w:val="21"/>
                    </w:rPr>
                  </w:pPr>
                </w:p>
              </w:tc>
              <w:tc>
                <w:tcPr>
                  <w:tcW w:w="1017" w:type="pct"/>
                  <w:vAlign w:val="center"/>
                </w:tcPr>
                <w:p w14:paraId="7568878B">
                  <w:pPr>
                    <w:pStyle w:val="73"/>
                    <w:rPr>
                      <w:sz w:val="21"/>
                      <w:szCs w:val="21"/>
                    </w:rPr>
                  </w:pPr>
                  <w:r>
                    <w:rPr>
                      <w:sz w:val="21"/>
                      <w:szCs w:val="21"/>
                    </w:rPr>
                    <w:t>20</w:t>
                  </w:r>
                </w:p>
              </w:tc>
              <w:tc>
                <w:tcPr>
                  <w:tcW w:w="1758" w:type="pct"/>
                  <w:vAlign w:val="center"/>
                </w:tcPr>
                <w:p w14:paraId="35E9AF33">
                  <w:pPr>
                    <w:pStyle w:val="73"/>
                    <w:rPr>
                      <w:sz w:val="21"/>
                      <w:szCs w:val="21"/>
                    </w:rPr>
                  </w:pPr>
                  <w:r>
                    <w:rPr>
                      <w:sz w:val="21"/>
                      <w:szCs w:val="21"/>
                    </w:rPr>
                    <w:t>监控点处任意一次浓度值</w:t>
                  </w:r>
                </w:p>
              </w:tc>
              <w:tc>
                <w:tcPr>
                  <w:tcW w:w="1284" w:type="pct"/>
                  <w:vMerge w:val="continue"/>
                  <w:vAlign w:val="center"/>
                </w:tcPr>
                <w:p w14:paraId="0FFB6BB0">
                  <w:pPr>
                    <w:pStyle w:val="73"/>
                    <w:rPr>
                      <w:sz w:val="21"/>
                      <w:szCs w:val="21"/>
                    </w:rPr>
                  </w:pPr>
                </w:p>
              </w:tc>
            </w:tr>
          </w:tbl>
          <w:p w14:paraId="008E429C">
            <w:pPr>
              <w:adjustRightInd w:val="0"/>
              <w:snapToGrid w:val="0"/>
              <w:spacing w:before="120" w:beforeLines="50" w:line="360" w:lineRule="auto"/>
              <w:rPr>
                <w:b/>
              </w:rPr>
            </w:pPr>
            <w:r>
              <w:rPr>
                <w:b/>
              </w:rPr>
              <w:t>3、噪声排放标准</w:t>
            </w:r>
          </w:p>
          <w:p w14:paraId="13E3D8DF">
            <w:pPr>
              <w:spacing w:line="360" w:lineRule="auto"/>
              <w:ind w:firstLine="480" w:firstLineChars="200"/>
              <w:rPr>
                <w:b/>
                <w:bCs/>
                <w:color w:val="000000"/>
                <w:sz w:val="24"/>
              </w:rPr>
            </w:pPr>
            <w:r>
              <w:rPr>
                <w:rFonts w:hint="eastAsia"/>
                <w:sz w:val="24"/>
                <w:szCs w:val="32"/>
              </w:rPr>
              <w:t>施工期厂界噪声执行</w:t>
            </w:r>
            <w:r>
              <w:rPr>
                <w:sz w:val="24"/>
                <w:szCs w:val="32"/>
              </w:rPr>
              <w:t>《</w:t>
            </w:r>
            <w:r>
              <w:rPr>
                <w:rFonts w:hint="eastAsia"/>
                <w:sz w:val="24"/>
                <w:szCs w:val="32"/>
              </w:rPr>
              <w:t>建筑施工</w:t>
            </w:r>
            <w:r>
              <w:rPr>
                <w:sz w:val="24"/>
                <w:szCs w:val="32"/>
              </w:rPr>
              <w:t>噪声排放标准》（GB12</w:t>
            </w:r>
            <w:r>
              <w:rPr>
                <w:rFonts w:hint="eastAsia"/>
                <w:sz w:val="24"/>
                <w:szCs w:val="32"/>
              </w:rPr>
              <w:t>523</w:t>
            </w:r>
            <w:r>
              <w:rPr>
                <w:sz w:val="24"/>
                <w:szCs w:val="32"/>
              </w:rPr>
              <w:t>-20</w:t>
            </w:r>
            <w:r>
              <w:rPr>
                <w:rFonts w:hint="eastAsia"/>
                <w:sz w:val="24"/>
                <w:szCs w:val="32"/>
              </w:rPr>
              <w:t>25</w:t>
            </w:r>
            <w:r>
              <w:rPr>
                <w:sz w:val="24"/>
                <w:szCs w:val="32"/>
              </w:rPr>
              <w:t>）</w:t>
            </w:r>
            <w:r>
              <w:rPr>
                <w:rFonts w:hint="eastAsia"/>
              </w:rPr>
              <w:t>；</w:t>
            </w:r>
            <w:r>
              <w:rPr>
                <w:color w:val="000000"/>
                <w:sz w:val="24"/>
              </w:rPr>
              <w:t>运营期厂界噪声执行《工业企业厂界环境噪声排放标准》（GB12348-2008）中</w:t>
            </w:r>
            <w:r>
              <w:rPr>
                <w:rFonts w:hint="eastAsia"/>
                <w:color w:val="000000"/>
                <w:sz w:val="24"/>
              </w:rPr>
              <w:t>2</w:t>
            </w:r>
            <w:r>
              <w:rPr>
                <w:color w:val="000000"/>
                <w:sz w:val="24"/>
              </w:rPr>
              <w:t>类标准要求，具体标准值如下表：</w:t>
            </w:r>
          </w:p>
          <w:p w14:paraId="5045A48C">
            <w:pPr>
              <w:jc w:val="center"/>
              <w:rPr>
                <w:b/>
                <w:bCs/>
                <w:color w:val="000000"/>
              </w:rPr>
            </w:pPr>
            <w:r>
              <w:rPr>
                <w:b/>
                <w:bCs/>
                <w:color w:val="000000"/>
                <w:sz w:val="24"/>
                <w:szCs w:val="32"/>
              </w:rPr>
              <w:t>表</w:t>
            </w:r>
            <w:r>
              <w:rPr>
                <w:rFonts w:hint="eastAsia"/>
                <w:b/>
                <w:bCs/>
                <w:color w:val="000000"/>
                <w:sz w:val="24"/>
                <w:szCs w:val="32"/>
              </w:rPr>
              <w:t>3.</w:t>
            </w:r>
            <w:r>
              <w:rPr>
                <w:rFonts w:hint="eastAsia"/>
                <w:b/>
                <w:bCs/>
                <w:color w:val="000000"/>
                <w:sz w:val="24"/>
                <w:szCs w:val="32"/>
                <w:lang w:val="en-US" w:eastAsia="zh-CN"/>
              </w:rPr>
              <w:t>8</w:t>
            </w:r>
            <w:r>
              <w:rPr>
                <w:rFonts w:hint="eastAsia"/>
                <w:b/>
                <w:bCs/>
                <w:color w:val="000000"/>
                <w:sz w:val="24"/>
                <w:szCs w:val="32"/>
              </w:rPr>
              <w:t xml:space="preserve"> </w:t>
            </w:r>
            <w:r>
              <w:rPr>
                <w:b/>
                <w:bCs/>
                <w:color w:val="000000"/>
                <w:sz w:val="24"/>
                <w:szCs w:val="32"/>
              </w:rPr>
              <w:t>建筑施工噪声排放</w:t>
            </w:r>
            <w:r>
              <w:rPr>
                <w:rFonts w:hint="eastAsia"/>
                <w:b/>
                <w:bCs/>
                <w:color w:val="000000"/>
                <w:sz w:val="24"/>
                <w:szCs w:val="32"/>
              </w:rPr>
              <w:t>限值</w:t>
            </w:r>
            <w:r>
              <w:rPr>
                <w:b/>
                <w:bCs/>
                <w:color w:val="000000"/>
                <w:sz w:val="24"/>
                <w:szCs w:val="32"/>
              </w:rPr>
              <w:t xml:space="preserve">  单位：dB（A）</w:t>
            </w:r>
          </w:p>
          <w:tbl>
            <w:tblPr>
              <w:tblStyle w:val="28"/>
              <w:tblW w:w="7971" w:type="dxa"/>
              <w:jc w:val="center"/>
              <w:tblLayout w:type="fixed"/>
              <w:tblCellMar>
                <w:top w:w="0" w:type="dxa"/>
                <w:left w:w="108" w:type="dxa"/>
                <w:bottom w:w="0" w:type="dxa"/>
                <w:right w:w="108" w:type="dxa"/>
              </w:tblCellMar>
            </w:tblPr>
            <w:tblGrid>
              <w:gridCol w:w="3620"/>
              <w:gridCol w:w="2385"/>
              <w:gridCol w:w="1966"/>
            </w:tblGrid>
            <w:tr w14:paraId="0332578F">
              <w:tblPrEx>
                <w:tblCellMar>
                  <w:top w:w="0" w:type="dxa"/>
                  <w:left w:w="108" w:type="dxa"/>
                  <w:bottom w:w="0" w:type="dxa"/>
                  <w:right w:w="108" w:type="dxa"/>
                </w:tblCellMar>
              </w:tblPrEx>
              <w:trPr>
                <w:trHeight w:val="454" w:hRule="atLeast"/>
                <w:jc w:val="center"/>
              </w:trPr>
              <w:tc>
                <w:tcPr>
                  <w:tcW w:w="2270" w:type="pct"/>
                  <w:tcBorders>
                    <w:top w:val="single" w:color="auto" w:sz="6" w:space="0"/>
                    <w:left w:val="single" w:color="auto" w:sz="6" w:space="0"/>
                    <w:bottom w:val="single" w:color="auto" w:sz="6" w:space="0"/>
                    <w:right w:val="single" w:color="auto" w:sz="6" w:space="0"/>
                  </w:tcBorders>
                  <w:vAlign w:val="center"/>
                </w:tcPr>
                <w:p w14:paraId="3BEFFCDB">
                  <w:pPr>
                    <w:jc w:val="center"/>
                    <w:rPr>
                      <w:b/>
                      <w:bCs/>
                      <w:color w:val="000000"/>
                      <w:szCs w:val="21"/>
                    </w:rPr>
                  </w:pPr>
                  <w:r>
                    <w:rPr>
                      <w:b/>
                      <w:bCs/>
                      <w:color w:val="000000"/>
                      <w:szCs w:val="21"/>
                    </w:rPr>
                    <w:t>标准名称</w:t>
                  </w:r>
                </w:p>
              </w:tc>
              <w:tc>
                <w:tcPr>
                  <w:tcW w:w="1496" w:type="pct"/>
                  <w:tcBorders>
                    <w:top w:val="single" w:color="auto" w:sz="6" w:space="0"/>
                    <w:left w:val="nil"/>
                    <w:bottom w:val="single" w:color="auto" w:sz="6" w:space="0"/>
                    <w:right w:val="single" w:color="auto" w:sz="6" w:space="0"/>
                  </w:tcBorders>
                  <w:vAlign w:val="center"/>
                </w:tcPr>
                <w:p w14:paraId="4CCC7F12">
                  <w:pPr>
                    <w:jc w:val="center"/>
                    <w:rPr>
                      <w:b/>
                      <w:bCs/>
                      <w:color w:val="000000"/>
                      <w:szCs w:val="21"/>
                    </w:rPr>
                  </w:pPr>
                  <w:r>
                    <w:rPr>
                      <w:b/>
                      <w:bCs/>
                      <w:color w:val="000000"/>
                      <w:szCs w:val="21"/>
                    </w:rPr>
                    <w:t>昼间</w:t>
                  </w:r>
                </w:p>
              </w:tc>
              <w:tc>
                <w:tcPr>
                  <w:tcW w:w="1233" w:type="pct"/>
                  <w:tcBorders>
                    <w:top w:val="single" w:color="auto" w:sz="6" w:space="0"/>
                    <w:left w:val="nil"/>
                    <w:bottom w:val="single" w:color="auto" w:sz="6" w:space="0"/>
                    <w:right w:val="single" w:color="auto" w:sz="6" w:space="0"/>
                  </w:tcBorders>
                  <w:vAlign w:val="center"/>
                </w:tcPr>
                <w:p w14:paraId="159A9B96">
                  <w:pPr>
                    <w:jc w:val="center"/>
                    <w:rPr>
                      <w:b/>
                      <w:bCs/>
                      <w:color w:val="000000"/>
                      <w:szCs w:val="21"/>
                    </w:rPr>
                  </w:pPr>
                  <w:r>
                    <w:rPr>
                      <w:b/>
                      <w:bCs/>
                      <w:color w:val="000000"/>
                      <w:szCs w:val="21"/>
                    </w:rPr>
                    <w:t>夜间</w:t>
                  </w:r>
                </w:p>
              </w:tc>
            </w:tr>
            <w:tr w14:paraId="0F849341">
              <w:tblPrEx>
                <w:tblCellMar>
                  <w:top w:w="0" w:type="dxa"/>
                  <w:left w:w="108" w:type="dxa"/>
                  <w:bottom w:w="0" w:type="dxa"/>
                  <w:right w:w="108" w:type="dxa"/>
                </w:tblCellMar>
              </w:tblPrEx>
              <w:trPr>
                <w:trHeight w:val="454" w:hRule="atLeast"/>
                <w:jc w:val="center"/>
              </w:trPr>
              <w:tc>
                <w:tcPr>
                  <w:tcW w:w="2270" w:type="pct"/>
                  <w:tcBorders>
                    <w:top w:val="single" w:color="auto" w:sz="6" w:space="0"/>
                    <w:left w:val="single" w:color="auto" w:sz="6" w:space="0"/>
                    <w:bottom w:val="single" w:color="auto" w:sz="6" w:space="0"/>
                    <w:right w:val="single" w:color="auto" w:sz="6" w:space="0"/>
                  </w:tcBorders>
                  <w:vAlign w:val="center"/>
                </w:tcPr>
                <w:p w14:paraId="2B7B35B5">
                  <w:pPr>
                    <w:jc w:val="center"/>
                    <w:rPr>
                      <w:color w:val="000000"/>
                      <w:szCs w:val="21"/>
                    </w:rPr>
                  </w:pPr>
                  <w:r>
                    <w:rPr>
                      <w:rFonts w:hint="eastAsia"/>
                      <w:szCs w:val="21"/>
                    </w:rPr>
                    <w:t>建筑施工噪声排放标准</w:t>
                  </w:r>
                </w:p>
              </w:tc>
              <w:tc>
                <w:tcPr>
                  <w:tcW w:w="1496" w:type="pct"/>
                  <w:tcBorders>
                    <w:top w:val="single" w:color="auto" w:sz="6" w:space="0"/>
                    <w:left w:val="nil"/>
                    <w:bottom w:val="single" w:color="auto" w:sz="6" w:space="0"/>
                    <w:right w:val="single" w:color="auto" w:sz="6" w:space="0"/>
                  </w:tcBorders>
                  <w:vAlign w:val="center"/>
                </w:tcPr>
                <w:p w14:paraId="628085A2">
                  <w:pPr>
                    <w:jc w:val="center"/>
                    <w:rPr>
                      <w:color w:val="000000"/>
                      <w:szCs w:val="21"/>
                    </w:rPr>
                  </w:pPr>
                  <w:r>
                    <w:rPr>
                      <w:color w:val="000000"/>
                      <w:szCs w:val="21"/>
                    </w:rPr>
                    <w:t>70</w:t>
                  </w:r>
                </w:p>
              </w:tc>
              <w:tc>
                <w:tcPr>
                  <w:tcW w:w="1233" w:type="pct"/>
                  <w:tcBorders>
                    <w:top w:val="single" w:color="auto" w:sz="6" w:space="0"/>
                    <w:left w:val="nil"/>
                    <w:bottom w:val="single" w:color="auto" w:sz="6" w:space="0"/>
                    <w:right w:val="single" w:color="auto" w:sz="6" w:space="0"/>
                  </w:tcBorders>
                  <w:vAlign w:val="center"/>
                </w:tcPr>
                <w:p w14:paraId="3177D182">
                  <w:pPr>
                    <w:jc w:val="center"/>
                    <w:rPr>
                      <w:color w:val="000000"/>
                      <w:szCs w:val="21"/>
                    </w:rPr>
                  </w:pPr>
                  <w:r>
                    <w:rPr>
                      <w:color w:val="000000"/>
                      <w:szCs w:val="21"/>
                    </w:rPr>
                    <w:t>55</w:t>
                  </w:r>
                </w:p>
              </w:tc>
            </w:tr>
          </w:tbl>
          <w:p w14:paraId="07823FE0">
            <w:pPr>
              <w:tabs>
                <w:tab w:val="left" w:pos="402"/>
              </w:tabs>
              <w:jc w:val="center"/>
              <w:outlineLvl w:val="0"/>
              <w:rPr>
                <w:b/>
                <w:bCs/>
                <w:sz w:val="24"/>
              </w:rPr>
            </w:pPr>
            <w:r>
              <w:rPr>
                <w:b/>
                <w:bCs/>
                <w:sz w:val="24"/>
              </w:rPr>
              <w:t>表</w:t>
            </w:r>
            <w:r>
              <w:rPr>
                <w:rFonts w:hint="eastAsia"/>
                <w:b/>
                <w:bCs/>
                <w:sz w:val="24"/>
              </w:rPr>
              <w:t>3</w:t>
            </w:r>
            <w:r>
              <w:rPr>
                <w:b/>
                <w:bCs/>
                <w:sz w:val="24"/>
              </w:rPr>
              <w:t>.</w:t>
            </w:r>
            <w:r>
              <w:rPr>
                <w:rFonts w:hint="eastAsia"/>
                <w:b/>
                <w:bCs/>
                <w:sz w:val="24"/>
                <w:lang w:val="en-US" w:eastAsia="zh-CN"/>
              </w:rPr>
              <w:t>9</w:t>
            </w:r>
            <w:r>
              <w:rPr>
                <w:rFonts w:hint="eastAsia"/>
                <w:b/>
                <w:bCs/>
                <w:sz w:val="24"/>
              </w:rPr>
              <w:t xml:space="preserve"> 运营期</w:t>
            </w:r>
            <w:r>
              <w:rPr>
                <w:b/>
                <w:bCs/>
                <w:sz w:val="24"/>
              </w:rPr>
              <w:t>噪声排放标准限值</w:t>
            </w:r>
            <w:r>
              <w:rPr>
                <w:rFonts w:hint="eastAsia"/>
                <w:b/>
                <w:bCs/>
                <w:sz w:val="24"/>
              </w:rPr>
              <w:t xml:space="preserve"> </w:t>
            </w:r>
            <w:r>
              <w:rPr>
                <w:b/>
                <w:bCs/>
                <w:sz w:val="24"/>
              </w:rPr>
              <w:t>单位：dB（A）</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492"/>
              <w:gridCol w:w="4793"/>
            </w:tblGrid>
            <w:tr w14:paraId="1566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679" w:type="dxa"/>
                  <w:vAlign w:val="center"/>
                </w:tcPr>
                <w:p w14:paraId="4752250A">
                  <w:pPr>
                    <w:jc w:val="center"/>
                    <w:rPr>
                      <w:b/>
                      <w:bCs/>
                      <w:szCs w:val="21"/>
                    </w:rPr>
                  </w:pPr>
                  <w:r>
                    <w:rPr>
                      <w:b/>
                      <w:bCs/>
                      <w:szCs w:val="21"/>
                    </w:rPr>
                    <w:t>类别</w:t>
                  </w:r>
                </w:p>
              </w:tc>
              <w:tc>
                <w:tcPr>
                  <w:tcW w:w="1492" w:type="dxa"/>
                  <w:vAlign w:val="center"/>
                </w:tcPr>
                <w:p w14:paraId="26E5657B">
                  <w:pPr>
                    <w:jc w:val="center"/>
                    <w:rPr>
                      <w:b/>
                      <w:bCs/>
                      <w:szCs w:val="21"/>
                    </w:rPr>
                  </w:pPr>
                  <w:r>
                    <w:rPr>
                      <w:b/>
                      <w:bCs/>
                      <w:szCs w:val="21"/>
                    </w:rPr>
                    <w:t>标准限值</w:t>
                  </w:r>
                </w:p>
              </w:tc>
              <w:tc>
                <w:tcPr>
                  <w:tcW w:w="4793" w:type="dxa"/>
                  <w:vAlign w:val="center"/>
                </w:tcPr>
                <w:p w14:paraId="2B2C988E">
                  <w:pPr>
                    <w:jc w:val="center"/>
                    <w:rPr>
                      <w:b/>
                      <w:bCs/>
                      <w:szCs w:val="21"/>
                    </w:rPr>
                  </w:pPr>
                  <w:r>
                    <w:rPr>
                      <w:b/>
                      <w:bCs/>
                      <w:szCs w:val="21"/>
                    </w:rPr>
                    <w:t>执行标准</w:t>
                  </w:r>
                </w:p>
              </w:tc>
            </w:tr>
            <w:tr w14:paraId="2ABA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79" w:type="dxa"/>
                  <w:vAlign w:val="center"/>
                </w:tcPr>
                <w:p w14:paraId="464525FE">
                  <w:pPr>
                    <w:jc w:val="center"/>
                    <w:rPr>
                      <w:szCs w:val="21"/>
                    </w:rPr>
                  </w:pPr>
                  <w:r>
                    <w:rPr>
                      <w:szCs w:val="21"/>
                    </w:rPr>
                    <w:t>昼间</w:t>
                  </w:r>
                </w:p>
              </w:tc>
              <w:tc>
                <w:tcPr>
                  <w:tcW w:w="1492" w:type="dxa"/>
                  <w:vAlign w:val="center"/>
                </w:tcPr>
                <w:p w14:paraId="474D39DF">
                  <w:pPr>
                    <w:jc w:val="center"/>
                    <w:rPr>
                      <w:szCs w:val="21"/>
                    </w:rPr>
                  </w:pPr>
                  <w:r>
                    <w:rPr>
                      <w:rFonts w:hint="eastAsia"/>
                      <w:szCs w:val="21"/>
                    </w:rPr>
                    <w:t>60</w:t>
                  </w:r>
                </w:p>
              </w:tc>
              <w:tc>
                <w:tcPr>
                  <w:tcW w:w="4793" w:type="dxa"/>
                  <w:vAlign w:val="center"/>
                </w:tcPr>
                <w:p w14:paraId="1828D699">
                  <w:pPr>
                    <w:jc w:val="center"/>
                    <w:rPr>
                      <w:szCs w:val="21"/>
                    </w:rPr>
                  </w:pPr>
                  <w:r>
                    <w:rPr>
                      <w:szCs w:val="21"/>
                    </w:rPr>
                    <w:t>《工业企业厂界环境噪声排放标准》（GB12348-2008）中</w:t>
                  </w:r>
                  <w:r>
                    <w:rPr>
                      <w:rFonts w:hint="eastAsia"/>
                      <w:szCs w:val="21"/>
                    </w:rPr>
                    <w:t>2</w:t>
                  </w:r>
                  <w:r>
                    <w:rPr>
                      <w:szCs w:val="21"/>
                    </w:rPr>
                    <w:t>类标准</w:t>
                  </w:r>
                </w:p>
              </w:tc>
            </w:tr>
          </w:tbl>
          <w:p w14:paraId="04953EA7">
            <w:pPr>
              <w:adjustRightInd w:val="0"/>
              <w:snapToGrid w:val="0"/>
              <w:spacing w:before="120" w:beforeLines="50" w:line="360" w:lineRule="auto"/>
              <w:rPr>
                <w:b/>
                <w:bCs/>
                <w:szCs w:val="32"/>
              </w:rPr>
            </w:pPr>
            <w:r>
              <w:rPr>
                <w:b/>
                <w:bCs/>
                <w:szCs w:val="32"/>
              </w:rPr>
              <w:t>4、固废排放标准</w:t>
            </w:r>
          </w:p>
          <w:p w14:paraId="72046957">
            <w:pPr>
              <w:pStyle w:val="25"/>
              <w:adjustRightInd w:val="0"/>
              <w:snapToGrid w:val="0"/>
              <w:spacing w:before="0" w:beforeAutospacing="0" w:after="0" w:afterAutospacing="0" w:line="360" w:lineRule="auto"/>
              <w:ind w:firstLine="480" w:firstLineChars="200"/>
              <w:jc w:val="both"/>
              <w:outlineLvl w:val="0"/>
              <w:rPr>
                <w:rFonts w:ascii="Times New Roman" w:hAnsi="Times New Roman"/>
                <w:szCs w:val="24"/>
              </w:rPr>
            </w:pPr>
            <w:r>
              <w:rPr>
                <w:rFonts w:hint="eastAsia" w:ascii="Times New Roman" w:hAnsi="Times New Roman"/>
                <w:szCs w:val="24"/>
              </w:rPr>
              <w:t>一般固废执行《一般工业固体废物贮存和填埋污染控制标准》（GB18599-2020）。</w:t>
            </w:r>
            <w:r>
              <w:rPr>
                <w:rFonts w:ascii="Times New Roman" w:hAnsi="Times New Roman"/>
                <w:szCs w:val="24"/>
              </w:rPr>
              <w:t>危险废物按《危险废物贮存污染控制标准》（GB18597-20</w:t>
            </w:r>
            <w:r>
              <w:rPr>
                <w:rFonts w:hint="eastAsia" w:ascii="Times New Roman" w:hAnsi="Times New Roman"/>
                <w:szCs w:val="24"/>
              </w:rPr>
              <w:t>23</w:t>
            </w:r>
            <w:r>
              <w:rPr>
                <w:rFonts w:ascii="Times New Roman" w:hAnsi="Times New Roman"/>
                <w:szCs w:val="24"/>
              </w:rPr>
              <w:t>）要求执行。</w:t>
            </w:r>
          </w:p>
          <w:p w14:paraId="14708D4D">
            <w:pPr>
              <w:pStyle w:val="25"/>
              <w:adjustRightInd w:val="0"/>
              <w:snapToGrid w:val="0"/>
              <w:spacing w:before="0" w:beforeAutospacing="0" w:after="0" w:afterAutospacing="0" w:line="360" w:lineRule="auto"/>
              <w:jc w:val="both"/>
              <w:outlineLvl w:val="0"/>
              <w:rPr>
                <w:rFonts w:ascii="Times New Roman" w:hAnsi="Times New Roman"/>
                <w:szCs w:val="24"/>
              </w:rPr>
            </w:pPr>
          </w:p>
        </w:tc>
      </w:tr>
      <w:tr w14:paraId="39D10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800" w:type="dxa"/>
            <w:vAlign w:val="center"/>
          </w:tcPr>
          <w:p w14:paraId="0CBFBD9D">
            <w:pPr>
              <w:adjustRightInd w:val="0"/>
              <w:snapToGrid w:val="0"/>
              <w:jc w:val="center"/>
              <w:rPr>
                <w:kern w:val="0"/>
              </w:rPr>
            </w:pPr>
            <w:r>
              <w:rPr>
                <w:kern w:val="0"/>
              </w:rPr>
              <w:t>总量</w:t>
            </w:r>
          </w:p>
          <w:p w14:paraId="4C64DC90">
            <w:pPr>
              <w:adjustRightInd w:val="0"/>
              <w:snapToGrid w:val="0"/>
              <w:jc w:val="center"/>
              <w:rPr>
                <w:kern w:val="0"/>
              </w:rPr>
            </w:pPr>
            <w:r>
              <w:rPr>
                <w:kern w:val="0"/>
              </w:rPr>
              <w:t>控制</w:t>
            </w:r>
          </w:p>
          <w:p w14:paraId="0F98B0D5">
            <w:pPr>
              <w:pStyle w:val="25"/>
              <w:adjustRightInd w:val="0"/>
              <w:snapToGrid w:val="0"/>
              <w:spacing w:before="0" w:beforeAutospacing="0" w:after="0" w:afterAutospacing="0" w:line="360" w:lineRule="auto"/>
              <w:jc w:val="center"/>
              <w:outlineLvl w:val="0"/>
              <w:rPr>
                <w:rFonts w:ascii="Times New Roman" w:hAnsi="Times New Roman"/>
                <w:snapToGrid w:val="0"/>
                <w:szCs w:val="24"/>
              </w:rPr>
            </w:pPr>
            <w:r>
              <w:rPr>
                <w:rFonts w:ascii="Times New Roman" w:hAnsi="Times New Roman"/>
                <w:szCs w:val="24"/>
              </w:rPr>
              <w:t>指标</w:t>
            </w:r>
          </w:p>
        </w:tc>
        <w:tc>
          <w:tcPr>
            <w:tcW w:w="8190" w:type="dxa"/>
          </w:tcPr>
          <w:p w14:paraId="1F84D909">
            <w:pPr>
              <w:adjustRightInd w:val="0"/>
              <w:snapToGrid w:val="0"/>
              <w:spacing w:before="120" w:beforeLines="50" w:line="360" w:lineRule="auto"/>
              <w:ind w:firstLine="480" w:firstLineChars="200"/>
              <w:jc w:val="left"/>
            </w:pPr>
          </w:p>
          <w:p w14:paraId="688C44E6">
            <w:pPr>
              <w:adjustRightInd w:val="0"/>
              <w:snapToGrid w:val="0"/>
              <w:spacing w:before="120" w:beforeLines="50" w:line="360" w:lineRule="auto"/>
              <w:ind w:firstLine="480" w:firstLineChars="200"/>
              <w:jc w:val="left"/>
              <w:rPr>
                <w:color w:val="0000FF"/>
              </w:rPr>
            </w:pPr>
          </w:p>
          <w:p w14:paraId="14365BCA">
            <w:pPr>
              <w:pStyle w:val="25"/>
              <w:tabs>
                <w:tab w:val="left" w:pos="805"/>
              </w:tabs>
              <w:adjustRightInd w:val="0"/>
              <w:snapToGrid w:val="0"/>
              <w:spacing w:before="0" w:beforeAutospacing="0" w:after="0" w:afterAutospacing="0" w:line="360" w:lineRule="auto"/>
              <w:ind w:firstLine="480" w:firstLineChars="200"/>
              <w:jc w:val="both"/>
              <w:outlineLvl w:val="0"/>
              <w:rPr>
                <w:rFonts w:hint="eastAsia" w:ascii="Times New Roman" w:hAnsi="Times New Roman" w:eastAsia="宋体"/>
                <w:color w:val="auto"/>
                <w:lang w:eastAsia="zh-CN"/>
              </w:rPr>
            </w:pPr>
            <w:r>
              <w:rPr>
                <w:rFonts w:hint="eastAsia"/>
                <w:color w:val="auto"/>
                <w:lang w:val="en-US" w:eastAsia="zh-CN"/>
              </w:rPr>
              <w:t>/</w:t>
            </w:r>
          </w:p>
          <w:p w14:paraId="277D5C7B">
            <w:pPr>
              <w:pStyle w:val="25"/>
              <w:tabs>
                <w:tab w:val="left" w:pos="805"/>
              </w:tabs>
              <w:adjustRightInd w:val="0"/>
              <w:snapToGrid w:val="0"/>
              <w:spacing w:before="0" w:beforeAutospacing="0" w:after="0" w:afterAutospacing="0" w:line="360" w:lineRule="auto"/>
              <w:ind w:firstLine="480" w:firstLineChars="200"/>
              <w:jc w:val="both"/>
              <w:outlineLvl w:val="0"/>
              <w:rPr>
                <w:rFonts w:ascii="Times New Roman" w:hAnsi="Times New Roman"/>
              </w:rPr>
            </w:pPr>
          </w:p>
          <w:p w14:paraId="462F4325">
            <w:pPr>
              <w:pStyle w:val="25"/>
              <w:tabs>
                <w:tab w:val="left" w:pos="805"/>
              </w:tabs>
              <w:adjustRightInd w:val="0"/>
              <w:snapToGrid w:val="0"/>
              <w:spacing w:before="0" w:beforeAutospacing="0" w:after="0" w:afterAutospacing="0" w:line="360" w:lineRule="auto"/>
              <w:ind w:firstLine="480" w:firstLineChars="200"/>
              <w:jc w:val="both"/>
              <w:outlineLvl w:val="0"/>
              <w:rPr>
                <w:rFonts w:ascii="Times New Roman" w:hAnsi="Times New Roman"/>
                <w:szCs w:val="24"/>
              </w:rPr>
            </w:pPr>
          </w:p>
        </w:tc>
      </w:tr>
    </w:tbl>
    <w:p w14:paraId="3214A644">
      <w:pPr>
        <w:pStyle w:val="25"/>
        <w:jc w:val="both"/>
        <w:outlineLvl w:val="0"/>
        <w:rPr>
          <w:rFonts w:ascii="黑体" w:hAnsi="黑体" w:eastAsia="黑体"/>
          <w:snapToGrid w:val="0"/>
          <w:sz w:val="36"/>
          <w:szCs w:val="36"/>
        </w:rPr>
        <w:sectPr>
          <w:pgSz w:w="11907" w:h="16840"/>
          <w:pgMar w:top="1701" w:right="1531" w:bottom="2127" w:left="1531" w:header="851" w:footer="851" w:gutter="0"/>
          <w:cols w:space="720" w:num="1"/>
          <w:docGrid w:linePitch="312" w:charSpace="0"/>
        </w:sectPr>
      </w:pPr>
    </w:p>
    <w:p w14:paraId="79D7BC55">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四、主要环境影响和保护措施</w:t>
      </w:r>
    </w:p>
    <w:tbl>
      <w:tblPr>
        <w:tblStyle w:val="28"/>
        <w:tblW w:w="90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8210"/>
      </w:tblGrid>
      <w:tr w14:paraId="067383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834" w:type="dxa"/>
            <w:tcMar>
              <w:left w:w="28" w:type="dxa"/>
              <w:right w:w="28" w:type="dxa"/>
            </w:tcMar>
            <w:vAlign w:val="center"/>
          </w:tcPr>
          <w:p w14:paraId="33BEF3BD">
            <w:pPr>
              <w:pStyle w:val="25"/>
              <w:adjustRightInd w:val="0"/>
              <w:snapToGrid w:val="0"/>
              <w:spacing w:before="0" w:beforeAutospacing="0" w:after="0" w:afterAutospacing="0"/>
              <w:jc w:val="center"/>
              <w:rPr>
                <w:rFonts w:cs="宋体"/>
                <w:kern w:val="2"/>
                <w:szCs w:val="24"/>
              </w:rPr>
            </w:pPr>
            <w:r>
              <w:rPr>
                <w:rFonts w:hint="eastAsia" w:cs="宋体"/>
                <w:kern w:val="2"/>
                <w:szCs w:val="24"/>
              </w:rPr>
              <w:t>施工</w:t>
            </w:r>
          </w:p>
          <w:p w14:paraId="3C0A0368">
            <w:pPr>
              <w:pStyle w:val="25"/>
              <w:adjustRightInd w:val="0"/>
              <w:snapToGrid w:val="0"/>
              <w:spacing w:before="0" w:beforeAutospacing="0" w:after="0" w:afterAutospacing="0"/>
              <w:jc w:val="center"/>
              <w:rPr>
                <w:rFonts w:cs="宋体"/>
                <w:kern w:val="2"/>
                <w:szCs w:val="24"/>
              </w:rPr>
            </w:pPr>
            <w:r>
              <w:rPr>
                <w:rFonts w:hint="eastAsia" w:cs="宋体"/>
                <w:kern w:val="2"/>
                <w:szCs w:val="24"/>
              </w:rPr>
              <w:t>期环</w:t>
            </w:r>
          </w:p>
          <w:p w14:paraId="5D0DD0C7">
            <w:pPr>
              <w:pStyle w:val="25"/>
              <w:adjustRightInd w:val="0"/>
              <w:snapToGrid w:val="0"/>
              <w:spacing w:before="0" w:beforeAutospacing="0" w:after="0" w:afterAutospacing="0"/>
              <w:jc w:val="center"/>
              <w:rPr>
                <w:rFonts w:cs="宋体"/>
                <w:kern w:val="2"/>
                <w:szCs w:val="24"/>
              </w:rPr>
            </w:pPr>
            <w:r>
              <w:rPr>
                <w:rFonts w:hint="eastAsia" w:cs="宋体"/>
                <w:kern w:val="2"/>
                <w:szCs w:val="24"/>
              </w:rPr>
              <w:t>境保</w:t>
            </w:r>
          </w:p>
          <w:p w14:paraId="14BAFB8A">
            <w:pPr>
              <w:pStyle w:val="25"/>
              <w:adjustRightInd w:val="0"/>
              <w:snapToGrid w:val="0"/>
              <w:spacing w:before="0" w:beforeAutospacing="0" w:after="0" w:afterAutospacing="0"/>
              <w:jc w:val="center"/>
              <w:rPr>
                <w:rFonts w:cs="宋体"/>
                <w:kern w:val="2"/>
                <w:szCs w:val="24"/>
              </w:rPr>
            </w:pPr>
            <w:r>
              <w:rPr>
                <w:rFonts w:hint="eastAsia" w:cs="宋体"/>
                <w:kern w:val="2"/>
                <w:szCs w:val="24"/>
              </w:rPr>
              <w:t>护措</w:t>
            </w:r>
          </w:p>
          <w:p w14:paraId="7A81BC37">
            <w:pPr>
              <w:pStyle w:val="25"/>
              <w:adjustRightInd w:val="0"/>
              <w:snapToGrid w:val="0"/>
              <w:spacing w:before="0" w:beforeAutospacing="0" w:after="0" w:afterAutospacing="0"/>
              <w:jc w:val="center"/>
              <w:rPr>
                <w:rFonts w:cs="宋体"/>
                <w:bCs/>
                <w:kern w:val="2"/>
                <w:sz w:val="21"/>
                <w:szCs w:val="21"/>
              </w:rPr>
            </w:pPr>
            <w:r>
              <w:rPr>
                <w:rFonts w:hint="eastAsia" w:cs="宋体"/>
                <w:kern w:val="2"/>
                <w:szCs w:val="24"/>
              </w:rPr>
              <w:t>施</w:t>
            </w:r>
          </w:p>
        </w:tc>
        <w:tc>
          <w:tcPr>
            <w:tcW w:w="8210" w:type="dxa"/>
            <w:vAlign w:val="center"/>
          </w:tcPr>
          <w:p w14:paraId="33C90A4D">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b/>
              </w:rPr>
            </w:pPr>
            <w:r>
              <w:rPr>
                <w:b/>
                <w:lang w:bidi="ar"/>
              </w:rPr>
              <w:t>主要污染工序</w:t>
            </w:r>
          </w:p>
          <w:p w14:paraId="75183382">
            <w:pPr>
              <w:spacing w:line="360" w:lineRule="auto"/>
              <w:ind w:firstLine="482" w:firstLineChars="200"/>
              <w:rPr>
                <w:b/>
              </w:rPr>
            </w:pPr>
            <w:r>
              <w:rPr>
                <w:b/>
                <w:lang w:bidi="ar"/>
              </w:rPr>
              <w:t>一、大气环境保护措施</w:t>
            </w:r>
          </w:p>
          <w:p w14:paraId="444459F9">
            <w:pPr>
              <w:pStyle w:val="12"/>
              <w:spacing w:before="0" w:after="0" w:line="360" w:lineRule="auto"/>
              <w:ind w:firstLine="480" w:firstLineChars="200"/>
              <w:rPr>
                <w:kern w:val="2"/>
                <w:sz w:val="24"/>
                <w:szCs w:val="24"/>
                <w:lang w:bidi="ar"/>
              </w:rPr>
            </w:pPr>
            <w:r>
              <w:rPr>
                <w:rFonts w:hint="eastAsia"/>
                <w:sz w:val="24"/>
                <w:szCs w:val="24"/>
              </w:rPr>
              <w:t>本</w:t>
            </w:r>
            <w:r>
              <w:rPr>
                <w:sz w:val="24"/>
                <w:szCs w:val="24"/>
              </w:rPr>
              <w:t>项目</w:t>
            </w:r>
            <w:r>
              <w:rPr>
                <w:rFonts w:hint="eastAsia"/>
                <w:sz w:val="24"/>
                <w:szCs w:val="24"/>
              </w:rPr>
              <w:t>主体工程已建设完成</w:t>
            </w:r>
            <w:r>
              <w:rPr>
                <w:sz w:val="24"/>
                <w:szCs w:val="24"/>
              </w:rPr>
              <w:t>，</w:t>
            </w:r>
            <w:r>
              <w:rPr>
                <w:rFonts w:ascii="宋体" w:hAnsi="宋体" w:cs="宋体"/>
                <w:sz w:val="24"/>
                <w:szCs w:val="24"/>
              </w:rPr>
              <w:t>仅进行机械设备</w:t>
            </w:r>
            <w:r>
              <w:rPr>
                <w:sz w:val="24"/>
                <w:szCs w:val="24"/>
              </w:rPr>
              <w:t>的安装</w:t>
            </w:r>
            <w:r>
              <w:rPr>
                <w:rFonts w:hint="eastAsia"/>
                <w:sz w:val="24"/>
                <w:szCs w:val="24"/>
              </w:rPr>
              <w:t>，无涉及厂房改造，</w:t>
            </w:r>
            <w:r>
              <w:rPr>
                <w:sz w:val="24"/>
                <w:szCs w:val="24"/>
              </w:rPr>
              <w:t>不需大型施工机器施工，</w:t>
            </w:r>
            <w:r>
              <w:rPr>
                <w:rFonts w:ascii="宋体" w:hAnsi="宋体" w:cs="宋体"/>
                <w:sz w:val="24"/>
                <w:szCs w:val="24"/>
              </w:rPr>
              <w:t>人员走动和设备安装产生的少量扬尘采取定期洒水</w:t>
            </w:r>
            <w:r>
              <w:rPr>
                <w:bCs/>
                <w:sz w:val="24"/>
                <w:szCs w:val="24"/>
                <w:lang w:bidi="ar"/>
              </w:rPr>
              <w:t>措施</w:t>
            </w:r>
            <w:r>
              <w:rPr>
                <w:rFonts w:ascii="宋体" w:hAnsi="宋体" w:cs="宋体"/>
                <w:sz w:val="24"/>
                <w:szCs w:val="24"/>
              </w:rPr>
              <w:t>，减少施工扬尘对周边环境影响</w:t>
            </w:r>
            <w:r>
              <w:rPr>
                <w:sz w:val="24"/>
                <w:szCs w:val="24"/>
              </w:rPr>
              <w:t>。</w:t>
            </w:r>
          </w:p>
          <w:p w14:paraId="39E13052">
            <w:pPr>
              <w:spacing w:line="360" w:lineRule="auto"/>
              <w:ind w:firstLine="482" w:firstLineChars="200"/>
              <w:rPr>
                <w:b/>
                <w:bCs/>
                <w:lang w:bidi="ar"/>
              </w:rPr>
            </w:pPr>
            <w:r>
              <w:rPr>
                <w:b/>
                <w:bCs/>
              </w:rPr>
              <w:t>二、水环境保护措施</w:t>
            </w:r>
          </w:p>
          <w:p w14:paraId="081E5C68">
            <w:pPr>
              <w:pStyle w:val="12"/>
              <w:spacing w:before="0" w:after="0" w:line="360" w:lineRule="auto"/>
              <w:ind w:right="0" w:firstLine="480" w:firstLineChars="200"/>
              <w:rPr>
                <w:sz w:val="24"/>
                <w:szCs w:val="24"/>
              </w:rPr>
            </w:pPr>
            <w:r>
              <w:rPr>
                <w:sz w:val="24"/>
                <w:szCs w:val="24"/>
              </w:rPr>
              <w:t>本项目施工人员产生的生活废水经化粪池处理</w:t>
            </w:r>
            <w:r>
              <w:rPr>
                <w:sz w:val="24"/>
                <w:szCs w:val="24"/>
                <w:lang w:bidi="ar"/>
              </w:rPr>
              <w:t>水质简单</w:t>
            </w:r>
            <w:r>
              <w:rPr>
                <w:sz w:val="24"/>
                <w:szCs w:val="24"/>
              </w:rPr>
              <w:t>，通过废水总排放口混合排入</w:t>
            </w:r>
            <w:r>
              <w:rPr>
                <w:rFonts w:hint="eastAsia"/>
                <w:sz w:val="24"/>
                <w:szCs w:val="24"/>
              </w:rPr>
              <w:t>汴北污水处理厂</w:t>
            </w:r>
            <w:r>
              <w:rPr>
                <w:sz w:val="24"/>
                <w:szCs w:val="24"/>
              </w:rPr>
              <w:t>进一步处理，最终排放至</w:t>
            </w:r>
            <w:r>
              <w:rPr>
                <w:rFonts w:hint="eastAsia"/>
                <w:sz w:val="24"/>
                <w:szCs w:val="24"/>
              </w:rPr>
              <w:t>运粮河</w:t>
            </w:r>
            <w:r>
              <w:rPr>
                <w:sz w:val="24"/>
                <w:szCs w:val="24"/>
              </w:rPr>
              <w:t>。通过采取上述废水治理措施后，项目施工期产生的废水可以得到妥善处理，不会对项目所在区域地表水环境产生影响。</w:t>
            </w:r>
          </w:p>
          <w:p w14:paraId="03FD1B28">
            <w:pPr>
              <w:pStyle w:val="12"/>
              <w:spacing w:line="240" w:lineRule="auto"/>
              <w:ind w:firstLine="482" w:firstLineChars="200"/>
              <w:rPr>
                <w:b/>
                <w:bCs/>
                <w:sz w:val="24"/>
                <w:szCs w:val="24"/>
                <w:lang w:bidi="ar"/>
              </w:rPr>
            </w:pPr>
            <w:r>
              <w:rPr>
                <w:b/>
                <w:bCs/>
                <w:sz w:val="24"/>
                <w:szCs w:val="24"/>
              </w:rPr>
              <w:t>三、声环境保护措施</w:t>
            </w:r>
          </w:p>
          <w:p w14:paraId="0DA5CED6">
            <w:pPr>
              <w:pStyle w:val="12"/>
              <w:spacing w:after="60" w:line="360" w:lineRule="auto"/>
              <w:ind w:left="547" w:leftChars="228"/>
              <w:rPr>
                <w:sz w:val="24"/>
                <w:szCs w:val="24"/>
                <w:lang w:bidi="ar"/>
              </w:rPr>
            </w:pPr>
            <w:r>
              <w:rPr>
                <w:sz w:val="24"/>
                <w:szCs w:val="24"/>
              </w:rPr>
              <w:t>本项目施工方应在施工期采取有效的噪声控制措施：</w:t>
            </w:r>
          </w:p>
          <w:p w14:paraId="1EFDE8BB">
            <w:pPr>
              <w:pStyle w:val="12"/>
              <w:spacing w:before="0" w:after="0" w:line="360" w:lineRule="auto"/>
              <w:ind w:right="0" w:firstLine="480" w:firstLineChars="200"/>
              <w:rPr>
                <w:sz w:val="24"/>
                <w:szCs w:val="24"/>
                <w:lang w:bidi="ar"/>
              </w:rPr>
            </w:pPr>
            <w:r>
              <w:rPr>
                <w:sz w:val="24"/>
                <w:szCs w:val="24"/>
              </w:rPr>
              <w:t>①合理安排施工时间，高噪声设备禁止在夜间</w:t>
            </w:r>
            <w:r>
              <w:rPr>
                <w:rFonts w:hint="eastAsia"/>
                <w:sz w:val="24"/>
                <w:szCs w:val="24"/>
              </w:rPr>
              <w:t>（</w:t>
            </w:r>
            <w:r>
              <w:rPr>
                <w:sz w:val="24"/>
                <w:szCs w:val="24"/>
              </w:rPr>
              <w:t>22:00-6:00</w:t>
            </w:r>
            <w:r>
              <w:rPr>
                <w:rFonts w:hint="eastAsia"/>
                <w:sz w:val="24"/>
                <w:szCs w:val="24"/>
              </w:rPr>
              <w:t>）</w:t>
            </w:r>
            <w:r>
              <w:rPr>
                <w:sz w:val="24"/>
                <w:szCs w:val="24"/>
              </w:rPr>
              <w:t>进行施工，尤其是要严格控制施工机械噪声值在大于85dB</w:t>
            </w:r>
            <w:r>
              <w:rPr>
                <w:rFonts w:hint="eastAsia"/>
                <w:sz w:val="24"/>
                <w:szCs w:val="24"/>
              </w:rPr>
              <w:t>（</w:t>
            </w:r>
            <w:r>
              <w:rPr>
                <w:sz w:val="24"/>
                <w:szCs w:val="24"/>
              </w:rPr>
              <w:t>A</w:t>
            </w:r>
            <w:r>
              <w:rPr>
                <w:rFonts w:hint="eastAsia"/>
                <w:sz w:val="24"/>
                <w:szCs w:val="24"/>
              </w:rPr>
              <w:t>）</w:t>
            </w:r>
            <w:r>
              <w:rPr>
                <w:sz w:val="24"/>
                <w:szCs w:val="24"/>
              </w:rPr>
              <w:t>的作业。</w:t>
            </w:r>
          </w:p>
          <w:p w14:paraId="2C6BF744">
            <w:pPr>
              <w:spacing w:line="360" w:lineRule="auto"/>
              <w:ind w:firstLine="480" w:firstLineChars="200"/>
              <w:rPr>
                <w:lang w:bidi="ar"/>
              </w:rPr>
            </w:pPr>
            <w:r>
              <w:t>②加强管理，尽量减少人为噪声（如设备、原材料的装卸、搬运等）。</w:t>
            </w:r>
            <w:r>
              <w:br w:type="textWrapping"/>
            </w:r>
            <w:r>
              <w:t>由于本项目施工工期较短，负面影响只是暂时性的，在采取隔声降噪措施和严格管理下，场界噪声能达到国家</w:t>
            </w:r>
            <w:r>
              <w:rPr>
                <w:color w:val="auto"/>
                <w:highlight w:val="none"/>
              </w:rPr>
              <w:t>《</w:t>
            </w:r>
            <w:r>
              <w:rPr>
                <w:rFonts w:hint="eastAsia"/>
                <w:color w:val="auto"/>
                <w:highlight w:val="none"/>
              </w:rPr>
              <w:t>建筑施工</w:t>
            </w:r>
            <w:r>
              <w:rPr>
                <w:color w:val="auto"/>
                <w:highlight w:val="none"/>
              </w:rPr>
              <w:t>噪声排放标准》（GB12</w:t>
            </w:r>
            <w:r>
              <w:rPr>
                <w:rFonts w:hint="eastAsia"/>
                <w:color w:val="auto"/>
                <w:highlight w:val="none"/>
              </w:rPr>
              <w:t>523</w:t>
            </w:r>
            <w:r>
              <w:rPr>
                <w:color w:val="auto"/>
                <w:highlight w:val="none"/>
              </w:rPr>
              <w:t>-20</w:t>
            </w:r>
            <w:r>
              <w:rPr>
                <w:rFonts w:hint="eastAsia"/>
                <w:color w:val="auto"/>
                <w:highlight w:val="none"/>
                <w:lang w:val="en-US" w:eastAsia="zh-CN"/>
              </w:rPr>
              <w:t>25</w:t>
            </w:r>
            <w:r>
              <w:rPr>
                <w:color w:val="auto"/>
                <w:highlight w:val="none"/>
              </w:rPr>
              <w:t>）</w:t>
            </w:r>
            <w:r>
              <w:t>的规定，因此在采取以上措施后，施工噪声对周围环境产生的影响较小。</w:t>
            </w:r>
          </w:p>
          <w:p w14:paraId="6365057B">
            <w:pPr>
              <w:pStyle w:val="12"/>
              <w:ind w:firstLine="482" w:firstLineChars="200"/>
              <w:rPr>
                <w:b/>
                <w:bCs/>
                <w:sz w:val="24"/>
                <w:szCs w:val="24"/>
                <w:lang w:bidi="ar"/>
              </w:rPr>
            </w:pPr>
            <w:r>
              <w:rPr>
                <w:b/>
                <w:bCs/>
                <w:sz w:val="24"/>
                <w:szCs w:val="24"/>
              </w:rPr>
              <w:t>四、固体废弃物保护措施</w:t>
            </w:r>
          </w:p>
          <w:p w14:paraId="0C5323BF">
            <w:pPr>
              <w:spacing w:line="360" w:lineRule="auto"/>
              <w:ind w:firstLine="480" w:firstLineChars="200"/>
            </w:pPr>
            <w:r>
              <w:t>项目施工人员产生的生活垃圾</w:t>
            </w:r>
            <w:r>
              <w:rPr>
                <w:rFonts w:hint="eastAsia" w:ascii="宋体" w:hAnsi="宋体" w:cs="宋体"/>
              </w:rPr>
              <w:t>及装修废物</w:t>
            </w:r>
            <w:r>
              <w:t>应全部及时交由环卫部门进行处置。施工期产生的环境影响相对营运期而言属于短期和暂时影响，环境影响随着施工期的结束而消失。</w:t>
            </w:r>
          </w:p>
          <w:p w14:paraId="7421430C">
            <w:pPr>
              <w:spacing w:line="360" w:lineRule="auto"/>
              <w:ind w:firstLine="480" w:firstLineChars="200"/>
              <w:rPr>
                <w:szCs w:val="32"/>
                <w:lang w:bidi="ar"/>
              </w:rPr>
            </w:pPr>
          </w:p>
        </w:tc>
      </w:tr>
      <w:tr w14:paraId="501B6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70" w:hRule="atLeast"/>
          <w:jc w:val="center"/>
        </w:trPr>
        <w:tc>
          <w:tcPr>
            <w:tcW w:w="834" w:type="dxa"/>
            <w:tcMar>
              <w:left w:w="28" w:type="dxa"/>
              <w:right w:w="28" w:type="dxa"/>
            </w:tcMar>
            <w:vAlign w:val="center"/>
          </w:tcPr>
          <w:p w14:paraId="766C94DD">
            <w:pPr>
              <w:adjustRightInd w:val="0"/>
              <w:snapToGrid w:val="0"/>
              <w:jc w:val="center"/>
              <w:rPr>
                <w:bCs/>
              </w:rPr>
            </w:pPr>
            <w:r>
              <w:rPr>
                <w:bCs/>
              </w:rPr>
              <w:t>运营期环境影响和保护措施</w:t>
            </w:r>
          </w:p>
        </w:tc>
        <w:tc>
          <w:tcPr>
            <w:tcW w:w="8210" w:type="dxa"/>
          </w:tcPr>
          <w:p w14:paraId="24450F4A">
            <w:pPr>
              <w:adjustRightInd w:val="0"/>
              <w:snapToGrid w:val="0"/>
              <w:spacing w:before="120" w:beforeLines="50" w:line="360" w:lineRule="auto"/>
              <w:jc w:val="left"/>
              <w:rPr>
                <w:b/>
                <w:bCs/>
              </w:rPr>
            </w:pPr>
            <w:r>
              <w:rPr>
                <w:rFonts w:hint="eastAsia"/>
                <w:b/>
                <w:bCs/>
              </w:rPr>
              <w:t>一、大气污染</w:t>
            </w:r>
          </w:p>
          <w:p w14:paraId="0E7F487C">
            <w:pPr>
              <w:adjustRightInd w:val="0"/>
              <w:snapToGrid w:val="0"/>
              <w:spacing w:line="360" w:lineRule="auto"/>
              <w:ind w:firstLine="480" w:firstLineChars="200"/>
              <w:jc w:val="left"/>
            </w:pPr>
            <w:r>
              <w:t>（1）</w:t>
            </w:r>
            <w:r>
              <w:rPr>
                <w:rFonts w:hint="eastAsia"/>
              </w:rPr>
              <w:t>污染源强核算</w:t>
            </w:r>
          </w:p>
          <w:p w14:paraId="53D48584">
            <w:pPr>
              <w:adjustRightInd w:val="0"/>
              <w:snapToGrid w:val="0"/>
              <w:spacing w:line="360" w:lineRule="auto"/>
              <w:ind w:firstLine="482" w:firstLineChars="200"/>
              <w:rPr>
                <w:b/>
                <w:bCs/>
              </w:rPr>
            </w:pPr>
            <w:r>
              <w:rPr>
                <w:rFonts w:hint="eastAsia"/>
                <w:b/>
                <w:bCs/>
              </w:rPr>
              <w:t>①</w:t>
            </w:r>
            <w:r>
              <w:rPr>
                <w:rFonts w:hint="eastAsia"/>
                <w:b/>
                <w:bCs/>
                <w:lang w:val="en-US" w:eastAsia="zh-CN"/>
              </w:rPr>
              <w:t>脱包、过筛</w:t>
            </w:r>
            <w:r>
              <w:rPr>
                <w:b/>
              </w:rPr>
              <w:t>废气</w:t>
            </w:r>
          </w:p>
          <w:p w14:paraId="610431BB">
            <w:pPr>
              <w:adjustRightInd w:val="0"/>
              <w:snapToGrid w:val="0"/>
              <w:spacing w:line="360" w:lineRule="auto"/>
              <w:ind w:firstLine="480" w:firstLineChars="200"/>
              <w:textAlignment w:val="baseline"/>
              <w:rPr>
                <w:rFonts w:hint="eastAsia"/>
                <w:color w:val="000000"/>
                <w:sz w:val="24"/>
                <w:szCs w:val="24"/>
                <w:lang w:val="en-US" w:eastAsia="zh-CN"/>
              </w:rPr>
            </w:pPr>
            <w:r>
              <w:rPr>
                <w:rFonts w:hint="eastAsia"/>
                <w:bCs/>
                <w:color w:val="000000"/>
                <w:lang w:val="en-US" w:eastAsia="zh-CN"/>
              </w:rPr>
              <w:t>本</w:t>
            </w:r>
            <w:r>
              <w:rPr>
                <w:rFonts w:hint="eastAsia"/>
                <w:bCs/>
                <w:color w:val="000000"/>
              </w:rPr>
              <w:t>项目</w:t>
            </w:r>
            <w:r>
              <w:rPr>
                <w:rFonts w:hint="eastAsia"/>
                <w:bCs/>
                <w:color w:val="000000"/>
                <w:lang w:val="en-US" w:eastAsia="zh-CN"/>
              </w:rPr>
              <w:t>原料在生产过程中需进行脱包以及过筛工序，</w:t>
            </w:r>
            <w:r>
              <w:rPr>
                <w:rFonts w:hint="eastAsia"/>
                <w:kern w:val="24"/>
                <w:sz w:val="24"/>
              </w:rPr>
              <w:t>在加工的过程中会产生</w:t>
            </w:r>
            <w:r>
              <w:rPr>
                <w:rFonts w:hint="eastAsia"/>
                <w:kern w:val="24"/>
                <w:sz w:val="24"/>
                <w:lang w:val="en-US" w:eastAsia="zh-CN"/>
              </w:rPr>
              <w:t>少量颗粒物</w:t>
            </w:r>
            <w:r>
              <w:rPr>
                <w:rFonts w:hint="eastAsia"/>
                <w:kern w:val="24"/>
                <w:sz w:val="24"/>
              </w:rPr>
              <w:t>。</w:t>
            </w:r>
            <w:r>
              <w:rPr>
                <w:rFonts w:hint="eastAsia"/>
                <w:color w:val="000000"/>
                <w:sz w:val="24"/>
                <w:szCs w:val="24"/>
                <w:lang w:val="en-US" w:eastAsia="zh-CN"/>
              </w:rPr>
              <w:t>该工序在密闭车间内进行且产生的颗粒物量极少，故不做定量分析，采用车间内无组织排放。</w:t>
            </w:r>
          </w:p>
          <w:p w14:paraId="7E00E7CA">
            <w:pPr>
              <w:adjustRightInd w:val="0"/>
              <w:snapToGrid w:val="0"/>
              <w:spacing w:line="360" w:lineRule="auto"/>
              <w:ind w:firstLine="482" w:firstLineChars="200"/>
              <w:jc w:val="left"/>
              <w:rPr>
                <w:b/>
                <w:bCs/>
              </w:rPr>
            </w:pPr>
            <w:r>
              <w:rPr>
                <w:rFonts w:hint="eastAsia"/>
                <w:b/>
                <w:bCs/>
                <w:color w:val="000000"/>
                <w:lang w:val="en-US" w:eastAsia="zh-CN"/>
              </w:rPr>
              <w:t>②装盒、封盒</w:t>
            </w:r>
            <w:r>
              <w:rPr>
                <w:rFonts w:hint="eastAsia"/>
                <w:b/>
                <w:bCs/>
                <w:color w:val="000000"/>
              </w:rPr>
              <w:t>废气</w:t>
            </w:r>
          </w:p>
          <w:p w14:paraId="17CF0B6B">
            <w:pPr>
              <w:adjustRightInd w:val="0"/>
              <w:snapToGrid w:val="0"/>
              <w:spacing w:line="360" w:lineRule="auto"/>
              <w:ind w:firstLine="480" w:firstLineChars="200"/>
              <w:jc w:val="left"/>
              <w:rPr>
                <w:rFonts w:ascii="宋体" w:hAnsi="宋体" w:cs="宋体"/>
                <w:bCs/>
                <w:spacing w:val="-10"/>
              </w:rPr>
            </w:pPr>
            <w:r>
              <w:rPr>
                <w:rFonts w:hint="eastAsia"/>
                <w:bCs/>
                <w:sz w:val="24"/>
                <w:lang w:val="en-US" w:eastAsia="zh-CN"/>
              </w:rPr>
              <w:t>项目在装盒、封盒工序会使用胶块，根据企业提供资料，胶块使用量约为1000kg/a，</w:t>
            </w:r>
            <w:r>
              <w:rPr>
                <w:rFonts w:hint="default"/>
                <w:bCs/>
                <w:sz w:val="24"/>
                <w:lang w:val="en-US" w:eastAsia="zh-CN"/>
              </w:rPr>
              <w:t>参照《排放源统计调查产排污核算方法和系数手册》机械行业系数手册中 10 粘接核算环节粘接工艺非甲烷总烃产生系数60kg/t原料，则</w:t>
            </w:r>
            <w:r>
              <w:rPr>
                <w:rFonts w:hint="eastAsia"/>
                <w:bCs/>
                <w:sz w:val="24"/>
                <w:lang w:val="en-US" w:eastAsia="zh-CN"/>
              </w:rPr>
              <w:t>封盒</w:t>
            </w:r>
            <w:r>
              <w:rPr>
                <w:rFonts w:hint="default"/>
                <w:bCs/>
                <w:sz w:val="24"/>
                <w:lang w:val="en-US" w:eastAsia="zh-CN"/>
              </w:rPr>
              <w:t>过程产生的非甲烷总烃量为</w:t>
            </w:r>
            <w:r>
              <w:rPr>
                <w:rFonts w:hint="eastAsia"/>
                <w:bCs/>
                <w:sz w:val="24"/>
                <w:lang w:val="en-US" w:eastAsia="zh-CN"/>
              </w:rPr>
              <w:t>0.06</w:t>
            </w:r>
            <w:r>
              <w:rPr>
                <w:rFonts w:hint="default"/>
                <w:bCs/>
                <w:sz w:val="24"/>
                <w:lang w:val="en-US" w:eastAsia="zh-CN"/>
              </w:rPr>
              <w:t>t/a，</w:t>
            </w:r>
            <w:r>
              <w:rPr>
                <w:rFonts w:hint="eastAsia"/>
                <w:bCs/>
                <w:sz w:val="24"/>
                <w:lang w:val="en-US" w:eastAsia="zh-CN"/>
              </w:rPr>
              <w:t>产生量较少，采用无组织排放。</w:t>
            </w:r>
          </w:p>
        </w:tc>
      </w:tr>
      <w:tr w14:paraId="4D3B0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55" w:hRule="atLeast"/>
          <w:jc w:val="center"/>
        </w:trPr>
        <w:tc>
          <w:tcPr>
            <w:tcW w:w="834" w:type="dxa"/>
            <w:tcMar>
              <w:left w:w="28" w:type="dxa"/>
              <w:right w:w="28" w:type="dxa"/>
            </w:tcMar>
            <w:vAlign w:val="center"/>
          </w:tcPr>
          <w:p w14:paraId="3442D980">
            <w:pPr>
              <w:pStyle w:val="25"/>
              <w:adjustRightInd w:val="0"/>
              <w:snapToGrid w:val="0"/>
              <w:spacing w:before="0" w:beforeAutospacing="0" w:after="0" w:afterAutospacing="0"/>
              <w:jc w:val="center"/>
              <w:rPr>
                <w:rFonts w:cs="宋体"/>
                <w:bCs/>
                <w:kern w:val="2"/>
                <w:sz w:val="21"/>
                <w:szCs w:val="21"/>
              </w:rPr>
            </w:pPr>
          </w:p>
        </w:tc>
        <w:tc>
          <w:tcPr>
            <w:tcW w:w="8210" w:type="dxa"/>
            <w:vAlign w:val="center"/>
          </w:tcPr>
          <w:p w14:paraId="4E01E4D8">
            <w:pPr>
              <w:jc w:val="center"/>
              <w:rPr>
                <w:b/>
                <w:bCs/>
                <w:color w:val="auto"/>
                <w:sz w:val="24"/>
              </w:rPr>
            </w:pPr>
            <w:r>
              <w:rPr>
                <w:b/>
                <w:bCs/>
                <w:color w:val="auto"/>
                <w:sz w:val="24"/>
              </w:rPr>
              <w:t>表4.</w:t>
            </w:r>
            <w:r>
              <w:rPr>
                <w:rFonts w:hint="eastAsia"/>
                <w:b/>
                <w:bCs/>
                <w:color w:val="auto"/>
                <w:sz w:val="24"/>
                <w:lang w:val="en-US" w:eastAsia="zh-CN"/>
              </w:rPr>
              <w:t xml:space="preserve">1 </w:t>
            </w:r>
            <w:r>
              <w:rPr>
                <w:b/>
                <w:bCs/>
                <w:color w:val="auto"/>
                <w:sz w:val="24"/>
              </w:rPr>
              <w:t xml:space="preserve"> 大气污染物源强核算表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3"/>
              <w:gridCol w:w="867"/>
              <w:gridCol w:w="1132"/>
              <w:gridCol w:w="800"/>
              <w:gridCol w:w="1022"/>
              <w:gridCol w:w="1184"/>
              <w:gridCol w:w="840"/>
              <w:gridCol w:w="818"/>
              <w:gridCol w:w="818"/>
            </w:tblGrid>
            <w:tr w14:paraId="1A666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03" w:type="dxa"/>
                  <w:noWrap w:val="0"/>
                  <w:vAlign w:val="center"/>
                </w:tcPr>
                <w:p w14:paraId="199A4417">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序号</w:t>
                  </w:r>
                </w:p>
              </w:tc>
              <w:tc>
                <w:tcPr>
                  <w:tcW w:w="867" w:type="dxa"/>
                  <w:noWrap w:val="0"/>
                  <w:vAlign w:val="center"/>
                </w:tcPr>
                <w:p w14:paraId="1EA5A5ED">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产污环节</w:t>
                  </w:r>
                </w:p>
              </w:tc>
              <w:tc>
                <w:tcPr>
                  <w:tcW w:w="1132" w:type="dxa"/>
                  <w:noWrap w:val="0"/>
                  <w:vAlign w:val="center"/>
                </w:tcPr>
                <w:p w14:paraId="01A1EE19">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污染物</w:t>
                  </w:r>
                </w:p>
              </w:tc>
              <w:tc>
                <w:tcPr>
                  <w:tcW w:w="800" w:type="dxa"/>
                  <w:noWrap w:val="0"/>
                  <w:vAlign w:val="center"/>
                </w:tcPr>
                <w:p w14:paraId="67EBB93A">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污染源</w:t>
                  </w:r>
                </w:p>
                <w:p w14:paraId="06DE9279">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位置</w:t>
                  </w:r>
                </w:p>
              </w:tc>
              <w:tc>
                <w:tcPr>
                  <w:tcW w:w="1022" w:type="dxa"/>
                  <w:noWrap w:val="0"/>
                  <w:vAlign w:val="center"/>
                </w:tcPr>
                <w:p w14:paraId="3853DEB9">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污染物排放量（t/a）</w:t>
                  </w:r>
                </w:p>
              </w:tc>
              <w:tc>
                <w:tcPr>
                  <w:tcW w:w="1184" w:type="dxa"/>
                  <w:noWrap w:val="0"/>
                  <w:vAlign w:val="center"/>
                </w:tcPr>
                <w:p w14:paraId="5BBAAFC8">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污染物排放速率（kg/h）</w:t>
                  </w:r>
                </w:p>
              </w:tc>
              <w:tc>
                <w:tcPr>
                  <w:tcW w:w="840" w:type="dxa"/>
                  <w:noWrap w:val="0"/>
                  <w:vAlign w:val="center"/>
                </w:tcPr>
                <w:p w14:paraId="0EC65CB2">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面源宽度（m）</w:t>
                  </w:r>
                </w:p>
              </w:tc>
              <w:tc>
                <w:tcPr>
                  <w:tcW w:w="818" w:type="dxa"/>
                  <w:noWrap w:val="0"/>
                  <w:vAlign w:val="center"/>
                </w:tcPr>
                <w:p w14:paraId="27508351">
                  <w:pPr>
                    <w:jc w:val="center"/>
                    <w:outlineLvl w:val="0"/>
                    <w:rPr>
                      <w:rFonts w:hint="default" w:ascii="Times New Roman" w:hAnsi="Times New Roman" w:cs="Times New Roman"/>
                      <w:b/>
                      <w:bCs/>
                      <w:color w:val="000000"/>
                      <w:spacing w:val="0"/>
                      <w:sz w:val="21"/>
                      <w:szCs w:val="21"/>
                    </w:rPr>
                  </w:pPr>
                  <w:r>
                    <w:rPr>
                      <w:rFonts w:hint="default" w:ascii="Times New Roman" w:hAnsi="Times New Roman" w:cs="Times New Roman"/>
                      <w:b/>
                      <w:bCs/>
                      <w:color w:val="000000"/>
                      <w:spacing w:val="0"/>
                      <w:sz w:val="21"/>
                      <w:szCs w:val="21"/>
                    </w:rPr>
                    <w:t>面源长度（m）</w:t>
                  </w:r>
                </w:p>
              </w:tc>
              <w:tc>
                <w:tcPr>
                  <w:tcW w:w="818" w:type="dxa"/>
                  <w:noWrap w:val="0"/>
                  <w:vAlign w:val="center"/>
                </w:tcPr>
                <w:p w14:paraId="4E9F1F00">
                  <w:pPr>
                    <w:jc w:val="center"/>
                    <w:outlineLvl w:val="0"/>
                    <w:rPr>
                      <w:rFonts w:hint="default" w:ascii="Times New Roman" w:hAnsi="Times New Roman" w:cs="Times New Roman"/>
                      <w:b/>
                      <w:bCs/>
                      <w:color w:val="auto"/>
                      <w:spacing w:val="0"/>
                      <w:sz w:val="21"/>
                      <w:szCs w:val="21"/>
                    </w:rPr>
                  </w:pPr>
                  <w:r>
                    <w:rPr>
                      <w:rFonts w:hint="default" w:ascii="Times New Roman" w:hAnsi="Times New Roman" w:cs="Times New Roman"/>
                      <w:b/>
                      <w:bCs/>
                      <w:color w:val="auto"/>
                      <w:spacing w:val="0"/>
                      <w:sz w:val="21"/>
                      <w:szCs w:val="21"/>
                    </w:rPr>
                    <w:t>面源高度（m）</w:t>
                  </w:r>
                </w:p>
              </w:tc>
            </w:tr>
            <w:tr w14:paraId="48785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03" w:type="dxa"/>
                  <w:noWrap w:val="0"/>
                  <w:vAlign w:val="center"/>
                </w:tcPr>
                <w:p w14:paraId="0CF1A158">
                  <w:pPr>
                    <w:jc w:val="center"/>
                    <w:outlineLvl w:val="0"/>
                    <w:rPr>
                      <w:rFonts w:hint="eastAsia" w:ascii="Times New Roman" w:hAnsi="Times New Roman" w:eastAsia="宋体" w:cs="Times New Roman"/>
                      <w:color w:val="000000"/>
                      <w:spacing w:val="0"/>
                      <w:sz w:val="21"/>
                      <w:szCs w:val="21"/>
                      <w:lang w:val="en-US" w:eastAsia="zh-CN"/>
                    </w:rPr>
                  </w:pPr>
                  <w:r>
                    <w:rPr>
                      <w:rFonts w:hint="eastAsia" w:ascii="Times New Roman" w:hAnsi="Times New Roman" w:cs="Times New Roman"/>
                      <w:color w:val="000000"/>
                      <w:spacing w:val="0"/>
                      <w:sz w:val="21"/>
                      <w:szCs w:val="21"/>
                      <w:lang w:val="en-US" w:eastAsia="zh-CN"/>
                    </w:rPr>
                    <w:t>1</w:t>
                  </w:r>
                </w:p>
              </w:tc>
              <w:tc>
                <w:tcPr>
                  <w:tcW w:w="867" w:type="dxa"/>
                  <w:noWrap w:val="0"/>
                  <w:vAlign w:val="center"/>
                </w:tcPr>
                <w:p w14:paraId="7EDDB3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pacing w:val="0"/>
                      <w:sz w:val="21"/>
                      <w:szCs w:val="21"/>
                      <w:lang w:val="en-US" w:eastAsia="zh-CN"/>
                    </w:rPr>
                  </w:pPr>
                  <w:r>
                    <w:rPr>
                      <w:rFonts w:hint="eastAsia" w:ascii="Times New Roman" w:hAnsi="Times New Roman" w:eastAsia="宋体" w:cs="Times New Roman"/>
                      <w:color w:val="auto"/>
                      <w:spacing w:val="0"/>
                      <w:sz w:val="21"/>
                      <w:szCs w:val="21"/>
                      <w:lang w:val="en-US" w:eastAsia="zh-CN"/>
                    </w:rPr>
                    <w:t>脱包、筛分</w:t>
                  </w:r>
                </w:p>
              </w:tc>
              <w:tc>
                <w:tcPr>
                  <w:tcW w:w="1132" w:type="dxa"/>
                  <w:noWrap w:val="0"/>
                  <w:vAlign w:val="center"/>
                </w:tcPr>
                <w:p w14:paraId="5725905B">
                  <w:pPr>
                    <w:jc w:val="center"/>
                    <w:rPr>
                      <w:rFonts w:hint="default" w:ascii="Times New Roman" w:hAnsi="Times New Roman" w:eastAsia="宋体" w:cs="Times New Roman"/>
                      <w:color w:val="000000"/>
                      <w:spacing w:val="0"/>
                      <w:sz w:val="21"/>
                      <w:szCs w:val="21"/>
                      <w:lang w:val="en-US" w:eastAsia="zh-CN"/>
                    </w:rPr>
                  </w:pPr>
                  <w:r>
                    <w:rPr>
                      <w:rFonts w:hint="eastAsia" w:ascii="Times New Roman" w:hAnsi="Times New Roman" w:cs="Times New Roman"/>
                      <w:color w:val="auto"/>
                      <w:spacing w:val="0"/>
                      <w:sz w:val="21"/>
                      <w:szCs w:val="21"/>
                      <w:vertAlign w:val="baseline"/>
                      <w:lang w:val="en-US" w:eastAsia="zh-CN"/>
                    </w:rPr>
                    <w:t>颗粒物</w:t>
                  </w:r>
                </w:p>
              </w:tc>
              <w:tc>
                <w:tcPr>
                  <w:tcW w:w="800" w:type="dxa"/>
                  <w:noWrap w:val="0"/>
                  <w:vAlign w:val="center"/>
                </w:tcPr>
                <w:p w14:paraId="11985C46">
                  <w:pPr>
                    <w:jc w:val="center"/>
                    <w:outlineLvl w:val="0"/>
                    <w:rPr>
                      <w:rFonts w:hint="default" w:ascii="Times New Roman" w:hAnsi="Times New Roman" w:eastAsia="宋体" w:cs="Times New Roman"/>
                      <w:color w:val="000000"/>
                      <w:spacing w:val="0"/>
                      <w:sz w:val="21"/>
                      <w:szCs w:val="21"/>
                      <w:lang w:val="en-US" w:eastAsia="zh-CN"/>
                    </w:rPr>
                  </w:pPr>
                  <w:r>
                    <w:rPr>
                      <w:rFonts w:hint="eastAsia" w:ascii="Times New Roman" w:hAnsi="Times New Roman" w:eastAsia="宋体" w:cs="Times New Roman"/>
                      <w:color w:val="000000"/>
                      <w:spacing w:val="0"/>
                      <w:sz w:val="21"/>
                      <w:szCs w:val="21"/>
                      <w:lang w:val="en-US" w:eastAsia="zh-CN"/>
                    </w:rPr>
                    <w:t>车间</w:t>
                  </w:r>
                </w:p>
              </w:tc>
              <w:tc>
                <w:tcPr>
                  <w:tcW w:w="1022" w:type="dxa"/>
                  <w:noWrap w:val="0"/>
                  <w:vAlign w:val="center"/>
                </w:tcPr>
                <w:p w14:paraId="2960F6D5">
                  <w:pPr>
                    <w:jc w:val="center"/>
                    <w:rPr>
                      <w:rFonts w:hint="default" w:ascii="Times New Roman" w:hAnsi="Times New Roman" w:eastAsia="宋体" w:cs="Times New Roman"/>
                      <w:color w:val="000000"/>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1184" w:type="dxa"/>
                  <w:noWrap w:val="0"/>
                  <w:vAlign w:val="center"/>
                </w:tcPr>
                <w:p w14:paraId="3744B49F">
                  <w:pPr>
                    <w:jc w:val="center"/>
                    <w:outlineLvl w:val="0"/>
                    <w:rPr>
                      <w:rFonts w:hint="default" w:ascii="Times New Roman" w:hAnsi="Times New Roman" w:eastAsia="宋体" w:cs="Times New Roman"/>
                      <w:color w:val="000000"/>
                      <w:spacing w:val="0"/>
                      <w:sz w:val="21"/>
                      <w:szCs w:val="21"/>
                      <w:lang w:val="en-US" w:eastAsia="zh-CN"/>
                    </w:rPr>
                  </w:pPr>
                  <w:r>
                    <w:rPr>
                      <w:rFonts w:hint="eastAsia" w:ascii="Times New Roman" w:hAnsi="Times New Roman" w:eastAsia="宋体" w:cs="Times New Roman"/>
                      <w:color w:val="auto"/>
                      <w:spacing w:val="0"/>
                      <w:sz w:val="21"/>
                      <w:szCs w:val="21"/>
                      <w:lang w:val="en-US" w:eastAsia="zh-CN"/>
                    </w:rPr>
                    <w:t>/</w:t>
                  </w:r>
                </w:p>
              </w:tc>
              <w:tc>
                <w:tcPr>
                  <w:tcW w:w="840" w:type="dxa"/>
                  <w:vMerge w:val="restart"/>
                  <w:noWrap w:val="0"/>
                  <w:vAlign w:val="center"/>
                </w:tcPr>
                <w:p w14:paraId="15B84192">
                  <w:pPr>
                    <w:jc w:val="center"/>
                    <w:outlineLvl w:val="0"/>
                    <w:rPr>
                      <w:rFonts w:hint="default" w:ascii="Times New Roman" w:hAnsi="Times New Roman" w:cs="Times New Roman"/>
                      <w:color w:val="000000"/>
                      <w:spacing w:val="0"/>
                      <w:sz w:val="21"/>
                      <w:szCs w:val="21"/>
                      <w:lang w:val="en-US" w:eastAsia="zh-CN"/>
                    </w:rPr>
                  </w:pPr>
                  <w:r>
                    <w:rPr>
                      <w:rFonts w:hint="eastAsia" w:ascii="Times New Roman" w:hAnsi="Times New Roman" w:cs="Times New Roman"/>
                      <w:color w:val="000000"/>
                      <w:spacing w:val="0"/>
                      <w:sz w:val="21"/>
                      <w:szCs w:val="21"/>
                      <w:lang w:val="en-US" w:eastAsia="zh-CN"/>
                    </w:rPr>
                    <w:t>53.4</w:t>
                  </w:r>
                </w:p>
              </w:tc>
              <w:tc>
                <w:tcPr>
                  <w:tcW w:w="818" w:type="dxa"/>
                  <w:vMerge w:val="restart"/>
                  <w:noWrap w:val="0"/>
                  <w:vAlign w:val="center"/>
                </w:tcPr>
                <w:p w14:paraId="75EE2529">
                  <w:pPr>
                    <w:jc w:val="center"/>
                    <w:outlineLvl w:val="0"/>
                    <w:rPr>
                      <w:rFonts w:hint="default" w:ascii="Times New Roman" w:hAnsi="Times New Roman" w:cs="Times New Roman"/>
                      <w:color w:val="000000"/>
                      <w:spacing w:val="0"/>
                      <w:sz w:val="21"/>
                      <w:szCs w:val="21"/>
                      <w:lang w:val="en-US" w:eastAsia="zh-CN"/>
                    </w:rPr>
                  </w:pPr>
                  <w:r>
                    <w:rPr>
                      <w:rFonts w:hint="eastAsia" w:ascii="Times New Roman" w:hAnsi="Times New Roman" w:cs="Times New Roman"/>
                      <w:color w:val="000000"/>
                      <w:spacing w:val="0"/>
                      <w:sz w:val="21"/>
                      <w:szCs w:val="21"/>
                      <w:lang w:val="en-US" w:eastAsia="zh-CN"/>
                    </w:rPr>
                    <w:t>107.8</w:t>
                  </w:r>
                </w:p>
              </w:tc>
              <w:tc>
                <w:tcPr>
                  <w:tcW w:w="818" w:type="dxa"/>
                  <w:vMerge w:val="restart"/>
                  <w:noWrap w:val="0"/>
                  <w:vAlign w:val="center"/>
                </w:tcPr>
                <w:p w14:paraId="41E51EE8">
                  <w:pPr>
                    <w:jc w:val="center"/>
                    <w:outlineLvl w:val="0"/>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5</w:t>
                  </w:r>
                </w:p>
              </w:tc>
            </w:tr>
            <w:tr w14:paraId="4BC3D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503" w:type="dxa"/>
                  <w:noWrap w:val="0"/>
                  <w:vAlign w:val="center"/>
                </w:tcPr>
                <w:p w14:paraId="58C2BE16">
                  <w:pPr>
                    <w:jc w:val="center"/>
                    <w:outlineLvl w:val="0"/>
                    <w:rPr>
                      <w:rFonts w:hint="default" w:ascii="Times New Roman" w:hAnsi="Times New Roman" w:cs="Times New Roman"/>
                      <w:color w:val="auto"/>
                      <w:spacing w:val="0"/>
                      <w:sz w:val="21"/>
                      <w:szCs w:val="21"/>
                      <w:lang w:val="en-US" w:eastAsia="zh-CN"/>
                    </w:rPr>
                  </w:pPr>
                  <w:r>
                    <w:rPr>
                      <w:rFonts w:hint="eastAsia" w:ascii="Times New Roman" w:hAnsi="Times New Roman" w:cs="Times New Roman"/>
                      <w:color w:val="auto"/>
                      <w:spacing w:val="0"/>
                      <w:sz w:val="21"/>
                      <w:szCs w:val="21"/>
                      <w:lang w:val="en-US" w:eastAsia="zh-CN"/>
                    </w:rPr>
                    <w:t>2</w:t>
                  </w:r>
                </w:p>
              </w:tc>
              <w:tc>
                <w:tcPr>
                  <w:tcW w:w="867" w:type="dxa"/>
                  <w:noWrap w:val="0"/>
                  <w:vAlign w:val="center"/>
                </w:tcPr>
                <w:p w14:paraId="76966D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装盒、封盒</w:t>
                  </w:r>
                </w:p>
              </w:tc>
              <w:tc>
                <w:tcPr>
                  <w:tcW w:w="1132" w:type="dxa"/>
                  <w:noWrap w:val="0"/>
                  <w:vAlign w:val="center"/>
                </w:tcPr>
                <w:p w14:paraId="195A2511">
                  <w:pPr>
                    <w:jc w:val="center"/>
                    <w:rPr>
                      <w:rFonts w:hint="default" w:ascii="Times New Roman" w:hAnsi="Times New Roman" w:cs="Times New Roman"/>
                      <w:color w:val="auto"/>
                      <w:spacing w:val="0"/>
                      <w:sz w:val="21"/>
                      <w:szCs w:val="21"/>
                      <w:vertAlign w:val="baseline"/>
                      <w:lang w:val="en-US" w:eastAsia="zh-CN"/>
                    </w:rPr>
                  </w:pPr>
                  <w:r>
                    <w:rPr>
                      <w:rFonts w:hint="eastAsia" w:ascii="Times New Roman" w:hAnsi="Times New Roman" w:cs="Times New Roman"/>
                      <w:color w:val="auto"/>
                      <w:spacing w:val="0"/>
                      <w:sz w:val="21"/>
                      <w:szCs w:val="21"/>
                      <w:vertAlign w:val="baseline"/>
                      <w:lang w:val="en-US" w:eastAsia="zh-CN"/>
                    </w:rPr>
                    <w:t>非甲烷总烃</w:t>
                  </w:r>
                </w:p>
              </w:tc>
              <w:tc>
                <w:tcPr>
                  <w:tcW w:w="800" w:type="dxa"/>
                  <w:noWrap w:val="0"/>
                  <w:vAlign w:val="center"/>
                </w:tcPr>
                <w:p w14:paraId="542EF4B9">
                  <w:pPr>
                    <w:jc w:val="center"/>
                    <w:outlineLvl w:val="0"/>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车间</w:t>
                  </w:r>
                </w:p>
              </w:tc>
              <w:tc>
                <w:tcPr>
                  <w:tcW w:w="1022" w:type="dxa"/>
                  <w:noWrap w:val="0"/>
                  <w:vAlign w:val="center"/>
                </w:tcPr>
                <w:p w14:paraId="2507FE8A">
                  <w:pPr>
                    <w:jc w:val="center"/>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0.06</w:t>
                  </w:r>
                </w:p>
              </w:tc>
              <w:tc>
                <w:tcPr>
                  <w:tcW w:w="1184" w:type="dxa"/>
                  <w:noWrap w:val="0"/>
                  <w:vAlign w:val="center"/>
                </w:tcPr>
                <w:p w14:paraId="4BC30B20">
                  <w:pPr>
                    <w:jc w:val="center"/>
                    <w:outlineLvl w:val="0"/>
                    <w:rPr>
                      <w:rFonts w:hint="default" w:ascii="Times New Roman" w:hAnsi="Times New Roman" w:eastAsia="宋体" w:cs="Times New Roman"/>
                      <w:color w:val="auto"/>
                      <w:spacing w:val="0"/>
                      <w:sz w:val="21"/>
                      <w:szCs w:val="21"/>
                      <w:lang w:val="en-US" w:eastAsia="zh-CN"/>
                    </w:rPr>
                  </w:pPr>
                  <w:r>
                    <w:rPr>
                      <w:rFonts w:hint="eastAsia" w:ascii="Times New Roman" w:hAnsi="Times New Roman" w:eastAsia="宋体" w:cs="Times New Roman"/>
                      <w:color w:val="auto"/>
                      <w:spacing w:val="0"/>
                      <w:sz w:val="21"/>
                      <w:szCs w:val="21"/>
                      <w:lang w:val="en-US" w:eastAsia="zh-CN"/>
                    </w:rPr>
                    <w:t>0.025</w:t>
                  </w:r>
                </w:p>
              </w:tc>
              <w:tc>
                <w:tcPr>
                  <w:tcW w:w="840" w:type="dxa"/>
                  <w:vMerge w:val="continue"/>
                  <w:noWrap w:val="0"/>
                  <w:vAlign w:val="center"/>
                </w:tcPr>
                <w:p w14:paraId="405119F1">
                  <w:pPr>
                    <w:jc w:val="center"/>
                    <w:outlineLvl w:val="0"/>
                    <w:rPr>
                      <w:rFonts w:hint="eastAsia" w:ascii="Times New Roman" w:hAnsi="Times New Roman" w:cs="Times New Roman"/>
                      <w:color w:val="auto"/>
                      <w:spacing w:val="0"/>
                      <w:sz w:val="21"/>
                      <w:szCs w:val="21"/>
                      <w:lang w:val="en-US" w:eastAsia="zh-CN"/>
                    </w:rPr>
                  </w:pPr>
                </w:p>
              </w:tc>
              <w:tc>
                <w:tcPr>
                  <w:tcW w:w="818" w:type="dxa"/>
                  <w:vMerge w:val="continue"/>
                  <w:noWrap w:val="0"/>
                  <w:vAlign w:val="center"/>
                </w:tcPr>
                <w:p w14:paraId="22853C36">
                  <w:pPr>
                    <w:jc w:val="center"/>
                    <w:outlineLvl w:val="0"/>
                    <w:rPr>
                      <w:rFonts w:hint="eastAsia" w:ascii="Times New Roman" w:hAnsi="Times New Roman" w:cs="Times New Roman"/>
                      <w:color w:val="auto"/>
                      <w:spacing w:val="0"/>
                      <w:sz w:val="21"/>
                      <w:szCs w:val="21"/>
                      <w:lang w:val="en-US" w:eastAsia="zh-CN"/>
                    </w:rPr>
                  </w:pPr>
                </w:p>
              </w:tc>
              <w:tc>
                <w:tcPr>
                  <w:tcW w:w="818" w:type="dxa"/>
                  <w:vMerge w:val="continue"/>
                  <w:noWrap w:val="0"/>
                  <w:vAlign w:val="center"/>
                </w:tcPr>
                <w:p w14:paraId="017A0C34">
                  <w:pPr>
                    <w:jc w:val="center"/>
                    <w:outlineLvl w:val="0"/>
                    <w:rPr>
                      <w:rFonts w:hint="eastAsia" w:ascii="Times New Roman" w:hAnsi="Times New Roman" w:cs="Times New Roman"/>
                      <w:color w:val="auto"/>
                      <w:spacing w:val="0"/>
                      <w:sz w:val="21"/>
                      <w:szCs w:val="21"/>
                      <w:lang w:val="en-US" w:eastAsia="zh-CN"/>
                    </w:rPr>
                  </w:pPr>
                </w:p>
              </w:tc>
            </w:tr>
          </w:tbl>
          <w:p w14:paraId="4550C4B1">
            <w:pPr>
              <w:spacing w:before="120" w:beforeLines="50"/>
              <w:jc w:val="center"/>
              <w:rPr>
                <w:b/>
                <w:bCs/>
                <w:sz w:val="24"/>
              </w:rPr>
            </w:pPr>
            <w:r>
              <w:rPr>
                <w:b/>
                <w:bCs/>
                <w:sz w:val="24"/>
              </w:rPr>
              <w:t>表4.</w:t>
            </w:r>
            <w:r>
              <w:rPr>
                <w:rFonts w:hint="eastAsia"/>
                <w:b/>
                <w:bCs/>
                <w:sz w:val="24"/>
                <w:lang w:val="en-US" w:eastAsia="zh-CN"/>
              </w:rPr>
              <w:t>2</w:t>
            </w:r>
            <w:r>
              <w:rPr>
                <w:b/>
                <w:bCs/>
                <w:sz w:val="24"/>
              </w:rPr>
              <w:t xml:space="preserve"> </w:t>
            </w:r>
            <w:r>
              <w:rPr>
                <w:rFonts w:hint="eastAsia"/>
                <w:b/>
                <w:bCs/>
                <w:sz w:val="24"/>
                <w:lang w:val="en-US" w:eastAsia="zh-CN"/>
              </w:rPr>
              <w:t xml:space="preserve"> </w:t>
            </w:r>
            <w:r>
              <w:rPr>
                <w:b/>
                <w:bCs/>
                <w:sz w:val="24"/>
              </w:rPr>
              <w:t>产排污环节、废气污染物对应排放口类型一览表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325"/>
              <w:gridCol w:w="863"/>
              <w:gridCol w:w="1064"/>
              <w:gridCol w:w="713"/>
              <w:gridCol w:w="713"/>
              <w:gridCol w:w="713"/>
              <w:gridCol w:w="855"/>
              <w:gridCol w:w="868"/>
            </w:tblGrid>
            <w:tr w14:paraId="431C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3" w:type="dxa"/>
                  <w:vMerge w:val="restart"/>
                  <w:noWrap w:val="0"/>
                  <w:vAlign w:val="center"/>
                </w:tcPr>
                <w:p w14:paraId="1D46FA13">
                  <w:pPr>
                    <w:jc w:val="center"/>
                    <w:rPr>
                      <w:b/>
                      <w:bCs/>
                      <w:sz w:val="21"/>
                      <w:szCs w:val="21"/>
                    </w:rPr>
                  </w:pPr>
                  <w:r>
                    <w:rPr>
                      <w:b/>
                      <w:bCs/>
                      <w:sz w:val="21"/>
                      <w:szCs w:val="21"/>
                    </w:rPr>
                    <w:t>产污</w:t>
                  </w:r>
                </w:p>
                <w:p w14:paraId="0AADEF0E">
                  <w:pPr>
                    <w:jc w:val="center"/>
                    <w:rPr>
                      <w:b/>
                      <w:bCs/>
                      <w:sz w:val="21"/>
                      <w:szCs w:val="21"/>
                    </w:rPr>
                  </w:pPr>
                  <w:r>
                    <w:rPr>
                      <w:b/>
                      <w:bCs/>
                      <w:sz w:val="21"/>
                      <w:szCs w:val="21"/>
                    </w:rPr>
                    <w:t>环节</w:t>
                  </w:r>
                </w:p>
              </w:tc>
              <w:tc>
                <w:tcPr>
                  <w:tcW w:w="1317" w:type="dxa"/>
                  <w:vMerge w:val="restart"/>
                  <w:noWrap w:val="0"/>
                  <w:vAlign w:val="center"/>
                </w:tcPr>
                <w:p w14:paraId="292FEFD9">
                  <w:pPr>
                    <w:jc w:val="center"/>
                    <w:rPr>
                      <w:b/>
                      <w:bCs/>
                      <w:sz w:val="21"/>
                      <w:szCs w:val="21"/>
                    </w:rPr>
                  </w:pPr>
                  <w:r>
                    <w:rPr>
                      <w:b/>
                      <w:bCs/>
                      <w:sz w:val="21"/>
                      <w:szCs w:val="21"/>
                    </w:rPr>
                    <w:t>污染物种类</w:t>
                  </w:r>
                </w:p>
              </w:tc>
              <w:tc>
                <w:tcPr>
                  <w:tcW w:w="858" w:type="dxa"/>
                  <w:vMerge w:val="restart"/>
                  <w:noWrap w:val="0"/>
                  <w:vAlign w:val="center"/>
                </w:tcPr>
                <w:p w14:paraId="32901AAF">
                  <w:pPr>
                    <w:jc w:val="center"/>
                    <w:rPr>
                      <w:b/>
                      <w:bCs/>
                      <w:sz w:val="21"/>
                      <w:szCs w:val="21"/>
                    </w:rPr>
                  </w:pPr>
                  <w:r>
                    <w:rPr>
                      <w:b/>
                      <w:bCs/>
                      <w:sz w:val="21"/>
                      <w:szCs w:val="21"/>
                    </w:rPr>
                    <w:t>排放</w:t>
                  </w:r>
                </w:p>
                <w:p w14:paraId="5FFB7DF6">
                  <w:pPr>
                    <w:jc w:val="center"/>
                    <w:rPr>
                      <w:b/>
                      <w:bCs/>
                      <w:sz w:val="21"/>
                      <w:szCs w:val="21"/>
                    </w:rPr>
                  </w:pPr>
                  <w:r>
                    <w:rPr>
                      <w:b/>
                      <w:bCs/>
                      <w:sz w:val="21"/>
                      <w:szCs w:val="21"/>
                    </w:rPr>
                    <w:t>形式</w:t>
                  </w:r>
                </w:p>
              </w:tc>
              <w:tc>
                <w:tcPr>
                  <w:tcW w:w="3185" w:type="dxa"/>
                  <w:gridSpan w:val="4"/>
                  <w:noWrap w:val="0"/>
                  <w:vAlign w:val="center"/>
                </w:tcPr>
                <w:p w14:paraId="3BCB05C3">
                  <w:pPr>
                    <w:jc w:val="center"/>
                    <w:rPr>
                      <w:b/>
                      <w:bCs/>
                      <w:sz w:val="21"/>
                      <w:szCs w:val="21"/>
                    </w:rPr>
                  </w:pPr>
                  <w:r>
                    <w:rPr>
                      <w:b/>
                      <w:bCs/>
                      <w:sz w:val="21"/>
                      <w:szCs w:val="21"/>
                    </w:rPr>
                    <w:t>治理设施</w:t>
                  </w:r>
                </w:p>
              </w:tc>
              <w:tc>
                <w:tcPr>
                  <w:tcW w:w="850" w:type="dxa"/>
                  <w:vMerge w:val="restart"/>
                  <w:noWrap w:val="0"/>
                  <w:vAlign w:val="center"/>
                </w:tcPr>
                <w:p w14:paraId="0A04D9A0">
                  <w:pPr>
                    <w:jc w:val="center"/>
                    <w:rPr>
                      <w:b/>
                      <w:bCs/>
                      <w:sz w:val="21"/>
                      <w:szCs w:val="21"/>
                    </w:rPr>
                  </w:pPr>
                  <w:r>
                    <w:rPr>
                      <w:b/>
                      <w:bCs/>
                      <w:sz w:val="21"/>
                      <w:szCs w:val="21"/>
                    </w:rPr>
                    <w:t>排放口编号</w:t>
                  </w:r>
                </w:p>
              </w:tc>
              <w:tc>
                <w:tcPr>
                  <w:tcW w:w="863" w:type="dxa"/>
                  <w:vMerge w:val="restart"/>
                  <w:noWrap w:val="0"/>
                  <w:vAlign w:val="center"/>
                </w:tcPr>
                <w:p w14:paraId="01253746">
                  <w:pPr>
                    <w:jc w:val="center"/>
                    <w:rPr>
                      <w:b/>
                      <w:bCs/>
                      <w:sz w:val="21"/>
                      <w:szCs w:val="21"/>
                    </w:rPr>
                  </w:pPr>
                  <w:r>
                    <w:rPr>
                      <w:b/>
                      <w:bCs/>
                      <w:sz w:val="21"/>
                      <w:szCs w:val="21"/>
                    </w:rPr>
                    <w:t>排放口类型</w:t>
                  </w:r>
                </w:p>
              </w:tc>
            </w:tr>
            <w:tr w14:paraId="43E7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vMerge w:val="continue"/>
                  <w:noWrap w:val="0"/>
                  <w:vAlign w:val="center"/>
                </w:tcPr>
                <w:p w14:paraId="6FCC74CE">
                  <w:pPr>
                    <w:jc w:val="center"/>
                    <w:rPr>
                      <w:sz w:val="21"/>
                      <w:szCs w:val="21"/>
                    </w:rPr>
                  </w:pPr>
                </w:p>
              </w:tc>
              <w:tc>
                <w:tcPr>
                  <w:tcW w:w="1317" w:type="dxa"/>
                  <w:vMerge w:val="continue"/>
                  <w:noWrap w:val="0"/>
                  <w:vAlign w:val="center"/>
                </w:tcPr>
                <w:p w14:paraId="73C3C8D7">
                  <w:pPr>
                    <w:jc w:val="center"/>
                    <w:rPr>
                      <w:sz w:val="21"/>
                      <w:szCs w:val="21"/>
                    </w:rPr>
                  </w:pPr>
                </w:p>
              </w:tc>
              <w:tc>
                <w:tcPr>
                  <w:tcW w:w="858" w:type="dxa"/>
                  <w:vMerge w:val="continue"/>
                  <w:noWrap w:val="0"/>
                  <w:vAlign w:val="center"/>
                </w:tcPr>
                <w:p w14:paraId="53A146C3">
                  <w:pPr>
                    <w:jc w:val="center"/>
                    <w:rPr>
                      <w:sz w:val="21"/>
                      <w:szCs w:val="21"/>
                    </w:rPr>
                  </w:pPr>
                </w:p>
              </w:tc>
              <w:tc>
                <w:tcPr>
                  <w:tcW w:w="1058" w:type="dxa"/>
                  <w:noWrap w:val="0"/>
                  <w:vAlign w:val="center"/>
                </w:tcPr>
                <w:p w14:paraId="04EDE2DE">
                  <w:pPr>
                    <w:jc w:val="center"/>
                    <w:rPr>
                      <w:b/>
                      <w:bCs/>
                      <w:sz w:val="21"/>
                      <w:szCs w:val="21"/>
                    </w:rPr>
                  </w:pPr>
                  <w:r>
                    <w:rPr>
                      <w:b/>
                      <w:bCs/>
                      <w:sz w:val="21"/>
                      <w:szCs w:val="21"/>
                    </w:rPr>
                    <w:t>治理</w:t>
                  </w:r>
                </w:p>
                <w:p w14:paraId="258FEB82">
                  <w:pPr>
                    <w:jc w:val="center"/>
                    <w:rPr>
                      <w:b/>
                      <w:bCs/>
                      <w:sz w:val="21"/>
                      <w:szCs w:val="21"/>
                    </w:rPr>
                  </w:pPr>
                  <w:r>
                    <w:rPr>
                      <w:b/>
                      <w:bCs/>
                      <w:sz w:val="21"/>
                      <w:szCs w:val="21"/>
                    </w:rPr>
                    <w:t>工艺</w:t>
                  </w:r>
                </w:p>
              </w:tc>
              <w:tc>
                <w:tcPr>
                  <w:tcW w:w="709" w:type="dxa"/>
                  <w:noWrap w:val="0"/>
                  <w:vAlign w:val="center"/>
                </w:tcPr>
                <w:p w14:paraId="6B683F70">
                  <w:pPr>
                    <w:jc w:val="center"/>
                    <w:rPr>
                      <w:b/>
                      <w:bCs/>
                      <w:sz w:val="21"/>
                      <w:szCs w:val="21"/>
                    </w:rPr>
                  </w:pPr>
                  <w:r>
                    <w:rPr>
                      <w:b/>
                      <w:bCs/>
                      <w:sz w:val="21"/>
                      <w:szCs w:val="21"/>
                    </w:rPr>
                    <w:t>收集</w:t>
                  </w:r>
                </w:p>
                <w:p w14:paraId="53CC6253">
                  <w:pPr>
                    <w:jc w:val="center"/>
                    <w:rPr>
                      <w:b/>
                      <w:bCs/>
                      <w:sz w:val="21"/>
                      <w:szCs w:val="21"/>
                    </w:rPr>
                  </w:pPr>
                  <w:r>
                    <w:rPr>
                      <w:b/>
                      <w:bCs/>
                      <w:sz w:val="21"/>
                      <w:szCs w:val="21"/>
                    </w:rPr>
                    <w:t>效率</w:t>
                  </w:r>
                </w:p>
              </w:tc>
              <w:tc>
                <w:tcPr>
                  <w:tcW w:w="709" w:type="dxa"/>
                  <w:noWrap w:val="0"/>
                  <w:vAlign w:val="center"/>
                </w:tcPr>
                <w:p w14:paraId="538C4526">
                  <w:pPr>
                    <w:jc w:val="center"/>
                    <w:rPr>
                      <w:b/>
                      <w:bCs/>
                      <w:sz w:val="21"/>
                      <w:szCs w:val="21"/>
                    </w:rPr>
                  </w:pPr>
                  <w:r>
                    <w:rPr>
                      <w:b/>
                      <w:bCs/>
                      <w:sz w:val="21"/>
                      <w:szCs w:val="21"/>
                    </w:rPr>
                    <w:t>处理</w:t>
                  </w:r>
                </w:p>
                <w:p w14:paraId="3C81D6B5">
                  <w:pPr>
                    <w:jc w:val="center"/>
                    <w:rPr>
                      <w:b/>
                      <w:bCs/>
                      <w:sz w:val="21"/>
                      <w:szCs w:val="21"/>
                    </w:rPr>
                  </w:pPr>
                  <w:r>
                    <w:rPr>
                      <w:b/>
                      <w:bCs/>
                      <w:sz w:val="21"/>
                      <w:szCs w:val="21"/>
                    </w:rPr>
                    <w:t>效率</w:t>
                  </w:r>
                </w:p>
              </w:tc>
              <w:tc>
                <w:tcPr>
                  <w:tcW w:w="709" w:type="dxa"/>
                  <w:noWrap w:val="0"/>
                  <w:vAlign w:val="center"/>
                </w:tcPr>
                <w:p w14:paraId="03CEF9BE">
                  <w:pPr>
                    <w:jc w:val="center"/>
                    <w:rPr>
                      <w:b/>
                      <w:bCs/>
                      <w:sz w:val="21"/>
                      <w:szCs w:val="21"/>
                    </w:rPr>
                  </w:pPr>
                  <w:r>
                    <w:rPr>
                      <w:b/>
                      <w:bCs/>
                      <w:sz w:val="21"/>
                      <w:szCs w:val="21"/>
                    </w:rPr>
                    <w:t>是否</w:t>
                  </w:r>
                </w:p>
                <w:p w14:paraId="7E1A0AE0">
                  <w:pPr>
                    <w:jc w:val="center"/>
                    <w:rPr>
                      <w:b/>
                      <w:bCs/>
                      <w:sz w:val="21"/>
                      <w:szCs w:val="21"/>
                    </w:rPr>
                  </w:pPr>
                  <w:r>
                    <w:rPr>
                      <w:b/>
                      <w:bCs/>
                      <w:sz w:val="21"/>
                      <w:szCs w:val="21"/>
                    </w:rPr>
                    <w:t>可行</w:t>
                  </w:r>
                </w:p>
              </w:tc>
              <w:tc>
                <w:tcPr>
                  <w:tcW w:w="850" w:type="dxa"/>
                  <w:vMerge w:val="continue"/>
                  <w:noWrap w:val="0"/>
                  <w:vAlign w:val="center"/>
                </w:tcPr>
                <w:p w14:paraId="16D755C5">
                  <w:pPr>
                    <w:jc w:val="center"/>
                    <w:rPr>
                      <w:sz w:val="21"/>
                      <w:szCs w:val="21"/>
                    </w:rPr>
                  </w:pPr>
                </w:p>
              </w:tc>
              <w:tc>
                <w:tcPr>
                  <w:tcW w:w="863" w:type="dxa"/>
                  <w:vMerge w:val="continue"/>
                  <w:noWrap w:val="0"/>
                  <w:vAlign w:val="center"/>
                </w:tcPr>
                <w:p w14:paraId="333E453B">
                  <w:pPr>
                    <w:jc w:val="center"/>
                    <w:rPr>
                      <w:sz w:val="21"/>
                      <w:szCs w:val="21"/>
                    </w:rPr>
                  </w:pPr>
                </w:p>
              </w:tc>
            </w:tr>
            <w:tr w14:paraId="3385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3" w:type="dxa"/>
                  <w:noWrap w:val="0"/>
                  <w:vAlign w:val="center"/>
                </w:tcPr>
                <w:p w14:paraId="586DD0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z w:val="21"/>
                      <w:szCs w:val="21"/>
                      <w:lang w:val="en-US" w:eastAsia="zh-CN"/>
                    </w:rPr>
                  </w:pPr>
                  <w:r>
                    <w:rPr>
                      <w:rFonts w:hint="eastAsia" w:ascii="Times New Roman" w:hAnsi="Times New Roman" w:eastAsia="宋体" w:cs="Times New Roman"/>
                      <w:color w:val="auto"/>
                      <w:spacing w:val="0"/>
                      <w:sz w:val="21"/>
                      <w:szCs w:val="21"/>
                      <w:lang w:val="en-US" w:eastAsia="zh-CN"/>
                    </w:rPr>
                    <w:t>脱包、筛分</w:t>
                  </w:r>
                </w:p>
              </w:tc>
              <w:tc>
                <w:tcPr>
                  <w:tcW w:w="1317" w:type="dxa"/>
                  <w:noWrap w:val="0"/>
                  <w:vAlign w:val="center"/>
                </w:tcPr>
                <w:p w14:paraId="6BDFEFCE">
                  <w:pPr>
                    <w:jc w:val="center"/>
                    <w:rPr>
                      <w:sz w:val="21"/>
                      <w:szCs w:val="21"/>
                    </w:rPr>
                  </w:pPr>
                  <w:r>
                    <w:rPr>
                      <w:rFonts w:hint="eastAsia" w:ascii="Times New Roman" w:hAnsi="Times New Roman" w:cs="Times New Roman"/>
                      <w:color w:val="auto"/>
                      <w:spacing w:val="0"/>
                      <w:sz w:val="21"/>
                      <w:szCs w:val="21"/>
                      <w:vertAlign w:val="baseline"/>
                      <w:lang w:val="en-US" w:eastAsia="zh-CN"/>
                    </w:rPr>
                    <w:t>颗粒物</w:t>
                  </w:r>
                </w:p>
              </w:tc>
              <w:tc>
                <w:tcPr>
                  <w:tcW w:w="858" w:type="dxa"/>
                  <w:noWrap w:val="0"/>
                  <w:vAlign w:val="center"/>
                </w:tcPr>
                <w:p w14:paraId="6DDCAC8C">
                  <w:pPr>
                    <w:jc w:val="center"/>
                    <w:rPr>
                      <w:sz w:val="21"/>
                      <w:szCs w:val="21"/>
                    </w:rPr>
                  </w:pPr>
                  <w:r>
                    <w:rPr>
                      <w:rFonts w:hint="eastAsia"/>
                      <w:sz w:val="21"/>
                      <w:szCs w:val="21"/>
                    </w:rPr>
                    <w:t>无</w:t>
                  </w:r>
                  <w:r>
                    <w:rPr>
                      <w:sz w:val="21"/>
                      <w:szCs w:val="21"/>
                    </w:rPr>
                    <w:t>组织</w:t>
                  </w:r>
                </w:p>
              </w:tc>
              <w:tc>
                <w:tcPr>
                  <w:tcW w:w="1058" w:type="dxa"/>
                  <w:noWrap w:val="0"/>
                  <w:vAlign w:val="center"/>
                </w:tcPr>
                <w:p w14:paraId="2DFB1445">
                  <w:pPr>
                    <w:widowControl/>
                    <w:jc w:val="center"/>
                    <w:textAlignment w:val="center"/>
                    <w:rPr>
                      <w:sz w:val="21"/>
                      <w:szCs w:val="21"/>
                    </w:rPr>
                  </w:pPr>
                  <w:r>
                    <w:rPr>
                      <w:rFonts w:hint="eastAsia"/>
                      <w:sz w:val="21"/>
                      <w:szCs w:val="21"/>
                    </w:rPr>
                    <w:t>车间通风</w:t>
                  </w:r>
                </w:p>
              </w:tc>
              <w:tc>
                <w:tcPr>
                  <w:tcW w:w="709" w:type="dxa"/>
                  <w:noWrap w:val="0"/>
                  <w:vAlign w:val="center"/>
                </w:tcPr>
                <w:p w14:paraId="0B8F2761">
                  <w:pPr>
                    <w:widowControl/>
                    <w:jc w:val="center"/>
                    <w:textAlignment w:val="center"/>
                    <w:rPr>
                      <w:sz w:val="21"/>
                      <w:szCs w:val="21"/>
                    </w:rPr>
                  </w:pPr>
                  <w:r>
                    <w:rPr>
                      <w:rFonts w:hint="eastAsia"/>
                      <w:sz w:val="21"/>
                      <w:szCs w:val="21"/>
                    </w:rPr>
                    <w:t>/</w:t>
                  </w:r>
                </w:p>
              </w:tc>
              <w:tc>
                <w:tcPr>
                  <w:tcW w:w="709" w:type="dxa"/>
                  <w:noWrap w:val="0"/>
                  <w:vAlign w:val="center"/>
                </w:tcPr>
                <w:p w14:paraId="075AD57E">
                  <w:pPr>
                    <w:widowControl/>
                    <w:jc w:val="center"/>
                    <w:textAlignment w:val="center"/>
                    <w:rPr>
                      <w:sz w:val="21"/>
                      <w:szCs w:val="21"/>
                    </w:rPr>
                  </w:pPr>
                  <w:r>
                    <w:rPr>
                      <w:rFonts w:hint="eastAsia"/>
                      <w:sz w:val="21"/>
                      <w:szCs w:val="21"/>
                    </w:rPr>
                    <w:t>/</w:t>
                  </w:r>
                </w:p>
              </w:tc>
              <w:tc>
                <w:tcPr>
                  <w:tcW w:w="709" w:type="dxa"/>
                  <w:noWrap w:val="0"/>
                  <w:vAlign w:val="center"/>
                </w:tcPr>
                <w:p w14:paraId="1B4DD131">
                  <w:pPr>
                    <w:jc w:val="center"/>
                    <w:rPr>
                      <w:sz w:val="21"/>
                      <w:szCs w:val="21"/>
                    </w:rPr>
                  </w:pPr>
                  <w:r>
                    <w:rPr>
                      <w:rFonts w:hint="eastAsia"/>
                      <w:sz w:val="21"/>
                      <w:szCs w:val="21"/>
                    </w:rPr>
                    <w:t>是</w:t>
                  </w:r>
                </w:p>
              </w:tc>
              <w:tc>
                <w:tcPr>
                  <w:tcW w:w="850" w:type="dxa"/>
                  <w:noWrap w:val="0"/>
                  <w:vAlign w:val="center"/>
                </w:tcPr>
                <w:p w14:paraId="2AC1156D">
                  <w:pPr>
                    <w:jc w:val="center"/>
                    <w:rPr>
                      <w:sz w:val="21"/>
                      <w:szCs w:val="21"/>
                    </w:rPr>
                  </w:pPr>
                  <w:r>
                    <w:rPr>
                      <w:rFonts w:hint="eastAsia"/>
                      <w:sz w:val="21"/>
                      <w:szCs w:val="21"/>
                    </w:rPr>
                    <w:t>/</w:t>
                  </w:r>
                </w:p>
              </w:tc>
              <w:tc>
                <w:tcPr>
                  <w:tcW w:w="863" w:type="dxa"/>
                  <w:noWrap w:val="0"/>
                  <w:vAlign w:val="center"/>
                </w:tcPr>
                <w:p w14:paraId="694F6D96">
                  <w:pPr>
                    <w:jc w:val="center"/>
                    <w:rPr>
                      <w:sz w:val="21"/>
                      <w:szCs w:val="21"/>
                    </w:rPr>
                  </w:pPr>
                  <w:r>
                    <w:rPr>
                      <w:rFonts w:hint="eastAsia"/>
                      <w:sz w:val="21"/>
                      <w:szCs w:val="21"/>
                    </w:rPr>
                    <w:t>/</w:t>
                  </w:r>
                </w:p>
              </w:tc>
            </w:tr>
            <w:tr w14:paraId="2775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863" w:type="dxa"/>
                  <w:noWrap w:val="0"/>
                  <w:vAlign w:val="center"/>
                </w:tcPr>
                <w:p w14:paraId="12CE14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sz w:val="21"/>
                      <w:szCs w:val="21"/>
                      <w:lang w:eastAsia="zh-CN"/>
                    </w:rPr>
                  </w:pPr>
                  <w:r>
                    <w:rPr>
                      <w:rFonts w:hint="eastAsia" w:ascii="Times New Roman" w:hAnsi="Times New Roman" w:eastAsia="宋体" w:cs="Times New Roman"/>
                      <w:color w:val="auto"/>
                      <w:spacing w:val="0"/>
                      <w:sz w:val="21"/>
                      <w:szCs w:val="21"/>
                      <w:lang w:val="en-US" w:eastAsia="zh-CN"/>
                    </w:rPr>
                    <w:t>装盒、封盒</w:t>
                  </w:r>
                </w:p>
              </w:tc>
              <w:tc>
                <w:tcPr>
                  <w:tcW w:w="1317" w:type="dxa"/>
                  <w:noWrap w:val="0"/>
                  <w:vAlign w:val="center"/>
                </w:tcPr>
                <w:p w14:paraId="7F121314">
                  <w:pPr>
                    <w:jc w:val="center"/>
                    <w:rPr>
                      <w:sz w:val="21"/>
                      <w:szCs w:val="21"/>
                    </w:rPr>
                  </w:pPr>
                  <w:r>
                    <w:rPr>
                      <w:rFonts w:hint="eastAsia" w:ascii="Times New Roman" w:hAnsi="Times New Roman" w:cs="Times New Roman"/>
                      <w:color w:val="auto"/>
                      <w:spacing w:val="0"/>
                      <w:sz w:val="21"/>
                      <w:szCs w:val="21"/>
                      <w:vertAlign w:val="baseline"/>
                      <w:lang w:val="en-US" w:eastAsia="zh-CN"/>
                    </w:rPr>
                    <w:t>非甲烷总烃</w:t>
                  </w:r>
                </w:p>
              </w:tc>
              <w:tc>
                <w:tcPr>
                  <w:tcW w:w="858" w:type="dxa"/>
                  <w:noWrap w:val="0"/>
                  <w:vAlign w:val="center"/>
                </w:tcPr>
                <w:p w14:paraId="7B5767DD">
                  <w:pPr>
                    <w:jc w:val="center"/>
                    <w:rPr>
                      <w:sz w:val="21"/>
                      <w:szCs w:val="21"/>
                    </w:rPr>
                  </w:pPr>
                  <w:r>
                    <w:rPr>
                      <w:rFonts w:hint="eastAsia"/>
                      <w:sz w:val="21"/>
                      <w:szCs w:val="21"/>
                    </w:rPr>
                    <w:t>无组织</w:t>
                  </w:r>
                </w:p>
              </w:tc>
              <w:tc>
                <w:tcPr>
                  <w:tcW w:w="1058" w:type="dxa"/>
                  <w:noWrap w:val="0"/>
                  <w:vAlign w:val="center"/>
                </w:tcPr>
                <w:p w14:paraId="5B6D9A66">
                  <w:pPr>
                    <w:widowControl/>
                    <w:jc w:val="center"/>
                    <w:rPr>
                      <w:sz w:val="21"/>
                      <w:szCs w:val="21"/>
                    </w:rPr>
                  </w:pPr>
                  <w:r>
                    <w:rPr>
                      <w:rFonts w:hint="eastAsia"/>
                      <w:bCs/>
                      <w:sz w:val="21"/>
                      <w:szCs w:val="21"/>
                    </w:rPr>
                    <w:t>车间通风</w:t>
                  </w:r>
                </w:p>
              </w:tc>
              <w:tc>
                <w:tcPr>
                  <w:tcW w:w="709" w:type="dxa"/>
                  <w:noWrap w:val="0"/>
                  <w:vAlign w:val="center"/>
                </w:tcPr>
                <w:p w14:paraId="2F160A28">
                  <w:pPr>
                    <w:jc w:val="center"/>
                    <w:rPr>
                      <w:sz w:val="21"/>
                      <w:szCs w:val="21"/>
                    </w:rPr>
                  </w:pPr>
                  <w:r>
                    <w:rPr>
                      <w:rFonts w:hint="eastAsia"/>
                      <w:sz w:val="21"/>
                      <w:szCs w:val="21"/>
                    </w:rPr>
                    <w:t>/</w:t>
                  </w:r>
                </w:p>
              </w:tc>
              <w:tc>
                <w:tcPr>
                  <w:tcW w:w="709" w:type="dxa"/>
                  <w:noWrap w:val="0"/>
                  <w:vAlign w:val="center"/>
                </w:tcPr>
                <w:p w14:paraId="67B212A6">
                  <w:pPr>
                    <w:jc w:val="center"/>
                    <w:rPr>
                      <w:sz w:val="21"/>
                      <w:szCs w:val="21"/>
                    </w:rPr>
                  </w:pPr>
                  <w:r>
                    <w:rPr>
                      <w:rFonts w:hint="eastAsia"/>
                      <w:sz w:val="21"/>
                      <w:szCs w:val="21"/>
                    </w:rPr>
                    <w:t>/</w:t>
                  </w:r>
                </w:p>
              </w:tc>
              <w:tc>
                <w:tcPr>
                  <w:tcW w:w="709" w:type="dxa"/>
                  <w:noWrap w:val="0"/>
                  <w:vAlign w:val="center"/>
                </w:tcPr>
                <w:p w14:paraId="43F7679D">
                  <w:pPr>
                    <w:jc w:val="center"/>
                    <w:rPr>
                      <w:sz w:val="21"/>
                      <w:szCs w:val="21"/>
                    </w:rPr>
                  </w:pPr>
                  <w:r>
                    <w:rPr>
                      <w:rFonts w:hint="eastAsia"/>
                      <w:sz w:val="21"/>
                      <w:szCs w:val="21"/>
                    </w:rPr>
                    <w:t>是</w:t>
                  </w:r>
                </w:p>
              </w:tc>
              <w:tc>
                <w:tcPr>
                  <w:tcW w:w="850" w:type="dxa"/>
                  <w:noWrap w:val="0"/>
                  <w:vAlign w:val="center"/>
                </w:tcPr>
                <w:p w14:paraId="453C241D">
                  <w:pPr>
                    <w:jc w:val="center"/>
                    <w:rPr>
                      <w:sz w:val="21"/>
                      <w:szCs w:val="21"/>
                    </w:rPr>
                  </w:pPr>
                  <w:r>
                    <w:rPr>
                      <w:rFonts w:hint="eastAsia"/>
                      <w:sz w:val="21"/>
                      <w:szCs w:val="21"/>
                    </w:rPr>
                    <w:t>/</w:t>
                  </w:r>
                </w:p>
              </w:tc>
              <w:tc>
                <w:tcPr>
                  <w:tcW w:w="863" w:type="dxa"/>
                  <w:noWrap w:val="0"/>
                  <w:vAlign w:val="center"/>
                </w:tcPr>
                <w:p w14:paraId="55F56033">
                  <w:pPr>
                    <w:jc w:val="center"/>
                    <w:rPr>
                      <w:sz w:val="21"/>
                      <w:szCs w:val="21"/>
                    </w:rPr>
                  </w:pPr>
                  <w:r>
                    <w:rPr>
                      <w:rFonts w:hint="eastAsia"/>
                      <w:sz w:val="21"/>
                      <w:szCs w:val="21"/>
                    </w:rPr>
                    <w:t>/</w:t>
                  </w:r>
                </w:p>
              </w:tc>
            </w:tr>
          </w:tbl>
          <w:p w14:paraId="3895B98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无组织废气管控措施</w:t>
            </w:r>
          </w:p>
          <w:p w14:paraId="6EE4D990">
            <w:pPr>
              <w:adjustRightInd w:val="0"/>
              <w:snapToGrid w:val="0"/>
              <w:spacing w:line="360" w:lineRule="auto"/>
              <w:ind w:firstLine="480" w:firstLineChars="200"/>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项目无组织排放废气主要是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生产车间内</w:t>
            </w:r>
            <w:r>
              <w:rPr>
                <w:rFonts w:ascii="Times New Roman" w:hAnsi="Times New Roman" w:eastAsia="宋体" w:cs="Times New Roman"/>
                <w:color w:val="000000" w:themeColor="text1"/>
                <w:sz w:val="24"/>
                <w:szCs w:val="24"/>
                <w14:textFill>
                  <w14:solidFill>
                    <w14:schemeClr w14:val="tx1"/>
                  </w14:solidFill>
                </w14:textFill>
              </w:rPr>
              <w:t>产生的无组织排放废气</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包含</w:t>
            </w:r>
            <w:r>
              <w:rPr>
                <w:rFonts w:hint="eastAsia" w:cs="Times New Roman"/>
                <w:color w:val="000000" w:themeColor="text1"/>
                <w:sz w:val="24"/>
                <w:szCs w:val="24"/>
                <w:lang w:val="en-US" w:eastAsia="zh-CN"/>
                <w14:textFill>
                  <w14:solidFill>
                    <w14:schemeClr w14:val="tx1"/>
                  </w14:solidFill>
                </w14:textFill>
              </w:rPr>
              <w:t>脱包、筛分工序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产生的无组织废气和</w:t>
            </w:r>
            <w:r>
              <w:rPr>
                <w:rFonts w:hint="eastAsia" w:cs="Times New Roman"/>
                <w:color w:val="000000" w:themeColor="text1"/>
                <w:sz w:val="24"/>
                <w:szCs w:val="24"/>
                <w:lang w:val="en-US" w:eastAsia="zh-CN"/>
                <w14:textFill>
                  <w14:solidFill>
                    <w14:schemeClr w14:val="tx1"/>
                  </w14:solidFill>
                </w14:textFill>
              </w:rPr>
              <w:t>装盒、封盒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工序</w:t>
            </w:r>
            <w:r>
              <w:rPr>
                <w:rFonts w:hint="eastAsia" w:cs="Times New Roman"/>
                <w:color w:val="000000" w:themeColor="text1"/>
                <w:sz w:val="24"/>
                <w:szCs w:val="24"/>
                <w:lang w:val="en-US" w:eastAsia="zh-CN"/>
                <w14:textFill>
                  <w14:solidFill>
                    <w14:schemeClr w14:val="tx1"/>
                  </w14:solidFill>
                </w14:textFill>
              </w:rPr>
              <w:t>产生的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的无组织废气</w:t>
            </w:r>
            <w:r>
              <w:rPr>
                <w:rFonts w:ascii="Times New Roman" w:hAnsi="Times New Roman" w:eastAsia="宋体" w:cs="Times New Roman"/>
                <w:color w:val="000000" w:themeColor="text1"/>
                <w:sz w:val="24"/>
                <w:szCs w:val="24"/>
                <w14:textFill>
                  <w14:solidFill>
                    <w14:schemeClr w14:val="tx1"/>
                  </w14:solidFill>
                </w14:textFill>
              </w:rPr>
              <w:t>。</w:t>
            </w:r>
          </w:p>
          <w:p w14:paraId="6B897614">
            <w:pPr>
              <w:autoSpaceDE w:val="0"/>
              <w:autoSpaceDN w:val="0"/>
              <w:adjustRightInd w:val="0"/>
              <w:spacing w:line="360" w:lineRule="auto"/>
              <w:ind w:firstLine="480"/>
              <w:rPr>
                <w:rFonts w:ascii="Times New Roman" w:hAnsi="Times New Roman" w:eastAsia="宋体" w:cs="Times New Roman"/>
                <w:color w:val="000000" w:themeColor="text1"/>
                <w:kern w:val="0"/>
                <w:sz w:val="24"/>
                <w:szCs w:val="24"/>
                <w:lang w:val="zh-CN"/>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t>为有效控制废气的无组织排放，本项日采取预防为主的方针，同时优化工艺设计，尽量最大限度收集有机废气，尽量转化成有组织排放。除此之外，本项目运营时应加强操作工的培训和管理，减少人为造成的废气无组织排放。同时加大车间的通风换气的力度，尤其是在有无组织挥发的车间。</w:t>
            </w:r>
          </w:p>
          <w:p w14:paraId="3D9E66D0">
            <w:pPr>
              <w:autoSpaceDE w:val="0"/>
              <w:autoSpaceDN w:val="0"/>
              <w:adjustRightInd w:val="0"/>
              <w:spacing w:line="360" w:lineRule="auto"/>
              <w:ind w:firstLine="482"/>
              <w:rPr>
                <w:rFonts w:ascii="Times New Roman" w:hAnsi="Times New Roman" w:eastAsia="宋体" w:cs="Times New Roman"/>
                <w:color w:val="000000" w:themeColor="text1"/>
                <w:kern w:val="0"/>
                <w:sz w:val="24"/>
                <w:szCs w:val="24"/>
                <w:lang w:val="zh-CN"/>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t>为减少无组织排放点和排放强度，同时减轻无组织排放的污染物对环境的影响，本环评建议采用以下方式：</w:t>
            </w:r>
          </w:p>
          <w:p w14:paraId="07E8006D">
            <w:pPr>
              <w:autoSpaceDE w:val="0"/>
              <w:autoSpaceDN w:val="0"/>
              <w:adjustRightInd w:val="0"/>
              <w:spacing w:line="360" w:lineRule="auto"/>
              <w:ind w:firstLine="482"/>
              <w:rPr>
                <w:rFonts w:ascii="Times New Roman" w:hAnsi="Times New Roman" w:eastAsia="宋体" w:cs="Times New Roman"/>
                <w:color w:val="000000" w:themeColor="text1"/>
                <w:kern w:val="0"/>
                <w:sz w:val="24"/>
                <w:szCs w:val="24"/>
                <w:lang w:val="zh-CN"/>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begin"/>
            </w:r>
            <w:r>
              <w:rPr>
                <w:rFonts w:ascii="Times New Roman" w:hAnsi="Times New Roman" w:eastAsia="宋体" w:cs="Times New Roman"/>
                <w:color w:val="000000" w:themeColor="text1"/>
                <w:kern w:val="0"/>
                <w:sz w:val="24"/>
                <w:szCs w:val="24"/>
                <w:lang w:val="zh-CN"/>
                <w14:textFill>
                  <w14:solidFill>
                    <w14:schemeClr w14:val="tx1"/>
                  </w14:solidFill>
                </w14:textFill>
              </w:rPr>
              <w:instrText xml:space="preserve"> = 1 \* GB3 \* MERGEFORMAT </w:instrText>
            </w: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separate"/>
            </w:r>
            <w:r>
              <w:t>①</w:t>
            </w: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end"/>
            </w:r>
            <w:r>
              <w:rPr>
                <w:rFonts w:ascii="Times New Roman" w:hAnsi="Times New Roman" w:eastAsia="宋体" w:cs="Times New Roman"/>
                <w:color w:val="000000" w:themeColor="text1"/>
                <w:kern w:val="0"/>
                <w:sz w:val="24"/>
                <w:szCs w:val="24"/>
                <w:lang w:val="zh-CN"/>
                <w14:textFill>
                  <w14:solidFill>
                    <w14:schemeClr w14:val="tx1"/>
                  </w14:solidFill>
                </w14:textFill>
              </w:rPr>
              <w:t>工艺优化</w:t>
            </w:r>
          </w:p>
          <w:p w14:paraId="7355C972">
            <w:pPr>
              <w:autoSpaceDE w:val="0"/>
              <w:autoSpaceDN w:val="0"/>
              <w:adjustRightInd w:val="0"/>
              <w:spacing w:line="360" w:lineRule="auto"/>
              <w:ind w:firstLine="482"/>
              <w:rPr>
                <w:rFonts w:ascii="Times New Roman" w:hAnsi="Times New Roman" w:eastAsia="宋体" w:cs="Times New Roman"/>
                <w:color w:val="000000" w:themeColor="text1"/>
                <w:kern w:val="0"/>
                <w:sz w:val="24"/>
                <w:szCs w:val="24"/>
                <w:lang w:val="zh-CN"/>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t>优化车间设备布局，减少物料转运路程，使整个工艺系统得到优化。</w:t>
            </w:r>
          </w:p>
          <w:p w14:paraId="5DADC645">
            <w:pPr>
              <w:autoSpaceDE w:val="0"/>
              <w:autoSpaceDN w:val="0"/>
              <w:adjustRightInd w:val="0"/>
              <w:spacing w:line="360" w:lineRule="auto"/>
              <w:ind w:firstLine="482"/>
              <w:rPr>
                <w:rFonts w:ascii="Times New Roman" w:hAnsi="Times New Roman" w:eastAsia="宋体" w:cs="Times New Roman"/>
                <w:color w:val="000000" w:themeColor="text1"/>
                <w:kern w:val="0"/>
                <w:sz w:val="24"/>
                <w:szCs w:val="24"/>
                <w:lang w:val="zh-CN"/>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begin"/>
            </w:r>
            <w:r>
              <w:rPr>
                <w:rFonts w:ascii="Times New Roman" w:hAnsi="Times New Roman" w:eastAsia="宋体" w:cs="Times New Roman"/>
                <w:color w:val="000000" w:themeColor="text1"/>
                <w:kern w:val="0"/>
                <w:sz w:val="24"/>
                <w:szCs w:val="24"/>
                <w:lang w:val="zh-CN"/>
                <w14:textFill>
                  <w14:solidFill>
                    <w14:schemeClr w14:val="tx1"/>
                  </w14:solidFill>
                </w14:textFill>
              </w:rPr>
              <w:instrText xml:space="preserve"> = 2 \* GB3 \* MERGEFORMAT </w:instrText>
            </w: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separate"/>
            </w:r>
            <w:r>
              <w:t>②</w:t>
            </w: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end"/>
            </w:r>
            <w:r>
              <w:rPr>
                <w:rFonts w:ascii="Times New Roman" w:hAnsi="Times New Roman" w:eastAsia="宋体" w:cs="Times New Roman"/>
                <w:color w:val="000000" w:themeColor="text1"/>
                <w:kern w:val="0"/>
                <w:sz w:val="24"/>
                <w:szCs w:val="24"/>
                <w:lang w:val="zh-CN"/>
                <w14:textFill>
                  <w14:solidFill>
                    <w14:schemeClr w14:val="tx1"/>
                  </w14:solidFill>
                </w14:textFill>
              </w:rPr>
              <w:t>操作规范</w:t>
            </w:r>
          </w:p>
          <w:p w14:paraId="0C0058C8">
            <w:pPr>
              <w:autoSpaceDE w:val="0"/>
              <w:autoSpaceDN w:val="0"/>
              <w:adjustRightInd w:val="0"/>
              <w:spacing w:line="360" w:lineRule="auto"/>
              <w:ind w:firstLine="480"/>
              <w:rPr>
                <w:rFonts w:ascii="Times New Roman" w:hAnsi="Times New Roman" w:eastAsia="宋体" w:cs="Times New Roman"/>
                <w:color w:val="000000" w:themeColor="text1"/>
                <w:kern w:val="0"/>
                <w:sz w:val="24"/>
                <w:szCs w:val="24"/>
                <w:lang w:val="zh-CN"/>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t>无论是原辅材料的存放、转移还是生产操作一定按照相关规范进行，尽可能减少跑、冒、滴、漏现象。设备维修可以集中定期进行，以减少无组织排放的机率，同时维修应尽可能选在一个流程完成、设备中无存料的时段进行。</w:t>
            </w:r>
          </w:p>
          <w:p w14:paraId="419B9678">
            <w:pPr>
              <w:autoSpaceDE w:val="0"/>
              <w:autoSpaceDN w:val="0"/>
              <w:adjustRightInd w:val="0"/>
              <w:spacing w:line="360" w:lineRule="auto"/>
              <w:ind w:firstLine="480"/>
              <w:rPr>
                <w:b/>
                <w:bCs/>
              </w:rPr>
            </w:pP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begin"/>
            </w:r>
            <w:r>
              <w:rPr>
                <w:rFonts w:ascii="Times New Roman" w:hAnsi="Times New Roman" w:eastAsia="宋体" w:cs="Times New Roman"/>
                <w:color w:val="000000" w:themeColor="text1"/>
                <w:kern w:val="0"/>
                <w:sz w:val="24"/>
                <w:szCs w:val="24"/>
                <w:lang w:val="zh-CN"/>
                <w14:textFill>
                  <w14:solidFill>
                    <w14:schemeClr w14:val="tx1"/>
                  </w14:solidFill>
                </w14:textFill>
              </w:rPr>
              <w:instrText xml:space="preserve"> = 3 \* GB3 \* MERGEFORMAT </w:instrText>
            </w: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separate"/>
            </w:r>
            <w:r>
              <w:t>③</w:t>
            </w:r>
            <w:r>
              <w:rPr>
                <w:rFonts w:ascii="Times New Roman" w:hAnsi="Times New Roman" w:eastAsia="宋体" w:cs="Times New Roman"/>
                <w:color w:val="000000" w:themeColor="text1"/>
                <w:kern w:val="0"/>
                <w:sz w:val="24"/>
                <w:szCs w:val="24"/>
                <w:lang w:val="zh-CN"/>
                <w14:textFill>
                  <w14:solidFill>
                    <w14:schemeClr w14:val="tx1"/>
                  </w14:solidFill>
                </w14:textFill>
              </w:rPr>
              <w:fldChar w:fldCharType="end"/>
            </w:r>
            <w:r>
              <w:rPr>
                <w:rFonts w:ascii="Times New Roman" w:hAnsi="Times New Roman" w:eastAsia="宋体" w:cs="Times New Roman"/>
                <w:color w:val="000000" w:themeColor="text1"/>
                <w:kern w:val="0"/>
                <w:sz w:val="24"/>
                <w:szCs w:val="24"/>
                <w:lang w:val="zh-CN"/>
                <w14:textFill>
                  <w14:solidFill>
                    <w14:schemeClr w14:val="tx1"/>
                  </w14:solidFill>
                </w14:textFill>
              </w:rPr>
              <w:t>增强车间通风，降低无组织排放浓度当车间内出现无组织排放时应加强车间通风，以达到降低污染物在车间或仓储的局部区域的浓度，减少对职工的健康安全和环境的影响。</w:t>
            </w:r>
          </w:p>
          <w:p w14:paraId="6AA50A4A">
            <w:pPr>
              <w:spacing w:line="360" w:lineRule="auto"/>
              <w:ind w:firstLine="482" w:firstLineChars="200"/>
              <w:rPr>
                <w:rFonts w:cs="宋体"/>
                <w:b/>
                <w:spacing w:val="0"/>
                <w:sz w:val="24"/>
                <w:szCs w:val="21"/>
              </w:rPr>
            </w:pPr>
            <w:r>
              <w:rPr>
                <w:rFonts w:hint="eastAsia" w:cs="宋体"/>
                <w:b/>
                <w:spacing w:val="0"/>
                <w:sz w:val="24"/>
                <w:szCs w:val="21"/>
                <w:lang w:val="en-US" w:eastAsia="zh-CN"/>
              </w:rPr>
              <w:t>4</w:t>
            </w:r>
            <w:r>
              <w:rPr>
                <w:rFonts w:hint="eastAsia" w:cs="宋体"/>
                <w:b/>
                <w:spacing w:val="0"/>
                <w:sz w:val="24"/>
                <w:szCs w:val="21"/>
              </w:rPr>
              <w:t>、监测计划</w:t>
            </w:r>
          </w:p>
          <w:p w14:paraId="6C9525D7">
            <w:pPr>
              <w:autoSpaceDE w:val="0"/>
              <w:autoSpaceDN w:val="0"/>
              <w:adjustRightInd w:val="0"/>
              <w:spacing w:line="360" w:lineRule="auto"/>
              <w:ind w:firstLine="480" w:firstLineChars="200"/>
              <w:jc w:val="left"/>
              <w:rPr>
                <w:rFonts w:hint="default" w:ascii="Times New Roman" w:hAnsi="Times New Roman" w:eastAsia="宋体" w:cs="Times New Roman"/>
                <w:color w:val="auto"/>
                <w:kern w:val="2"/>
                <w:sz w:val="24"/>
                <w:lang w:bidi="ar"/>
              </w:rPr>
            </w:pPr>
            <w:r>
              <w:rPr>
                <w:rFonts w:hint="eastAsia"/>
                <w:kern w:val="0"/>
                <w:sz w:val="24"/>
                <w:lang w:bidi="ar"/>
              </w:rPr>
              <w:t>本项目的国民经济行业类别为</w:t>
            </w:r>
            <w:r>
              <w:rPr>
                <w:rFonts w:hint="eastAsia" w:cs="宋体"/>
                <w:sz w:val="24"/>
                <w:szCs w:val="21"/>
              </w:rPr>
              <w:t>C</w:t>
            </w:r>
            <w:r>
              <w:rPr>
                <w:rFonts w:hint="eastAsia" w:cs="宋体"/>
                <w:sz w:val="24"/>
                <w:szCs w:val="21"/>
                <w:lang w:val="en-US" w:eastAsia="zh-CN"/>
              </w:rPr>
              <w:t>1491营养食品制造</w:t>
            </w:r>
            <w:r>
              <w:rPr>
                <w:rFonts w:hint="eastAsia"/>
                <w:kern w:val="0"/>
                <w:sz w:val="24"/>
                <w:lang w:bidi="ar"/>
              </w:rPr>
              <w:t>，根据《固定污染源排污许可分类管理名录》（2019年版）规定，企业属于登记管理，</w:t>
            </w:r>
            <w:r>
              <w:rPr>
                <w:rFonts w:hint="eastAsia"/>
                <w:kern w:val="0"/>
                <w:sz w:val="24"/>
                <w:lang w:val="en-US" w:eastAsia="zh-CN" w:bidi="ar"/>
              </w:rPr>
              <w:t>仅</w:t>
            </w:r>
            <w:r>
              <w:rPr>
                <w:rFonts w:hint="eastAsia"/>
                <w:kern w:val="0"/>
                <w:sz w:val="24"/>
                <w:lang w:bidi="ar"/>
              </w:rPr>
              <w:t>需</w:t>
            </w:r>
            <w:r>
              <w:rPr>
                <w:rFonts w:hint="eastAsia"/>
                <w:kern w:val="0"/>
                <w:sz w:val="24"/>
                <w:lang w:val="en-US" w:eastAsia="zh-CN" w:bidi="ar"/>
              </w:rPr>
              <w:t>在全国排污许可证管理信息平台进行登记</w:t>
            </w:r>
            <w:r>
              <w:rPr>
                <w:rFonts w:hint="eastAsia"/>
                <w:kern w:val="0"/>
                <w:sz w:val="24"/>
                <w:lang w:bidi="ar"/>
              </w:rPr>
              <w:t>，无需开展自行监测</w:t>
            </w:r>
            <w:r>
              <w:rPr>
                <w:rFonts w:hint="eastAsia"/>
                <w:kern w:val="0"/>
                <w:sz w:val="24"/>
                <w:lang w:eastAsia="zh-CN" w:bidi="ar"/>
              </w:rPr>
              <w:t>。</w:t>
            </w:r>
            <w:r>
              <w:rPr>
                <w:rFonts w:hint="eastAsia"/>
                <w:kern w:val="0"/>
                <w:sz w:val="24"/>
                <w:lang w:bidi="ar"/>
              </w:rPr>
              <w:t>鉴于企业运营期有污染物外排，建议企业运营期开展污染物排放监测，其监测内容如下表所示</w:t>
            </w:r>
            <w:r>
              <w:rPr>
                <w:rFonts w:hint="default" w:ascii="Times New Roman" w:hAnsi="Times New Roman" w:eastAsia="宋体" w:cs="Times New Roman"/>
                <w:color w:val="auto"/>
                <w:spacing w:val="0"/>
                <w:kern w:val="2"/>
                <w:sz w:val="24"/>
                <w:lang w:bidi="ar"/>
              </w:rPr>
              <w:t>。</w:t>
            </w:r>
          </w:p>
          <w:p w14:paraId="42793F10">
            <w:pPr>
              <w:ind w:firstLine="482" w:firstLineChars="200"/>
              <w:jc w:val="center"/>
              <w:rPr>
                <w:b/>
                <w:bCs/>
                <w:sz w:val="24"/>
              </w:rPr>
            </w:pPr>
            <w:r>
              <w:rPr>
                <w:b/>
                <w:bCs/>
                <w:sz w:val="24"/>
              </w:rPr>
              <w:t>表4.</w:t>
            </w:r>
            <w:r>
              <w:rPr>
                <w:rFonts w:hint="eastAsia"/>
                <w:b/>
                <w:bCs/>
                <w:sz w:val="24"/>
                <w:lang w:val="en-US" w:eastAsia="zh-CN"/>
              </w:rPr>
              <w:t>3</w:t>
            </w:r>
            <w:r>
              <w:rPr>
                <w:b/>
                <w:bCs/>
                <w:sz w:val="24"/>
              </w:rPr>
              <w:t xml:space="preserve"> </w:t>
            </w:r>
            <w:r>
              <w:rPr>
                <w:rFonts w:hint="eastAsia"/>
                <w:b/>
                <w:bCs/>
                <w:sz w:val="24"/>
                <w:lang w:val="en-US" w:eastAsia="zh-CN"/>
              </w:rPr>
              <w:t xml:space="preserve"> </w:t>
            </w:r>
            <w:r>
              <w:rPr>
                <w:b/>
                <w:bCs/>
                <w:sz w:val="24"/>
              </w:rPr>
              <w:t>项目</w:t>
            </w:r>
            <w:r>
              <w:rPr>
                <w:rFonts w:hint="eastAsia"/>
                <w:b/>
                <w:bCs/>
                <w:sz w:val="24"/>
              </w:rPr>
              <w:t>建成后全厂废气自行监测计划表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5"/>
              <w:gridCol w:w="1739"/>
              <w:gridCol w:w="1831"/>
              <w:gridCol w:w="1516"/>
              <w:gridCol w:w="1613"/>
            </w:tblGrid>
            <w:tr w14:paraId="6876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24BF0CDD">
                  <w:pPr>
                    <w:pStyle w:val="68"/>
                    <w:spacing w:line="240" w:lineRule="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监测点位置</w:t>
                  </w:r>
                </w:p>
              </w:tc>
              <w:tc>
                <w:tcPr>
                  <w:tcW w:w="1729" w:type="dxa"/>
                  <w:noWrap w:val="0"/>
                  <w:vAlign w:val="center"/>
                </w:tcPr>
                <w:p w14:paraId="5FCF50E5">
                  <w:pPr>
                    <w:pStyle w:val="68"/>
                    <w:spacing w:line="240" w:lineRule="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监测内容</w:t>
                  </w:r>
                </w:p>
              </w:tc>
              <w:tc>
                <w:tcPr>
                  <w:tcW w:w="1820" w:type="dxa"/>
                  <w:noWrap w:val="0"/>
                  <w:vAlign w:val="center"/>
                </w:tcPr>
                <w:p w14:paraId="2635FAEE">
                  <w:pPr>
                    <w:pStyle w:val="68"/>
                    <w:spacing w:line="240" w:lineRule="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监测指标</w:t>
                  </w:r>
                </w:p>
              </w:tc>
              <w:tc>
                <w:tcPr>
                  <w:tcW w:w="1507" w:type="dxa"/>
                  <w:noWrap w:val="0"/>
                  <w:vAlign w:val="center"/>
                </w:tcPr>
                <w:p w14:paraId="6946AC26">
                  <w:pPr>
                    <w:pStyle w:val="68"/>
                    <w:spacing w:line="240" w:lineRule="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监测方式</w:t>
                  </w:r>
                </w:p>
              </w:tc>
              <w:tc>
                <w:tcPr>
                  <w:tcW w:w="1603" w:type="dxa"/>
                  <w:noWrap w:val="0"/>
                  <w:vAlign w:val="center"/>
                </w:tcPr>
                <w:p w14:paraId="3C82EE67">
                  <w:pPr>
                    <w:pStyle w:val="68"/>
                    <w:spacing w:line="240" w:lineRule="auto"/>
                    <w:rPr>
                      <w:rFonts w:hint="default" w:ascii="Times New Roman" w:hAnsi="Times New Roman" w:eastAsia="宋体" w:cs="Times New Roman"/>
                      <w:b/>
                      <w:bCs/>
                      <w:color w:val="auto"/>
                      <w:sz w:val="21"/>
                    </w:rPr>
                  </w:pPr>
                  <w:r>
                    <w:rPr>
                      <w:rFonts w:hint="default" w:ascii="Times New Roman" w:hAnsi="Times New Roman" w:eastAsia="宋体" w:cs="Times New Roman"/>
                      <w:b/>
                      <w:bCs/>
                      <w:color w:val="auto"/>
                      <w:sz w:val="21"/>
                    </w:rPr>
                    <w:t>监测频次</w:t>
                  </w:r>
                </w:p>
              </w:tc>
            </w:tr>
            <w:tr w14:paraId="7D66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77" w:type="dxa"/>
                  <w:noWrap w:val="0"/>
                  <w:vAlign w:val="center"/>
                </w:tcPr>
                <w:p w14:paraId="1EA408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1729" w:type="dxa"/>
                  <w:noWrap w:val="0"/>
                  <w:vAlign w:val="center"/>
                </w:tcPr>
                <w:p w14:paraId="277D927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温度，湿度，气压，风速，风向</w:t>
                  </w:r>
                </w:p>
              </w:tc>
              <w:tc>
                <w:tcPr>
                  <w:tcW w:w="1820" w:type="dxa"/>
                  <w:noWrap w:val="0"/>
                  <w:vAlign w:val="center"/>
                </w:tcPr>
                <w:p w14:paraId="1A5EAC03">
                  <w:pPr>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颗粒物</w:t>
                  </w:r>
                </w:p>
              </w:tc>
              <w:tc>
                <w:tcPr>
                  <w:tcW w:w="1507" w:type="dxa"/>
                  <w:noWrap w:val="0"/>
                  <w:vAlign w:val="center"/>
                </w:tcPr>
                <w:p w14:paraId="531C1E2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手工监测</w:t>
                  </w:r>
                </w:p>
              </w:tc>
              <w:tc>
                <w:tcPr>
                  <w:tcW w:w="1603" w:type="dxa"/>
                  <w:noWrap w:val="0"/>
                  <w:vAlign w:val="center"/>
                </w:tcPr>
                <w:p w14:paraId="6CE75E4C">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bidi="ar-SA"/>
                    </w:rPr>
                    <w:t>1</w:t>
                  </w:r>
                  <w:r>
                    <w:rPr>
                      <w:rFonts w:hint="default" w:ascii="Times New Roman" w:hAnsi="Times New Roman" w:eastAsia="宋体" w:cs="Times New Roman"/>
                      <w:color w:val="auto"/>
                      <w:kern w:val="0"/>
                      <w:sz w:val="21"/>
                      <w:szCs w:val="21"/>
                      <w:lang w:val="en-US" w:eastAsia="zh-CN" w:bidi="ar-SA"/>
                    </w:rPr>
                    <w:t>次</w:t>
                  </w:r>
                  <w:r>
                    <w:rPr>
                      <w:rFonts w:hint="eastAsia" w:ascii="Times New Roman" w:hAnsi="Times New Roman" w:eastAsia="宋体" w:cs="Times New Roman"/>
                      <w:color w:val="auto"/>
                      <w:kern w:val="0"/>
                      <w:sz w:val="21"/>
                      <w:szCs w:val="21"/>
                      <w:lang w:val="en-US" w:eastAsia="zh-CN" w:bidi="ar-SA"/>
                    </w:rPr>
                    <w:t>/年</w:t>
                  </w:r>
                </w:p>
              </w:tc>
            </w:tr>
          </w:tbl>
          <w:p w14:paraId="30E370E7">
            <w:pPr>
              <w:adjustRightInd w:val="0"/>
              <w:snapToGrid w:val="0"/>
              <w:spacing w:before="120" w:beforeLines="50" w:line="360" w:lineRule="auto"/>
              <w:jc w:val="left"/>
              <w:rPr>
                <w:rFonts w:ascii="宋体" w:hAnsi="宋体" w:cs="宋体"/>
                <w:b/>
                <w:spacing w:val="-10"/>
              </w:rPr>
            </w:pPr>
            <w:r>
              <w:rPr>
                <w:rFonts w:hint="eastAsia" w:ascii="宋体" w:hAnsi="宋体" w:cs="宋体"/>
                <w:b/>
                <w:spacing w:val="-10"/>
              </w:rPr>
              <w:t>二、废（污）水</w:t>
            </w:r>
          </w:p>
          <w:p w14:paraId="35C538D4">
            <w:pPr>
              <w:spacing w:line="360" w:lineRule="auto"/>
              <w:ind w:firstLine="480" w:firstLineChars="200"/>
            </w:pPr>
            <w:r>
              <w:t>项目用水主要是职工生活</w:t>
            </w:r>
            <w:r>
              <w:rPr>
                <w:rFonts w:hint="eastAsia"/>
              </w:rPr>
              <w:t>用水、</w:t>
            </w:r>
            <w:r>
              <w:rPr>
                <w:rFonts w:hint="eastAsia"/>
                <w:lang w:val="en-US" w:eastAsia="zh-CN"/>
              </w:rPr>
              <w:t>纯水制备</w:t>
            </w:r>
            <w:r>
              <w:rPr>
                <w:rFonts w:hint="eastAsia"/>
              </w:rPr>
              <w:t>用水，外排废水为员工生活污水。</w:t>
            </w:r>
          </w:p>
          <w:p w14:paraId="69C8A4B7">
            <w:pPr>
              <w:adjustRightInd w:val="0"/>
              <w:snapToGrid w:val="0"/>
              <w:spacing w:line="360" w:lineRule="auto"/>
              <w:ind w:firstLine="480" w:firstLineChars="200"/>
            </w:pPr>
            <w:r>
              <w:rPr>
                <w:rFonts w:hint="eastAsia"/>
              </w:rPr>
              <w:t>①生活用水：</w:t>
            </w:r>
            <w:r>
              <w:rPr>
                <w:sz w:val="24"/>
              </w:rPr>
              <w:t>本项目劳动定员</w:t>
            </w:r>
            <w:r>
              <w:rPr>
                <w:rFonts w:hint="eastAsia"/>
                <w:sz w:val="24"/>
                <w:lang w:val="en-US" w:eastAsia="zh-CN"/>
              </w:rPr>
              <w:t>3</w:t>
            </w:r>
            <w:r>
              <w:rPr>
                <w:sz w:val="24"/>
              </w:rPr>
              <w:t>0人，</w:t>
            </w:r>
            <w:r>
              <w:rPr>
                <w:rFonts w:hint="eastAsia"/>
                <w:sz w:val="24"/>
              </w:rPr>
              <w:t>年工作</w:t>
            </w:r>
            <w:r>
              <w:rPr>
                <w:rFonts w:hint="eastAsia"/>
                <w:sz w:val="24"/>
                <w:lang w:val="en-US" w:eastAsia="zh-CN"/>
              </w:rPr>
              <w:t>30</w:t>
            </w:r>
            <w:r>
              <w:rPr>
                <w:sz w:val="24"/>
              </w:rPr>
              <w:t>0</w:t>
            </w:r>
            <w:r>
              <w:rPr>
                <w:rFonts w:hint="eastAsia"/>
                <w:sz w:val="24"/>
              </w:rPr>
              <w:t>天，厂区</w:t>
            </w:r>
            <w:r>
              <w:rPr>
                <w:rFonts w:hint="eastAsia"/>
                <w:sz w:val="24"/>
                <w:lang w:val="en-US" w:eastAsia="zh-CN"/>
              </w:rPr>
              <w:t>不</w:t>
            </w:r>
            <w:r>
              <w:rPr>
                <w:sz w:val="24"/>
              </w:rPr>
              <w:t>提供食宿。</w:t>
            </w:r>
            <w:r>
              <w:rPr>
                <w:rFonts w:hint="eastAsia"/>
                <w:sz w:val="24"/>
              </w:rPr>
              <w:t>根据《安徽省行业用水定额》（DB34T679-2025），员工生活用水按15m</w:t>
            </w:r>
            <w:r>
              <w:rPr>
                <w:rFonts w:hint="eastAsia"/>
                <w:sz w:val="24"/>
                <w:vertAlign w:val="superscript"/>
              </w:rPr>
              <w:t>3</w:t>
            </w:r>
            <w:r>
              <w:rPr>
                <w:rFonts w:hint="eastAsia"/>
                <w:sz w:val="24"/>
              </w:rPr>
              <w:t>/（人*a）计算</w:t>
            </w:r>
            <w:r>
              <w:rPr>
                <w:sz w:val="24"/>
              </w:rPr>
              <w:t>，生活用水量为</w:t>
            </w:r>
            <w:r>
              <w:rPr>
                <w:rFonts w:hint="eastAsia"/>
                <w:sz w:val="24"/>
                <w:lang w:val="en-US" w:eastAsia="zh-CN"/>
              </w:rPr>
              <w:t>1.5</w:t>
            </w:r>
            <w:r>
              <w:rPr>
                <w:sz w:val="24"/>
              </w:rPr>
              <w:t>t/d</w:t>
            </w:r>
            <w:r>
              <w:rPr>
                <w:rFonts w:hint="eastAsia"/>
                <w:sz w:val="24"/>
              </w:rPr>
              <w:t>（</w:t>
            </w:r>
            <w:r>
              <w:rPr>
                <w:rFonts w:hint="eastAsia"/>
                <w:sz w:val="24"/>
                <w:lang w:val="en-US" w:eastAsia="zh-CN"/>
              </w:rPr>
              <w:t>450</w:t>
            </w:r>
            <w:r>
              <w:rPr>
                <w:rFonts w:hint="eastAsia"/>
                <w:sz w:val="24"/>
              </w:rPr>
              <w:t>t/a），</w:t>
            </w:r>
            <w:r>
              <w:rPr>
                <w:sz w:val="24"/>
              </w:rPr>
              <w:t>污水产生量按照用水量80%计算，则</w:t>
            </w:r>
            <w:r>
              <w:rPr>
                <w:rFonts w:hint="eastAsia"/>
                <w:sz w:val="24"/>
              </w:rPr>
              <w:t>废水产生量为</w:t>
            </w:r>
            <w:r>
              <w:rPr>
                <w:rFonts w:hint="eastAsia"/>
                <w:sz w:val="24"/>
                <w:lang w:val="en-US" w:eastAsia="zh-CN"/>
              </w:rPr>
              <w:t>1.2</w:t>
            </w:r>
            <w:r>
              <w:rPr>
                <w:sz w:val="24"/>
              </w:rPr>
              <w:t>t/d</w:t>
            </w:r>
            <w:r>
              <w:rPr>
                <w:rFonts w:hint="eastAsia"/>
                <w:sz w:val="24"/>
              </w:rPr>
              <w:t>（</w:t>
            </w:r>
            <w:r>
              <w:rPr>
                <w:rFonts w:hint="eastAsia"/>
                <w:sz w:val="24"/>
                <w:lang w:val="en-US" w:eastAsia="zh-CN"/>
              </w:rPr>
              <w:t>360</w:t>
            </w:r>
            <w:r>
              <w:rPr>
                <w:sz w:val="24"/>
              </w:rPr>
              <w:t>t/a</w:t>
            </w:r>
            <w:r>
              <w:rPr>
                <w:rFonts w:hint="eastAsia"/>
                <w:sz w:val="24"/>
              </w:rPr>
              <w:t>）</w:t>
            </w:r>
            <w:r>
              <w:t>。</w:t>
            </w:r>
          </w:p>
          <w:p w14:paraId="6B174253">
            <w:pPr>
              <w:spacing w:line="360" w:lineRule="auto"/>
              <w:ind w:firstLine="480" w:firstLineChars="200"/>
              <w:rPr>
                <w:rFonts w:hint="default" w:eastAsia="宋体"/>
                <w:lang w:val="en-US" w:eastAsia="zh-CN"/>
              </w:rPr>
            </w:pPr>
            <w:r>
              <w:rPr>
                <w:rFonts w:hint="eastAsia"/>
              </w:rPr>
              <w:t>②</w:t>
            </w:r>
            <w:r>
              <w:rPr>
                <w:rFonts w:hint="eastAsia"/>
                <w:lang w:val="en-US" w:eastAsia="zh-CN"/>
              </w:rPr>
              <w:t>纯水制备</w:t>
            </w:r>
            <w:r>
              <w:rPr>
                <w:rFonts w:hint="eastAsia"/>
              </w:rPr>
              <w:t>用水：</w:t>
            </w:r>
            <w:r>
              <w:rPr>
                <w:sz w:val="24"/>
                <w:szCs w:val="28"/>
              </w:rPr>
              <w:t>纯水制备机制备的纯水</w:t>
            </w:r>
            <w:r>
              <w:rPr>
                <w:rFonts w:hint="eastAsia"/>
                <w:sz w:val="24"/>
                <w:szCs w:val="28"/>
              </w:rPr>
              <w:t>（规模：</w:t>
            </w:r>
            <w:r>
              <w:rPr>
                <w:rFonts w:hint="eastAsia"/>
                <w:sz w:val="24"/>
                <w:szCs w:val="28"/>
                <w:lang w:val="en-US" w:eastAsia="zh-CN"/>
              </w:rPr>
              <w:t>2</w:t>
            </w:r>
            <w:r>
              <w:rPr>
                <w:rFonts w:hint="eastAsia"/>
                <w:sz w:val="24"/>
                <w:szCs w:val="28"/>
              </w:rPr>
              <w:t>t/h；工艺：预处理-反渗透-离子交换-后处理）</w:t>
            </w:r>
            <w:r>
              <w:rPr>
                <w:sz w:val="24"/>
                <w:szCs w:val="28"/>
              </w:rPr>
              <w:t>用于</w:t>
            </w:r>
            <w:r>
              <w:rPr>
                <w:rFonts w:hint="eastAsia"/>
                <w:sz w:val="24"/>
                <w:szCs w:val="28"/>
                <w:lang w:val="en-US" w:eastAsia="zh-CN"/>
              </w:rPr>
              <w:t>真空乳化+过滤用水，所需纯水水量约为1.2t/d（360t/a），</w:t>
            </w:r>
            <w:r>
              <w:rPr>
                <w:sz w:val="24"/>
                <w:szCs w:val="28"/>
              </w:rPr>
              <w:t>纯水制备率为7</w:t>
            </w:r>
            <w:r>
              <w:rPr>
                <w:rFonts w:hint="eastAsia"/>
                <w:sz w:val="24"/>
                <w:szCs w:val="28"/>
              </w:rPr>
              <w:t>0</w:t>
            </w:r>
            <w:r>
              <w:rPr>
                <w:sz w:val="24"/>
                <w:szCs w:val="28"/>
              </w:rPr>
              <w:t>%，</w:t>
            </w:r>
            <w:r>
              <w:rPr>
                <w:rFonts w:hint="eastAsia"/>
                <w:sz w:val="24"/>
                <w:szCs w:val="28"/>
                <w:lang w:val="en-US" w:eastAsia="zh-CN"/>
              </w:rPr>
              <w:t>则项目所需新鲜水水量约为1.714t/d（514.29t/a），浓水水量约为0.514t/d（154.287t/a），所产生的浓水用于园区绿化，不外排。</w:t>
            </w:r>
          </w:p>
          <w:p w14:paraId="581C22B4">
            <w:pPr>
              <w:spacing w:line="360" w:lineRule="auto"/>
              <w:jc w:val="center"/>
            </w:pPr>
            <w:r>
              <w:rPr>
                <w:rFonts w:hint="eastAsia" w:eastAsia="宋体"/>
                <w:lang w:eastAsia="zh-CN"/>
              </w:rPr>
              <w:drawing>
                <wp:inline distT="0" distB="0" distL="114300" distR="114300">
                  <wp:extent cx="5039995" cy="1971040"/>
                  <wp:effectExtent l="0" t="0" r="0" b="0"/>
                  <wp:docPr id="35" name="ECB019B1-382A-4266-B25C-5B523AA43C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B019B1-382A-4266-B25C-5B523AA43C14-5"/>
                          <pic:cNvPicPr>
                            <a:picLocks noChangeAspect="1"/>
                          </pic:cNvPicPr>
                        </pic:nvPicPr>
                        <pic:blipFill>
                          <a:blip r:embed="rId11"/>
                          <a:stretch>
                            <a:fillRect/>
                          </a:stretch>
                        </pic:blipFill>
                        <pic:spPr>
                          <a:xfrm>
                            <a:off x="0" y="0"/>
                            <a:ext cx="5039995" cy="1971040"/>
                          </a:xfrm>
                          <a:prstGeom prst="rect">
                            <a:avLst/>
                          </a:prstGeom>
                        </pic:spPr>
                      </pic:pic>
                    </a:graphicData>
                  </a:graphic>
                </wp:inline>
              </w:drawing>
            </w:r>
          </w:p>
          <w:p w14:paraId="52756607">
            <w:pPr>
              <w:pStyle w:val="2"/>
              <w:numPr>
                <w:ilvl w:val="2"/>
                <w:numId w:val="0"/>
              </w:numPr>
              <w:adjustRightInd w:val="0"/>
              <w:snapToGrid w:val="0"/>
              <w:spacing w:before="0" w:after="0"/>
              <w:jc w:val="center"/>
              <w:rPr>
                <w:rFonts w:hint="eastAsia" w:eastAsia="宋体"/>
                <w:kern w:val="0"/>
                <w:lang w:val="en-US" w:eastAsia="zh-CN"/>
              </w:rPr>
            </w:pPr>
            <w:r>
              <w:rPr>
                <w:rFonts w:hint="eastAsia"/>
                <w:sz w:val="24"/>
                <w:szCs w:val="24"/>
              </w:rPr>
              <w:t>图4.2  项目水平衡图  t/</w:t>
            </w:r>
            <w:r>
              <w:rPr>
                <w:rFonts w:hint="eastAsia"/>
                <w:sz w:val="24"/>
                <w:szCs w:val="24"/>
                <w:lang w:val="en-US" w:eastAsia="zh-CN"/>
              </w:rPr>
              <w:t>d</w:t>
            </w:r>
          </w:p>
          <w:p w14:paraId="17F04063">
            <w:pPr>
              <w:adjustRightInd w:val="0"/>
              <w:snapToGrid w:val="0"/>
              <w:jc w:val="center"/>
              <w:rPr>
                <w:b/>
                <w:bCs/>
              </w:rPr>
            </w:pPr>
            <w:r>
              <w:rPr>
                <w:rFonts w:hint="eastAsia"/>
                <w:b/>
                <w:bCs/>
              </w:rPr>
              <w:t>表4.</w:t>
            </w:r>
            <w:r>
              <w:rPr>
                <w:rFonts w:hint="eastAsia"/>
                <w:b/>
                <w:bCs/>
                <w:lang w:val="en-US" w:eastAsia="zh-CN"/>
              </w:rPr>
              <w:t>4</w:t>
            </w:r>
            <w:r>
              <w:rPr>
                <w:rFonts w:hint="eastAsia"/>
                <w:b/>
                <w:bCs/>
              </w:rPr>
              <w:t xml:space="preserve">  废水类别、污染物种类、排放方式及污染治理设施一览表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170"/>
              <w:gridCol w:w="1145"/>
              <w:gridCol w:w="809"/>
              <w:gridCol w:w="1084"/>
              <w:gridCol w:w="1038"/>
              <w:gridCol w:w="1069"/>
              <w:gridCol w:w="1007"/>
            </w:tblGrid>
            <w:tr w14:paraId="1BDC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restart"/>
                  <w:vAlign w:val="center"/>
                </w:tcPr>
                <w:p w14:paraId="6B9E3413">
                  <w:pPr>
                    <w:jc w:val="center"/>
                    <w:rPr>
                      <w:b/>
                      <w:bCs/>
                      <w:sz w:val="21"/>
                      <w:szCs w:val="21"/>
                    </w:rPr>
                  </w:pPr>
                  <w:r>
                    <w:rPr>
                      <w:rFonts w:hint="eastAsia"/>
                      <w:b/>
                      <w:bCs/>
                      <w:sz w:val="21"/>
                      <w:szCs w:val="21"/>
                    </w:rPr>
                    <w:t>废水类别</w:t>
                  </w:r>
                </w:p>
              </w:tc>
              <w:tc>
                <w:tcPr>
                  <w:tcW w:w="1170" w:type="dxa"/>
                  <w:vMerge w:val="restart"/>
                  <w:vAlign w:val="center"/>
                </w:tcPr>
                <w:p w14:paraId="160D9444">
                  <w:pPr>
                    <w:jc w:val="center"/>
                    <w:rPr>
                      <w:b/>
                      <w:bCs/>
                      <w:sz w:val="21"/>
                      <w:szCs w:val="21"/>
                    </w:rPr>
                  </w:pPr>
                  <w:r>
                    <w:rPr>
                      <w:rFonts w:hint="eastAsia"/>
                      <w:b/>
                      <w:bCs/>
                      <w:sz w:val="21"/>
                      <w:szCs w:val="21"/>
                    </w:rPr>
                    <w:t>污染物种类</w:t>
                  </w:r>
                </w:p>
              </w:tc>
              <w:tc>
                <w:tcPr>
                  <w:tcW w:w="1954" w:type="dxa"/>
                  <w:gridSpan w:val="2"/>
                  <w:vAlign w:val="center"/>
                </w:tcPr>
                <w:p w14:paraId="57915830">
                  <w:pPr>
                    <w:jc w:val="center"/>
                    <w:rPr>
                      <w:b/>
                      <w:bCs/>
                      <w:sz w:val="21"/>
                      <w:szCs w:val="21"/>
                    </w:rPr>
                  </w:pPr>
                  <w:r>
                    <w:rPr>
                      <w:rFonts w:hint="eastAsia"/>
                      <w:b/>
                      <w:bCs/>
                      <w:sz w:val="21"/>
                      <w:szCs w:val="21"/>
                    </w:rPr>
                    <w:t>污染治理工艺</w:t>
                  </w:r>
                </w:p>
              </w:tc>
              <w:tc>
                <w:tcPr>
                  <w:tcW w:w="1084" w:type="dxa"/>
                  <w:vMerge w:val="restart"/>
                  <w:vAlign w:val="center"/>
                </w:tcPr>
                <w:p w14:paraId="652813AB">
                  <w:pPr>
                    <w:jc w:val="center"/>
                    <w:rPr>
                      <w:b/>
                      <w:bCs/>
                      <w:sz w:val="21"/>
                      <w:szCs w:val="21"/>
                    </w:rPr>
                  </w:pPr>
                  <w:r>
                    <w:rPr>
                      <w:rFonts w:hint="eastAsia"/>
                      <w:b/>
                      <w:bCs/>
                      <w:sz w:val="21"/>
                      <w:szCs w:val="21"/>
                    </w:rPr>
                    <w:t>排放去向</w:t>
                  </w:r>
                </w:p>
              </w:tc>
              <w:tc>
                <w:tcPr>
                  <w:tcW w:w="1038" w:type="dxa"/>
                  <w:vMerge w:val="restart"/>
                  <w:vAlign w:val="center"/>
                </w:tcPr>
                <w:p w14:paraId="76D077E6">
                  <w:pPr>
                    <w:jc w:val="center"/>
                    <w:rPr>
                      <w:b/>
                      <w:bCs/>
                      <w:sz w:val="21"/>
                      <w:szCs w:val="21"/>
                    </w:rPr>
                  </w:pPr>
                  <w:r>
                    <w:rPr>
                      <w:rFonts w:hint="eastAsia"/>
                      <w:b/>
                      <w:bCs/>
                      <w:sz w:val="21"/>
                      <w:szCs w:val="21"/>
                    </w:rPr>
                    <w:t>排放方式</w:t>
                  </w:r>
                </w:p>
              </w:tc>
              <w:tc>
                <w:tcPr>
                  <w:tcW w:w="1069" w:type="dxa"/>
                  <w:vMerge w:val="restart"/>
                  <w:vAlign w:val="center"/>
                </w:tcPr>
                <w:p w14:paraId="04149B46">
                  <w:pPr>
                    <w:jc w:val="center"/>
                    <w:rPr>
                      <w:b/>
                      <w:bCs/>
                      <w:sz w:val="21"/>
                      <w:szCs w:val="21"/>
                    </w:rPr>
                  </w:pPr>
                  <w:r>
                    <w:rPr>
                      <w:rFonts w:hint="eastAsia"/>
                      <w:b/>
                      <w:bCs/>
                      <w:sz w:val="21"/>
                      <w:szCs w:val="21"/>
                    </w:rPr>
                    <w:t>排放口编号</w:t>
                  </w:r>
                </w:p>
              </w:tc>
              <w:tc>
                <w:tcPr>
                  <w:tcW w:w="1007" w:type="dxa"/>
                  <w:vMerge w:val="restart"/>
                  <w:vAlign w:val="center"/>
                </w:tcPr>
                <w:p w14:paraId="7781354A">
                  <w:pPr>
                    <w:jc w:val="center"/>
                    <w:rPr>
                      <w:b/>
                      <w:bCs/>
                      <w:sz w:val="21"/>
                      <w:szCs w:val="21"/>
                    </w:rPr>
                  </w:pPr>
                  <w:r>
                    <w:rPr>
                      <w:rFonts w:hint="eastAsia"/>
                      <w:b/>
                      <w:bCs/>
                      <w:sz w:val="21"/>
                      <w:szCs w:val="21"/>
                    </w:rPr>
                    <w:t>排放口类型</w:t>
                  </w:r>
                </w:p>
              </w:tc>
            </w:tr>
            <w:tr w14:paraId="42C2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Merge w:val="continue"/>
                  <w:vAlign w:val="center"/>
                </w:tcPr>
                <w:p w14:paraId="6365B2E5">
                  <w:pPr>
                    <w:jc w:val="center"/>
                    <w:rPr>
                      <w:b/>
                      <w:bCs/>
                      <w:sz w:val="21"/>
                      <w:szCs w:val="21"/>
                    </w:rPr>
                  </w:pPr>
                </w:p>
              </w:tc>
              <w:tc>
                <w:tcPr>
                  <w:tcW w:w="1170" w:type="dxa"/>
                  <w:vMerge w:val="continue"/>
                  <w:vAlign w:val="center"/>
                </w:tcPr>
                <w:p w14:paraId="11C9D06D">
                  <w:pPr>
                    <w:jc w:val="center"/>
                    <w:rPr>
                      <w:b/>
                      <w:bCs/>
                      <w:sz w:val="21"/>
                      <w:szCs w:val="21"/>
                    </w:rPr>
                  </w:pPr>
                </w:p>
              </w:tc>
              <w:tc>
                <w:tcPr>
                  <w:tcW w:w="1145" w:type="dxa"/>
                  <w:vAlign w:val="center"/>
                </w:tcPr>
                <w:p w14:paraId="229FB28D">
                  <w:pPr>
                    <w:jc w:val="center"/>
                    <w:rPr>
                      <w:b/>
                      <w:bCs/>
                      <w:sz w:val="21"/>
                      <w:szCs w:val="21"/>
                    </w:rPr>
                  </w:pPr>
                  <w:r>
                    <w:rPr>
                      <w:rFonts w:hint="eastAsia"/>
                      <w:b/>
                      <w:bCs/>
                      <w:sz w:val="21"/>
                      <w:szCs w:val="21"/>
                    </w:rPr>
                    <w:t>治理工艺</w:t>
                  </w:r>
                </w:p>
              </w:tc>
              <w:tc>
                <w:tcPr>
                  <w:tcW w:w="809" w:type="dxa"/>
                  <w:vAlign w:val="center"/>
                </w:tcPr>
                <w:p w14:paraId="16FD1B81">
                  <w:pPr>
                    <w:jc w:val="center"/>
                    <w:rPr>
                      <w:b/>
                      <w:bCs/>
                      <w:sz w:val="21"/>
                      <w:szCs w:val="21"/>
                    </w:rPr>
                  </w:pPr>
                  <w:r>
                    <w:rPr>
                      <w:rFonts w:hint="eastAsia"/>
                      <w:b/>
                      <w:bCs/>
                      <w:sz w:val="21"/>
                      <w:szCs w:val="21"/>
                    </w:rPr>
                    <w:t>是否可行</w:t>
                  </w:r>
                </w:p>
              </w:tc>
              <w:tc>
                <w:tcPr>
                  <w:tcW w:w="1084" w:type="dxa"/>
                  <w:vMerge w:val="continue"/>
                  <w:vAlign w:val="center"/>
                </w:tcPr>
                <w:p w14:paraId="42916269">
                  <w:pPr>
                    <w:jc w:val="center"/>
                    <w:rPr>
                      <w:b/>
                      <w:bCs/>
                      <w:sz w:val="21"/>
                      <w:szCs w:val="21"/>
                    </w:rPr>
                  </w:pPr>
                </w:p>
              </w:tc>
              <w:tc>
                <w:tcPr>
                  <w:tcW w:w="1038" w:type="dxa"/>
                  <w:vMerge w:val="continue"/>
                  <w:vAlign w:val="center"/>
                </w:tcPr>
                <w:p w14:paraId="65BA5B27">
                  <w:pPr>
                    <w:jc w:val="center"/>
                    <w:rPr>
                      <w:b/>
                      <w:bCs/>
                      <w:sz w:val="21"/>
                      <w:szCs w:val="21"/>
                    </w:rPr>
                  </w:pPr>
                </w:p>
              </w:tc>
              <w:tc>
                <w:tcPr>
                  <w:tcW w:w="1069" w:type="dxa"/>
                  <w:vMerge w:val="continue"/>
                  <w:vAlign w:val="center"/>
                </w:tcPr>
                <w:p w14:paraId="6A1D1BBC">
                  <w:pPr>
                    <w:jc w:val="center"/>
                    <w:rPr>
                      <w:b/>
                      <w:bCs/>
                      <w:sz w:val="21"/>
                      <w:szCs w:val="21"/>
                    </w:rPr>
                  </w:pPr>
                </w:p>
              </w:tc>
              <w:tc>
                <w:tcPr>
                  <w:tcW w:w="1007" w:type="dxa"/>
                  <w:vMerge w:val="continue"/>
                  <w:vAlign w:val="center"/>
                </w:tcPr>
                <w:p w14:paraId="5FEBECBB">
                  <w:pPr>
                    <w:jc w:val="center"/>
                    <w:rPr>
                      <w:b/>
                      <w:bCs/>
                      <w:sz w:val="21"/>
                      <w:szCs w:val="21"/>
                    </w:rPr>
                  </w:pPr>
                </w:p>
              </w:tc>
            </w:tr>
            <w:tr w14:paraId="5368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5B03AB5B">
                  <w:pPr>
                    <w:jc w:val="center"/>
                    <w:rPr>
                      <w:sz w:val="21"/>
                      <w:szCs w:val="21"/>
                    </w:rPr>
                  </w:pPr>
                  <w:r>
                    <w:rPr>
                      <w:rFonts w:hint="eastAsia"/>
                      <w:sz w:val="21"/>
                      <w:szCs w:val="21"/>
                    </w:rPr>
                    <w:t>生活污水</w:t>
                  </w:r>
                </w:p>
              </w:tc>
              <w:tc>
                <w:tcPr>
                  <w:tcW w:w="1170" w:type="dxa"/>
                  <w:vAlign w:val="center"/>
                </w:tcPr>
                <w:p w14:paraId="2DF92888">
                  <w:pPr>
                    <w:jc w:val="center"/>
                    <w:rPr>
                      <w:sz w:val="21"/>
                      <w:szCs w:val="21"/>
                    </w:rPr>
                  </w:pPr>
                  <w:r>
                    <w:rPr>
                      <w:rFonts w:hint="eastAsia"/>
                      <w:sz w:val="21"/>
                      <w:szCs w:val="21"/>
                    </w:rPr>
                    <w:t>pH、COD、BOD</w:t>
                  </w:r>
                  <w:r>
                    <w:rPr>
                      <w:rFonts w:hint="eastAsia"/>
                      <w:sz w:val="21"/>
                      <w:szCs w:val="21"/>
                      <w:vertAlign w:val="subscript"/>
                    </w:rPr>
                    <w:t>5</w:t>
                  </w:r>
                  <w:r>
                    <w:rPr>
                      <w:rFonts w:hint="eastAsia"/>
                      <w:sz w:val="21"/>
                      <w:szCs w:val="21"/>
                    </w:rPr>
                    <w:t>、SS、</w:t>
                  </w:r>
                  <w:r>
                    <w:rPr>
                      <w:bCs/>
                      <w:snapToGrid w:val="0"/>
                      <w:kern w:val="0"/>
                      <w:sz w:val="21"/>
                      <w:szCs w:val="21"/>
                    </w:rPr>
                    <w:t>NH</w:t>
                  </w:r>
                  <w:r>
                    <w:rPr>
                      <w:bCs/>
                      <w:snapToGrid w:val="0"/>
                      <w:kern w:val="0"/>
                      <w:sz w:val="21"/>
                      <w:szCs w:val="21"/>
                      <w:vertAlign w:val="subscript"/>
                    </w:rPr>
                    <w:t>3</w:t>
                  </w:r>
                  <w:r>
                    <w:rPr>
                      <w:bCs/>
                      <w:snapToGrid w:val="0"/>
                      <w:kern w:val="0"/>
                      <w:sz w:val="21"/>
                      <w:szCs w:val="21"/>
                    </w:rPr>
                    <w:t>-N</w:t>
                  </w:r>
                </w:p>
              </w:tc>
              <w:tc>
                <w:tcPr>
                  <w:tcW w:w="1145" w:type="dxa"/>
                  <w:vAlign w:val="center"/>
                </w:tcPr>
                <w:p w14:paraId="670F8FC5">
                  <w:pPr>
                    <w:jc w:val="center"/>
                    <w:rPr>
                      <w:sz w:val="21"/>
                      <w:szCs w:val="21"/>
                    </w:rPr>
                  </w:pPr>
                  <w:r>
                    <w:rPr>
                      <w:rFonts w:hint="eastAsia"/>
                      <w:sz w:val="21"/>
                      <w:szCs w:val="21"/>
                    </w:rPr>
                    <w:t>化粪池</w:t>
                  </w:r>
                </w:p>
              </w:tc>
              <w:tc>
                <w:tcPr>
                  <w:tcW w:w="809" w:type="dxa"/>
                  <w:vAlign w:val="center"/>
                </w:tcPr>
                <w:p w14:paraId="2607A94E">
                  <w:pPr>
                    <w:jc w:val="center"/>
                    <w:rPr>
                      <w:sz w:val="21"/>
                      <w:szCs w:val="21"/>
                    </w:rPr>
                  </w:pPr>
                  <w:r>
                    <w:rPr>
                      <w:rFonts w:hint="eastAsia"/>
                      <w:sz w:val="21"/>
                      <w:szCs w:val="21"/>
                    </w:rPr>
                    <w:t>是</w:t>
                  </w:r>
                </w:p>
              </w:tc>
              <w:tc>
                <w:tcPr>
                  <w:tcW w:w="1084" w:type="dxa"/>
                  <w:vAlign w:val="center"/>
                </w:tcPr>
                <w:p w14:paraId="7C50DF05">
                  <w:pPr>
                    <w:jc w:val="center"/>
                    <w:rPr>
                      <w:sz w:val="21"/>
                      <w:szCs w:val="21"/>
                    </w:rPr>
                  </w:pPr>
                  <w:r>
                    <w:rPr>
                      <w:rFonts w:hint="eastAsia"/>
                      <w:sz w:val="21"/>
                      <w:szCs w:val="21"/>
                    </w:rPr>
                    <w:t>汴北污水处理厂</w:t>
                  </w:r>
                </w:p>
              </w:tc>
              <w:tc>
                <w:tcPr>
                  <w:tcW w:w="1038" w:type="dxa"/>
                  <w:vAlign w:val="center"/>
                </w:tcPr>
                <w:p w14:paraId="06FAC5DC">
                  <w:pPr>
                    <w:jc w:val="center"/>
                    <w:rPr>
                      <w:sz w:val="21"/>
                      <w:szCs w:val="21"/>
                    </w:rPr>
                  </w:pPr>
                  <w:r>
                    <w:rPr>
                      <w:rFonts w:hint="eastAsia"/>
                      <w:sz w:val="21"/>
                      <w:szCs w:val="21"/>
                    </w:rPr>
                    <w:t>间接排放</w:t>
                  </w:r>
                </w:p>
              </w:tc>
              <w:tc>
                <w:tcPr>
                  <w:tcW w:w="1069" w:type="dxa"/>
                  <w:vAlign w:val="center"/>
                </w:tcPr>
                <w:p w14:paraId="3E68EF84">
                  <w:pPr>
                    <w:jc w:val="center"/>
                    <w:rPr>
                      <w:sz w:val="21"/>
                      <w:szCs w:val="21"/>
                    </w:rPr>
                  </w:pPr>
                  <w:r>
                    <w:rPr>
                      <w:rFonts w:hint="eastAsia"/>
                      <w:sz w:val="21"/>
                      <w:szCs w:val="21"/>
                    </w:rPr>
                    <w:t>DW001</w:t>
                  </w:r>
                </w:p>
              </w:tc>
              <w:tc>
                <w:tcPr>
                  <w:tcW w:w="1007" w:type="dxa"/>
                  <w:vAlign w:val="center"/>
                </w:tcPr>
                <w:p w14:paraId="06FE80E1">
                  <w:pPr>
                    <w:jc w:val="center"/>
                    <w:rPr>
                      <w:sz w:val="21"/>
                      <w:szCs w:val="21"/>
                    </w:rPr>
                  </w:pPr>
                  <w:r>
                    <w:rPr>
                      <w:rFonts w:hint="eastAsia"/>
                      <w:sz w:val="21"/>
                      <w:szCs w:val="21"/>
                    </w:rPr>
                    <w:t>一般排放口</w:t>
                  </w:r>
                </w:p>
              </w:tc>
            </w:tr>
            <w:tr w14:paraId="3DDE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14:paraId="0744E26D">
                  <w:pPr>
                    <w:jc w:val="center"/>
                    <w:rPr>
                      <w:rFonts w:hint="default" w:eastAsia="宋体"/>
                      <w:sz w:val="21"/>
                      <w:szCs w:val="21"/>
                      <w:lang w:val="en-US" w:eastAsia="zh-CN"/>
                    </w:rPr>
                  </w:pPr>
                  <w:r>
                    <w:rPr>
                      <w:rFonts w:hint="eastAsia"/>
                      <w:sz w:val="21"/>
                      <w:szCs w:val="21"/>
                      <w:lang w:val="en-US" w:eastAsia="zh-CN"/>
                    </w:rPr>
                    <w:t>纯水制备产生的浓水</w:t>
                  </w:r>
                </w:p>
              </w:tc>
              <w:tc>
                <w:tcPr>
                  <w:tcW w:w="1170" w:type="dxa"/>
                  <w:vAlign w:val="center"/>
                </w:tcPr>
                <w:p w14:paraId="41AF25FB">
                  <w:pPr>
                    <w:jc w:val="center"/>
                    <w:rPr>
                      <w:sz w:val="21"/>
                      <w:szCs w:val="21"/>
                    </w:rPr>
                  </w:pPr>
                  <w:r>
                    <w:rPr>
                      <w:rFonts w:hint="eastAsia"/>
                      <w:sz w:val="21"/>
                      <w:szCs w:val="21"/>
                    </w:rPr>
                    <w:t>pH、COD、SS</w:t>
                  </w:r>
                </w:p>
              </w:tc>
              <w:tc>
                <w:tcPr>
                  <w:tcW w:w="1145" w:type="dxa"/>
                  <w:vAlign w:val="center"/>
                </w:tcPr>
                <w:p w14:paraId="11761E08">
                  <w:pPr>
                    <w:jc w:val="center"/>
                    <w:rPr>
                      <w:rFonts w:hint="eastAsia" w:eastAsia="宋体"/>
                      <w:sz w:val="21"/>
                      <w:szCs w:val="21"/>
                      <w:lang w:val="en-US" w:eastAsia="zh-CN"/>
                    </w:rPr>
                  </w:pPr>
                  <w:r>
                    <w:rPr>
                      <w:rFonts w:hint="eastAsia"/>
                      <w:sz w:val="21"/>
                      <w:szCs w:val="21"/>
                      <w:lang w:val="en-US" w:eastAsia="zh-CN"/>
                    </w:rPr>
                    <w:t>/</w:t>
                  </w:r>
                </w:p>
              </w:tc>
              <w:tc>
                <w:tcPr>
                  <w:tcW w:w="809" w:type="dxa"/>
                  <w:vAlign w:val="center"/>
                </w:tcPr>
                <w:p w14:paraId="2AB315B2">
                  <w:pPr>
                    <w:jc w:val="center"/>
                    <w:rPr>
                      <w:sz w:val="21"/>
                      <w:szCs w:val="21"/>
                    </w:rPr>
                  </w:pPr>
                  <w:r>
                    <w:rPr>
                      <w:rFonts w:hint="eastAsia"/>
                      <w:sz w:val="21"/>
                      <w:szCs w:val="21"/>
                    </w:rPr>
                    <w:t>是</w:t>
                  </w:r>
                </w:p>
              </w:tc>
              <w:tc>
                <w:tcPr>
                  <w:tcW w:w="1084" w:type="dxa"/>
                  <w:vAlign w:val="center"/>
                </w:tcPr>
                <w:p w14:paraId="3F11C751">
                  <w:pPr>
                    <w:jc w:val="center"/>
                    <w:rPr>
                      <w:sz w:val="21"/>
                      <w:szCs w:val="21"/>
                    </w:rPr>
                  </w:pPr>
                  <w:r>
                    <w:rPr>
                      <w:rFonts w:hint="eastAsia"/>
                      <w:sz w:val="21"/>
                      <w:szCs w:val="21"/>
                    </w:rPr>
                    <w:t>不外排</w:t>
                  </w:r>
                </w:p>
              </w:tc>
              <w:tc>
                <w:tcPr>
                  <w:tcW w:w="1038" w:type="dxa"/>
                  <w:vAlign w:val="center"/>
                </w:tcPr>
                <w:p w14:paraId="31AECA34">
                  <w:pPr>
                    <w:jc w:val="center"/>
                    <w:rPr>
                      <w:sz w:val="21"/>
                      <w:szCs w:val="21"/>
                    </w:rPr>
                  </w:pPr>
                  <w:r>
                    <w:rPr>
                      <w:rFonts w:hint="eastAsia"/>
                      <w:sz w:val="21"/>
                      <w:szCs w:val="21"/>
                    </w:rPr>
                    <w:t>/</w:t>
                  </w:r>
                </w:p>
              </w:tc>
              <w:tc>
                <w:tcPr>
                  <w:tcW w:w="1069" w:type="dxa"/>
                  <w:vAlign w:val="center"/>
                </w:tcPr>
                <w:p w14:paraId="6A23FBA7">
                  <w:pPr>
                    <w:jc w:val="center"/>
                    <w:rPr>
                      <w:sz w:val="21"/>
                      <w:szCs w:val="21"/>
                    </w:rPr>
                  </w:pPr>
                  <w:r>
                    <w:rPr>
                      <w:rFonts w:hint="eastAsia"/>
                      <w:sz w:val="21"/>
                      <w:szCs w:val="21"/>
                    </w:rPr>
                    <w:t>/</w:t>
                  </w:r>
                </w:p>
              </w:tc>
              <w:tc>
                <w:tcPr>
                  <w:tcW w:w="1007" w:type="dxa"/>
                  <w:vAlign w:val="center"/>
                </w:tcPr>
                <w:p w14:paraId="3BA8C86F">
                  <w:pPr>
                    <w:jc w:val="center"/>
                    <w:rPr>
                      <w:sz w:val="21"/>
                      <w:szCs w:val="21"/>
                    </w:rPr>
                  </w:pPr>
                  <w:r>
                    <w:rPr>
                      <w:rFonts w:hint="eastAsia"/>
                      <w:sz w:val="21"/>
                      <w:szCs w:val="21"/>
                    </w:rPr>
                    <w:t>/</w:t>
                  </w:r>
                </w:p>
              </w:tc>
            </w:tr>
          </w:tbl>
          <w:p w14:paraId="6E27B28C">
            <w:pPr>
              <w:adjustRightInd w:val="0"/>
              <w:snapToGrid w:val="0"/>
              <w:spacing w:before="120" w:beforeLines="50"/>
              <w:jc w:val="center"/>
              <w:rPr>
                <w:b/>
              </w:rPr>
            </w:pPr>
            <w:r>
              <w:rPr>
                <w:rFonts w:hint="eastAsia"/>
                <w:b/>
              </w:rPr>
              <w:t>表4.</w:t>
            </w:r>
            <w:r>
              <w:rPr>
                <w:rFonts w:hint="eastAsia"/>
                <w:b/>
                <w:lang w:val="en-US" w:eastAsia="zh-CN"/>
              </w:rPr>
              <w:t>5</w:t>
            </w:r>
            <w:r>
              <w:rPr>
                <w:rFonts w:hint="eastAsia"/>
                <w:b/>
              </w:rPr>
              <w:t xml:space="preserve">  项目用水及排水情况一览表  单位：t/a</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9"/>
              <w:gridCol w:w="1026"/>
              <w:gridCol w:w="783"/>
              <w:gridCol w:w="1099"/>
              <w:gridCol w:w="817"/>
              <w:gridCol w:w="817"/>
              <w:gridCol w:w="1101"/>
              <w:gridCol w:w="781"/>
              <w:gridCol w:w="818"/>
            </w:tblGrid>
            <w:tr w14:paraId="23A2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restart"/>
                  <w:shd w:val="clear" w:color="auto" w:fill="auto"/>
                  <w:tcMar>
                    <w:top w:w="15" w:type="dxa"/>
                    <w:left w:w="15" w:type="dxa"/>
                    <w:right w:w="15" w:type="dxa"/>
                  </w:tcMar>
                  <w:vAlign w:val="center"/>
                </w:tcPr>
                <w:p w14:paraId="4A493F35">
                  <w:pPr>
                    <w:widowControl/>
                    <w:jc w:val="center"/>
                    <w:textAlignment w:val="center"/>
                    <w:rPr>
                      <w:b/>
                      <w:bCs/>
                      <w:color w:val="000000"/>
                      <w:sz w:val="21"/>
                      <w:szCs w:val="21"/>
                    </w:rPr>
                  </w:pPr>
                  <w:r>
                    <w:rPr>
                      <w:b/>
                      <w:bCs/>
                      <w:color w:val="000000"/>
                      <w:kern w:val="0"/>
                      <w:sz w:val="21"/>
                      <w:szCs w:val="21"/>
                      <w:lang w:bidi="ar"/>
                    </w:rPr>
                    <w:t>污染源</w:t>
                  </w:r>
                </w:p>
              </w:tc>
              <w:tc>
                <w:tcPr>
                  <w:tcW w:w="1026" w:type="dxa"/>
                  <w:vMerge w:val="restart"/>
                  <w:shd w:val="clear" w:color="auto" w:fill="auto"/>
                  <w:tcMar>
                    <w:top w:w="15" w:type="dxa"/>
                    <w:left w:w="15" w:type="dxa"/>
                    <w:right w:w="15" w:type="dxa"/>
                  </w:tcMar>
                  <w:vAlign w:val="center"/>
                </w:tcPr>
                <w:p w14:paraId="6251193F">
                  <w:pPr>
                    <w:widowControl/>
                    <w:jc w:val="center"/>
                    <w:textAlignment w:val="center"/>
                    <w:rPr>
                      <w:b/>
                      <w:bCs/>
                      <w:color w:val="000000"/>
                      <w:sz w:val="21"/>
                      <w:szCs w:val="21"/>
                    </w:rPr>
                  </w:pPr>
                  <w:r>
                    <w:rPr>
                      <w:b/>
                      <w:bCs/>
                      <w:color w:val="000000"/>
                      <w:kern w:val="0"/>
                      <w:sz w:val="21"/>
                      <w:szCs w:val="21"/>
                      <w:lang w:bidi="ar"/>
                    </w:rPr>
                    <w:t>废水量（t/a）</w:t>
                  </w:r>
                </w:p>
              </w:tc>
              <w:tc>
                <w:tcPr>
                  <w:tcW w:w="783" w:type="dxa"/>
                  <w:vMerge w:val="restart"/>
                  <w:shd w:val="clear" w:color="auto" w:fill="auto"/>
                  <w:tcMar>
                    <w:top w:w="15" w:type="dxa"/>
                    <w:left w:w="15" w:type="dxa"/>
                    <w:right w:w="15" w:type="dxa"/>
                  </w:tcMar>
                  <w:vAlign w:val="center"/>
                </w:tcPr>
                <w:p w14:paraId="3F0F275E">
                  <w:pPr>
                    <w:widowControl/>
                    <w:jc w:val="center"/>
                    <w:textAlignment w:val="center"/>
                    <w:rPr>
                      <w:b/>
                      <w:bCs/>
                      <w:color w:val="000000"/>
                      <w:sz w:val="21"/>
                      <w:szCs w:val="21"/>
                    </w:rPr>
                  </w:pPr>
                  <w:r>
                    <w:rPr>
                      <w:b/>
                      <w:bCs/>
                      <w:color w:val="000000"/>
                      <w:kern w:val="0"/>
                      <w:sz w:val="21"/>
                      <w:szCs w:val="21"/>
                      <w:lang w:bidi="ar"/>
                    </w:rPr>
                    <w:t>污染物</w:t>
                  </w:r>
                </w:p>
              </w:tc>
              <w:tc>
                <w:tcPr>
                  <w:tcW w:w="1916" w:type="dxa"/>
                  <w:gridSpan w:val="2"/>
                  <w:shd w:val="clear" w:color="auto" w:fill="auto"/>
                  <w:tcMar>
                    <w:top w:w="15" w:type="dxa"/>
                    <w:left w:w="15" w:type="dxa"/>
                    <w:right w:w="15" w:type="dxa"/>
                  </w:tcMar>
                  <w:vAlign w:val="center"/>
                </w:tcPr>
                <w:p w14:paraId="3C7E1669">
                  <w:pPr>
                    <w:widowControl/>
                    <w:jc w:val="center"/>
                    <w:textAlignment w:val="center"/>
                    <w:rPr>
                      <w:b/>
                      <w:bCs/>
                      <w:color w:val="000000"/>
                      <w:sz w:val="21"/>
                      <w:szCs w:val="21"/>
                    </w:rPr>
                  </w:pPr>
                  <w:r>
                    <w:rPr>
                      <w:b/>
                      <w:bCs/>
                      <w:color w:val="000000"/>
                      <w:kern w:val="0"/>
                      <w:sz w:val="21"/>
                      <w:szCs w:val="21"/>
                      <w:lang w:bidi="ar"/>
                    </w:rPr>
                    <w:t>污染物产生量</w:t>
                  </w:r>
                </w:p>
              </w:tc>
              <w:tc>
                <w:tcPr>
                  <w:tcW w:w="817" w:type="dxa"/>
                  <w:vMerge w:val="restart"/>
                  <w:shd w:val="clear" w:color="auto" w:fill="auto"/>
                  <w:tcMar>
                    <w:top w:w="15" w:type="dxa"/>
                    <w:left w:w="15" w:type="dxa"/>
                    <w:right w:w="15" w:type="dxa"/>
                  </w:tcMar>
                  <w:vAlign w:val="center"/>
                </w:tcPr>
                <w:p w14:paraId="035516D6">
                  <w:pPr>
                    <w:widowControl/>
                    <w:jc w:val="center"/>
                    <w:textAlignment w:val="center"/>
                    <w:rPr>
                      <w:b/>
                      <w:bCs/>
                      <w:color w:val="000000"/>
                      <w:sz w:val="21"/>
                      <w:szCs w:val="21"/>
                    </w:rPr>
                  </w:pPr>
                  <w:r>
                    <w:rPr>
                      <w:b/>
                      <w:bCs/>
                      <w:color w:val="000000"/>
                      <w:kern w:val="0"/>
                      <w:sz w:val="21"/>
                      <w:szCs w:val="21"/>
                      <w:lang w:bidi="ar"/>
                    </w:rPr>
                    <w:t>治理措施</w:t>
                  </w:r>
                </w:p>
              </w:tc>
              <w:tc>
                <w:tcPr>
                  <w:tcW w:w="1882" w:type="dxa"/>
                  <w:gridSpan w:val="2"/>
                  <w:shd w:val="clear" w:color="auto" w:fill="auto"/>
                  <w:tcMar>
                    <w:top w:w="15" w:type="dxa"/>
                    <w:left w:w="15" w:type="dxa"/>
                    <w:right w:w="15" w:type="dxa"/>
                  </w:tcMar>
                  <w:vAlign w:val="center"/>
                </w:tcPr>
                <w:p w14:paraId="7AC719C8">
                  <w:pPr>
                    <w:widowControl/>
                    <w:jc w:val="center"/>
                    <w:textAlignment w:val="center"/>
                    <w:rPr>
                      <w:b/>
                      <w:bCs/>
                      <w:color w:val="000000"/>
                      <w:sz w:val="21"/>
                      <w:szCs w:val="21"/>
                    </w:rPr>
                  </w:pPr>
                  <w:r>
                    <w:rPr>
                      <w:b/>
                      <w:bCs/>
                      <w:color w:val="000000"/>
                      <w:kern w:val="0"/>
                      <w:sz w:val="21"/>
                      <w:szCs w:val="21"/>
                      <w:lang w:bidi="ar"/>
                    </w:rPr>
                    <w:t>污染物排放量</w:t>
                  </w:r>
                </w:p>
              </w:tc>
              <w:tc>
                <w:tcPr>
                  <w:tcW w:w="818" w:type="dxa"/>
                  <w:vMerge w:val="restart"/>
                  <w:shd w:val="clear" w:color="auto" w:fill="auto"/>
                  <w:tcMar>
                    <w:top w:w="15" w:type="dxa"/>
                    <w:left w:w="15" w:type="dxa"/>
                    <w:right w:w="15" w:type="dxa"/>
                  </w:tcMar>
                  <w:vAlign w:val="center"/>
                </w:tcPr>
                <w:p w14:paraId="5735F294">
                  <w:pPr>
                    <w:widowControl/>
                    <w:jc w:val="center"/>
                    <w:textAlignment w:val="center"/>
                    <w:rPr>
                      <w:b/>
                      <w:bCs/>
                      <w:color w:val="000000"/>
                      <w:sz w:val="21"/>
                      <w:szCs w:val="21"/>
                    </w:rPr>
                  </w:pPr>
                  <w:r>
                    <w:rPr>
                      <w:b/>
                      <w:bCs/>
                      <w:color w:val="000000"/>
                      <w:kern w:val="0"/>
                      <w:sz w:val="21"/>
                      <w:szCs w:val="21"/>
                      <w:lang w:bidi="ar"/>
                    </w:rPr>
                    <w:t>去向</w:t>
                  </w:r>
                </w:p>
              </w:tc>
            </w:tr>
            <w:tr w14:paraId="382E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continue"/>
                  <w:shd w:val="clear" w:color="auto" w:fill="auto"/>
                  <w:tcMar>
                    <w:top w:w="15" w:type="dxa"/>
                    <w:left w:w="15" w:type="dxa"/>
                    <w:right w:w="15" w:type="dxa"/>
                  </w:tcMar>
                  <w:vAlign w:val="center"/>
                </w:tcPr>
                <w:p w14:paraId="7F55AFCB">
                  <w:pPr>
                    <w:jc w:val="center"/>
                    <w:rPr>
                      <w:b/>
                      <w:bCs/>
                      <w:color w:val="000000"/>
                      <w:sz w:val="21"/>
                      <w:szCs w:val="21"/>
                    </w:rPr>
                  </w:pPr>
                </w:p>
              </w:tc>
              <w:tc>
                <w:tcPr>
                  <w:tcW w:w="1026" w:type="dxa"/>
                  <w:vMerge w:val="continue"/>
                  <w:shd w:val="clear" w:color="auto" w:fill="auto"/>
                  <w:tcMar>
                    <w:top w:w="15" w:type="dxa"/>
                    <w:left w:w="15" w:type="dxa"/>
                    <w:right w:w="15" w:type="dxa"/>
                  </w:tcMar>
                  <w:vAlign w:val="center"/>
                </w:tcPr>
                <w:p w14:paraId="68DC4782">
                  <w:pPr>
                    <w:jc w:val="center"/>
                    <w:rPr>
                      <w:b/>
                      <w:bCs/>
                      <w:color w:val="000000"/>
                      <w:sz w:val="21"/>
                      <w:szCs w:val="21"/>
                    </w:rPr>
                  </w:pPr>
                </w:p>
              </w:tc>
              <w:tc>
                <w:tcPr>
                  <w:tcW w:w="783" w:type="dxa"/>
                  <w:vMerge w:val="continue"/>
                  <w:shd w:val="clear" w:color="auto" w:fill="auto"/>
                  <w:tcMar>
                    <w:top w:w="15" w:type="dxa"/>
                    <w:left w:w="15" w:type="dxa"/>
                    <w:right w:w="15" w:type="dxa"/>
                  </w:tcMar>
                  <w:vAlign w:val="center"/>
                </w:tcPr>
                <w:p w14:paraId="5EDD8D40">
                  <w:pPr>
                    <w:jc w:val="center"/>
                    <w:rPr>
                      <w:b/>
                      <w:bCs/>
                      <w:color w:val="000000"/>
                      <w:sz w:val="21"/>
                      <w:szCs w:val="21"/>
                    </w:rPr>
                  </w:pPr>
                </w:p>
              </w:tc>
              <w:tc>
                <w:tcPr>
                  <w:tcW w:w="1099" w:type="dxa"/>
                  <w:shd w:val="clear" w:color="auto" w:fill="auto"/>
                  <w:tcMar>
                    <w:top w:w="15" w:type="dxa"/>
                    <w:left w:w="15" w:type="dxa"/>
                    <w:right w:w="15" w:type="dxa"/>
                  </w:tcMar>
                  <w:vAlign w:val="center"/>
                </w:tcPr>
                <w:p w14:paraId="2E93D398">
                  <w:pPr>
                    <w:widowControl/>
                    <w:jc w:val="center"/>
                    <w:textAlignment w:val="center"/>
                    <w:rPr>
                      <w:b/>
                      <w:bCs/>
                      <w:color w:val="000000"/>
                      <w:sz w:val="21"/>
                      <w:szCs w:val="21"/>
                    </w:rPr>
                  </w:pPr>
                  <w:r>
                    <w:rPr>
                      <w:b/>
                      <w:bCs/>
                      <w:color w:val="000000"/>
                      <w:kern w:val="0"/>
                      <w:sz w:val="21"/>
                      <w:szCs w:val="21"/>
                      <w:lang w:bidi="ar"/>
                    </w:rPr>
                    <w:t>浓度(mg/L)</w:t>
                  </w:r>
                </w:p>
              </w:tc>
              <w:tc>
                <w:tcPr>
                  <w:tcW w:w="817" w:type="dxa"/>
                  <w:shd w:val="clear" w:color="auto" w:fill="auto"/>
                  <w:tcMar>
                    <w:top w:w="15" w:type="dxa"/>
                    <w:left w:w="15" w:type="dxa"/>
                    <w:right w:w="15" w:type="dxa"/>
                  </w:tcMar>
                  <w:vAlign w:val="center"/>
                </w:tcPr>
                <w:p w14:paraId="0A332E7B">
                  <w:pPr>
                    <w:widowControl/>
                    <w:jc w:val="center"/>
                    <w:textAlignment w:val="center"/>
                    <w:rPr>
                      <w:b/>
                      <w:bCs/>
                      <w:color w:val="000000"/>
                      <w:sz w:val="21"/>
                      <w:szCs w:val="21"/>
                    </w:rPr>
                  </w:pPr>
                  <w:r>
                    <w:rPr>
                      <w:b/>
                      <w:bCs/>
                      <w:color w:val="000000"/>
                      <w:kern w:val="0"/>
                      <w:sz w:val="21"/>
                      <w:szCs w:val="21"/>
                      <w:lang w:bidi="ar"/>
                    </w:rPr>
                    <w:t>产生量(t/a)</w:t>
                  </w:r>
                </w:p>
              </w:tc>
              <w:tc>
                <w:tcPr>
                  <w:tcW w:w="817" w:type="dxa"/>
                  <w:vMerge w:val="continue"/>
                  <w:shd w:val="clear" w:color="auto" w:fill="auto"/>
                  <w:tcMar>
                    <w:top w:w="15" w:type="dxa"/>
                    <w:left w:w="15" w:type="dxa"/>
                    <w:right w:w="15" w:type="dxa"/>
                  </w:tcMar>
                  <w:vAlign w:val="center"/>
                </w:tcPr>
                <w:p w14:paraId="288C5E9A">
                  <w:pPr>
                    <w:jc w:val="center"/>
                    <w:rPr>
                      <w:b/>
                      <w:bCs/>
                      <w:color w:val="000000"/>
                      <w:sz w:val="21"/>
                      <w:szCs w:val="21"/>
                    </w:rPr>
                  </w:pPr>
                </w:p>
              </w:tc>
              <w:tc>
                <w:tcPr>
                  <w:tcW w:w="1101" w:type="dxa"/>
                  <w:shd w:val="clear" w:color="auto" w:fill="auto"/>
                  <w:tcMar>
                    <w:top w:w="15" w:type="dxa"/>
                    <w:left w:w="15" w:type="dxa"/>
                    <w:right w:w="15" w:type="dxa"/>
                  </w:tcMar>
                  <w:vAlign w:val="center"/>
                </w:tcPr>
                <w:p w14:paraId="36E0BC15">
                  <w:pPr>
                    <w:widowControl/>
                    <w:jc w:val="center"/>
                    <w:textAlignment w:val="center"/>
                    <w:rPr>
                      <w:b/>
                      <w:bCs/>
                      <w:color w:val="000000"/>
                      <w:sz w:val="21"/>
                      <w:szCs w:val="21"/>
                    </w:rPr>
                  </w:pPr>
                  <w:r>
                    <w:rPr>
                      <w:b/>
                      <w:bCs/>
                      <w:color w:val="000000"/>
                      <w:kern w:val="0"/>
                      <w:sz w:val="21"/>
                      <w:szCs w:val="21"/>
                      <w:lang w:bidi="ar"/>
                    </w:rPr>
                    <w:t>浓度(mg/L)</w:t>
                  </w:r>
                </w:p>
              </w:tc>
              <w:tc>
                <w:tcPr>
                  <w:tcW w:w="781" w:type="dxa"/>
                  <w:shd w:val="clear" w:color="auto" w:fill="auto"/>
                  <w:tcMar>
                    <w:top w:w="15" w:type="dxa"/>
                    <w:left w:w="15" w:type="dxa"/>
                    <w:right w:w="15" w:type="dxa"/>
                  </w:tcMar>
                  <w:vAlign w:val="center"/>
                </w:tcPr>
                <w:p w14:paraId="1AC17299">
                  <w:pPr>
                    <w:widowControl/>
                    <w:jc w:val="center"/>
                    <w:textAlignment w:val="center"/>
                    <w:rPr>
                      <w:b/>
                      <w:bCs/>
                      <w:color w:val="000000"/>
                      <w:sz w:val="21"/>
                      <w:szCs w:val="21"/>
                    </w:rPr>
                  </w:pPr>
                  <w:r>
                    <w:rPr>
                      <w:b/>
                      <w:bCs/>
                      <w:color w:val="000000"/>
                      <w:kern w:val="0"/>
                      <w:sz w:val="21"/>
                      <w:szCs w:val="21"/>
                      <w:lang w:bidi="ar"/>
                    </w:rPr>
                    <w:t>排放量（t/a）</w:t>
                  </w:r>
                </w:p>
              </w:tc>
              <w:tc>
                <w:tcPr>
                  <w:tcW w:w="818" w:type="dxa"/>
                  <w:vMerge w:val="continue"/>
                  <w:shd w:val="clear" w:color="auto" w:fill="auto"/>
                  <w:tcMar>
                    <w:top w:w="15" w:type="dxa"/>
                    <w:left w:w="15" w:type="dxa"/>
                    <w:right w:w="15" w:type="dxa"/>
                  </w:tcMar>
                  <w:vAlign w:val="center"/>
                </w:tcPr>
                <w:p w14:paraId="36E41049">
                  <w:pPr>
                    <w:jc w:val="center"/>
                    <w:rPr>
                      <w:b/>
                      <w:bCs/>
                      <w:color w:val="000000"/>
                      <w:sz w:val="21"/>
                      <w:szCs w:val="21"/>
                    </w:rPr>
                  </w:pPr>
                </w:p>
              </w:tc>
            </w:tr>
            <w:tr w14:paraId="556C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restart"/>
                  <w:shd w:val="clear" w:color="auto" w:fill="auto"/>
                  <w:tcMar>
                    <w:top w:w="15" w:type="dxa"/>
                    <w:left w:w="15" w:type="dxa"/>
                    <w:right w:w="15" w:type="dxa"/>
                  </w:tcMar>
                  <w:vAlign w:val="center"/>
                </w:tcPr>
                <w:p w14:paraId="68BD1BDA">
                  <w:pPr>
                    <w:widowControl/>
                    <w:jc w:val="center"/>
                    <w:textAlignment w:val="center"/>
                    <w:rPr>
                      <w:color w:val="000000"/>
                      <w:kern w:val="0"/>
                      <w:sz w:val="21"/>
                      <w:szCs w:val="21"/>
                      <w:lang w:bidi="ar"/>
                    </w:rPr>
                  </w:pPr>
                  <w:r>
                    <w:rPr>
                      <w:color w:val="000000"/>
                      <w:kern w:val="0"/>
                      <w:sz w:val="21"/>
                      <w:szCs w:val="21"/>
                      <w:lang w:bidi="ar"/>
                    </w:rPr>
                    <w:t>生活</w:t>
                  </w:r>
                </w:p>
                <w:p w14:paraId="1D59FDDF">
                  <w:pPr>
                    <w:widowControl/>
                    <w:jc w:val="center"/>
                    <w:textAlignment w:val="center"/>
                    <w:rPr>
                      <w:color w:val="000000"/>
                      <w:sz w:val="21"/>
                      <w:szCs w:val="21"/>
                    </w:rPr>
                  </w:pPr>
                  <w:r>
                    <w:rPr>
                      <w:color w:val="000000"/>
                      <w:kern w:val="0"/>
                      <w:sz w:val="21"/>
                      <w:szCs w:val="21"/>
                      <w:lang w:bidi="ar"/>
                    </w:rPr>
                    <w:t>污水</w:t>
                  </w:r>
                </w:p>
              </w:tc>
              <w:tc>
                <w:tcPr>
                  <w:tcW w:w="1026" w:type="dxa"/>
                  <w:vMerge w:val="restart"/>
                  <w:shd w:val="clear" w:color="auto" w:fill="auto"/>
                  <w:tcMar>
                    <w:top w:w="15" w:type="dxa"/>
                    <w:left w:w="15" w:type="dxa"/>
                    <w:right w:w="15" w:type="dxa"/>
                  </w:tcMar>
                  <w:vAlign w:val="center"/>
                </w:tcPr>
                <w:p w14:paraId="2AE7F440">
                  <w:pPr>
                    <w:widowControl/>
                    <w:jc w:val="center"/>
                    <w:textAlignment w:val="center"/>
                    <w:rPr>
                      <w:rFonts w:hint="default" w:eastAsia="宋体"/>
                      <w:color w:val="000000"/>
                      <w:sz w:val="21"/>
                      <w:szCs w:val="21"/>
                      <w:lang w:val="en-US" w:eastAsia="zh-CN"/>
                    </w:rPr>
                  </w:pPr>
                  <w:r>
                    <w:rPr>
                      <w:rFonts w:hint="eastAsia"/>
                      <w:color w:val="000000"/>
                      <w:sz w:val="21"/>
                      <w:szCs w:val="21"/>
                      <w:lang w:val="en-US" w:eastAsia="zh-CN"/>
                    </w:rPr>
                    <w:t>360</w:t>
                  </w:r>
                </w:p>
              </w:tc>
              <w:tc>
                <w:tcPr>
                  <w:tcW w:w="783" w:type="dxa"/>
                  <w:shd w:val="clear" w:color="auto" w:fill="auto"/>
                  <w:tcMar>
                    <w:top w:w="15" w:type="dxa"/>
                    <w:left w:w="15" w:type="dxa"/>
                    <w:right w:w="15" w:type="dxa"/>
                  </w:tcMar>
                  <w:vAlign w:val="center"/>
                </w:tcPr>
                <w:p w14:paraId="2E01AE9A">
                  <w:pPr>
                    <w:widowControl/>
                    <w:jc w:val="center"/>
                    <w:textAlignment w:val="center"/>
                    <w:rPr>
                      <w:color w:val="000000"/>
                      <w:sz w:val="21"/>
                      <w:szCs w:val="21"/>
                    </w:rPr>
                  </w:pPr>
                  <w:r>
                    <w:rPr>
                      <w:color w:val="000000"/>
                      <w:kern w:val="0"/>
                      <w:sz w:val="21"/>
                      <w:szCs w:val="21"/>
                      <w:lang w:bidi="ar"/>
                    </w:rPr>
                    <w:t>pH</w:t>
                  </w:r>
                </w:p>
              </w:tc>
              <w:tc>
                <w:tcPr>
                  <w:tcW w:w="1099" w:type="dxa"/>
                  <w:shd w:val="clear" w:color="auto" w:fill="auto"/>
                  <w:tcMar>
                    <w:top w:w="15" w:type="dxa"/>
                    <w:left w:w="15" w:type="dxa"/>
                    <w:right w:w="15" w:type="dxa"/>
                  </w:tcMar>
                  <w:vAlign w:val="center"/>
                </w:tcPr>
                <w:p w14:paraId="6F77FC2A">
                  <w:pPr>
                    <w:widowControl/>
                    <w:jc w:val="center"/>
                    <w:textAlignment w:val="center"/>
                    <w:rPr>
                      <w:color w:val="000000"/>
                      <w:sz w:val="21"/>
                      <w:szCs w:val="21"/>
                    </w:rPr>
                  </w:pPr>
                  <w:r>
                    <w:rPr>
                      <w:color w:val="000000"/>
                      <w:kern w:val="0"/>
                      <w:sz w:val="21"/>
                      <w:szCs w:val="21"/>
                      <w:lang w:bidi="ar"/>
                    </w:rPr>
                    <w:t>6~9</w:t>
                  </w:r>
                </w:p>
              </w:tc>
              <w:tc>
                <w:tcPr>
                  <w:tcW w:w="817" w:type="dxa"/>
                  <w:shd w:val="clear" w:color="auto" w:fill="auto"/>
                  <w:tcMar>
                    <w:top w:w="15" w:type="dxa"/>
                    <w:left w:w="15" w:type="dxa"/>
                    <w:right w:w="15" w:type="dxa"/>
                  </w:tcMar>
                  <w:vAlign w:val="center"/>
                </w:tcPr>
                <w:p w14:paraId="31188D77">
                  <w:pPr>
                    <w:widowControl/>
                    <w:jc w:val="center"/>
                    <w:textAlignment w:val="center"/>
                    <w:rPr>
                      <w:color w:val="000000"/>
                      <w:sz w:val="21"/>
                      <w:szCs w:val="21"/>
                    </w:rPr>
                  </w:pPr>
                  <w:r>
                    <w:rPr>
                      <w:color w:val="000000"/>
                      <w:kern w:val="0"/>
                      <w:sz w:val="21"/>
                      <w:szCs w:val="21"/>
                      <w:lang w:bidi="ar"/>
                    </w:rPr>
                    <w:t>/</w:t>
                  </w:r>
                </w:p>
              </w:tc>
              <w:tc>
                <w:tcPr>
                  <w:tcW w:w="817" w:type="dxa"/>
                  <w:vMerge w:val="restart"/>
                  <w:shd w:val="clear" w:color="auto" w:fill="auto"/>
                  <w:tcMar>
                    <w:top w:w="15" w:type="dxa"/>
                    <w:left w:w="15" w:type="dxa"/>
                    <w:right w:w="15" w:type="dxa"/>
                  </w:tcMar>
                  <w:vAlign w:val="center"/>
                </w:tcPr>
                <w:p w14:paraId="54BA220C">
                  <w:pPr>
                    <w:widowControl/>
                    <w:jc w:val="center"/>
                    <w:textAlignment w:val="center"/>
                    <w:rPr>
                      <w:color w:val="000000"/>
                      <w:sz w:val="21"/>
                      <w:szCs w:val="21"/>
                    </w:rPr>
                  </w:pPr>
                  <w:r>
                    <w:rPr>
                      <w:color w:val="000000"/>
                      <w:kern w:val="0"/>
                      <w:sz w:val="21"/>
                      <w:szCs w:val="21"/>
                      <w:lang w:bidi="ar"/>
                    </w:rPr>
                    <w:t>化粪池</w:t>
                  </w:r>
                </w:p>
              </w:tc>
              <w:tc>
                <w:tcPr>
                  <w:tcW w:w="1101" w:type="dxa"/>
                  <w:shd w:val="clear" w:color="auto" w:fill="auto"/>
                  <w:tcMar>
                    <w:top w:w="15" w:type="dxa"/>
                    <w:left w:w="15" w:type="dxa"/>
                    <w:right w:w="15" w:type="dxa"/>
                  </w:tcMar>
                  <w:vAlign w:val="center"/>
                </w:tcPr>
                <w:p w14:paraId="7E60388C">
                  <w:pPr>
                    <w:widowControl/>
                    <w:jc w:val="center"/>
                    <w:textAlignment w:val="center"/>
                    <w:rPr>
                      <w:color w:val="000000"/>
                      <w:sz w:val="21"/>
                      <w:szCs w:val="21"/>
                    </w:rPr>
                  </w:pPr>
                  <w:r>
                    <w:rPr>
                      <w:color w:val="000000"/>
                      <w:kern w:val="0"/>
                      <w:sz w:val="21"/>
                      <w:szCs w:val="21"/>
                      <w:lang w:bidi="ar"/>
                    </w:rPr>
                    <w:t>6~9</w:t>
                  </w:r>
                </w:p>
              </w:tc>
              <w:tc>
                <w:tcPr>
                  <w:tcW w:w="781" w:type="dxa"/>
                  <w:shd w:val="clear" w:color="auto" w:fill="auto"/>
                  <w:tcMar>
                    <w:top w:w="15" w:type="dxa"/>
                    <w:left w:w="15" w:type="dxa"/>
                    <w:right w:w="15" w:type="dxa"/>
                  </w:tcMar>
                  <w:vAlign w:val="center"/>
                </w:tcPr>
                <w:p w14:paraId="55DD0900">
                  <w:pPr>
                    <w:jc w:val="center"/>
                    <w:rPr>
                      <w:color w:val="000000"/>
                      <w:sz w:val="21"/>
                      <w:szCs w:val="21"/>
                    </w:rPr>
                  </w:pPr>
                  <w:r>
                    <w:rPr>
                      <w:rFonts w:hint="eastAsia"/>
                      <w:color w:val="000000"/>
                      <w:sz w:val="21"/>
                      <w:szCs w:val="21"/>
                    </w:rPr>
                    <w:t>/</w:t>
                  </w:r>
                </w:p>
              </w:tc>
              <w:tc>
                <w:tcPr>
                  <w:tcW w:w="818" w:type="dxa"/>
                  <w:vMerge w:val="restart"/>
                  <w:shd w:val="clear" w:color="auto" w:fill="auto"/>
                  <w:tcMar>
                    <w:top w:w="15" w:type="dxa"/>
                    <w:left w:w="15" w:type="dxa"/>
                    <w:right w:w="15" w:type="dxa"/>
                  </w:tcMar>
                  <w:vAlign w:val="center"/>
                </w:tcPr>
                <w:p w14:paraId="06D17528">
                  <w:pPr>
                    <w:widowControl/>
                    <w:jc w:val="center"/>
                    <w:textAlignment w:val="center"/>
                    <w:rPr>
                      <w:color w:val="000000"/>
                      <w:sz w:val="21"/>
                      <w:szCs w:val="21"/>
                    </w:rPr>
                  </w:pPr>
                  <w:r>
                    <w:rPr>
                      <w:rFonts w:hint="eastAsia"/>
                      <w:color w:val="000000"/>
                      <w:kern w:val="0"/>
                      <w:sz w:val="21"/>
                      <w:szCs w:val="21"/>
                      <w:lang w:bidi="ar"/>
                    </w:rPr>
                    <w:t>汴北污水处理厂</w:t>
                  </w:r>
                  <w:r>
                    <w:rPr>
                      <w:color w:val="000000"/>
                      <w:kern w:val="0"/>
                      <w:sz w:val="21"/>
                      <w:szCs w:val="21"/>
                      <w:lang w:bidi="ar"/>
                    </w:rPr>
                    <w:t>，最终排放至</w:t>
                  </w:r>
                  <w:r>
                    <w:rPr>
                      <w:rFonts w:hint="eastAsia"/>
                      <w:color w:val="000000"/>
                      <w:kern w:val="0"/>
                      <w:sz w:val="21"/>
                      <w:szCs w:val="21"/>
                      <w:lang w:bidi="ar"/>
                    </w:rPr>
                    <w:t>运粮河</w:t>
                  </w:r>
                </w:p>
              </w:tc>
            </w:tr>
            <w:tr w14:paraId="27C03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continue"/>
                  <w:shd w:val="clear" w:color="auto" w:fill="auto"/>
                  <w:tcMar>
                    <w:top w:w="15" w:type="dxa"/>
                    <w:left w:w="15" w:type="dxa"/>
                    <w:right w:w="15" w:type="dxa"/>
                  </w:tcMar>
                  <w:vAlign w:val="center"/>
                </w:tcPr>
                <w:p w14:paraId="673573D5">
                  <w:pPr>
                    <w:jc w:val="center"/>
                    <w:rPr>
                      <w:color w:val="000000"/>
                      <w:sz w:val="21"/>
                      <w:szCs w:val="21"/>
                    </w:rPr>
                  </w:pPr>
                </w:p>
              </w:tc>
              <w:tc>
                <w:tcPr>
                  <w:tcW w:w="1026" w:type="dxa"/>
                  <w:vMerge w:val="continue"/>
                  <w:shd w:val="clear" w:color="auto" w:fill="auto"/>
                  <w:tcMar>
                    <w:top w:w="15" w:type="dxa"/>
                    <w:left w:w="15" w:type="dxa"/>
                    <w:right w:w="15" w:type="dxa"/>
                  </w:tcMar>
                  <w:vAlign w:val="center"/>
                </w:tcPr>
                <w:p w14:paraId="7268A137">
                  <w:pPr>
                    <w:jc w:val="center"/>
                    <w:rPr>
                      <w:color w:val="000000"/>
                      <w:sz w:val="21"/>
                      <w:szCs w:val="21"/>
                    </w:rPr>
                  </w:pPr>
                </w:p>
              </w:tc>
              <w:tc>
                <w:tcPr>
                  <w:tcW w:w="783" w:type="dxa"/>
                  <w:shd w:val="clear" w:color="auto" w:fill="auto"/>
                  <w:tcMar>
                    <w:top w:w="15" w:type="dxa"/>
                    <w:left w:w="15" w:type="dxa"/>
                    <w:right w:w="15" w:type="dxa"/>
                  </w:tcMar>
                  <w:vAlign w:val="center"/>
                </w:tcPr>
                <w:p w14:paraId="64AB28ED">
                  <w:pPr>
                    <w:widowControl/>
                    <w:jc w:val="center"/>
                    <w:textAlignment w:val="center"/>
                    <w:rPr>
                      <w:color w:val="000000"/>
                      <w:sz w:val="21"/>
                      <w:szCs w:val="21"/>
                    </w:rPr>
                  </w:pPr>
                  <w:r>
                    <w:rPr>
                      <w:color w:val="000000"/>
                      <w:kern w:val="0"/>
                      <w:sz w:val="21"/>
                      <w:szCs w:val="21"/>
                      <w:lang w:bidi="ar"/>
                    </w:rPr>
                    <w:t>COD</w:t>
                  </w:r>
                </w:p>
              </w:tc>
              <w:tc>
                <w:tcPr>
                  <w:tcW w:w="1099" w:type="dxa"/>
                  <w:shd w:val="clear" w:color="auto" w:fill="auto"/>
                  <w:tcMar>
                    <w:top w:w="15" w:type="dxa"/>
                    <w:left w:w="15" w:type="dxa"/>
                    <w:right w:w="15" w:type="dxa"/>
                  </w:tcMar>
                  <w:vAlign w:val="center"/>
                </w:tcPr>
                <w:p w14:paraId="0A21FCF8">
                  <w:pPr>
                    <w:widowControl/>
                    <w:jc w:val="center"/>
                    <w:textAlignment w:val="center"/>
                    <w:rPr>
                      <w:color w:val="000000"/>
                      <w:sz w:val="21"/>
                      <w:szCs w:val="21"/>
                    </w:rPr>
                  </w:pPr>
                  <w:r>
                    <w:rPr>
                      <w:color w:val="000000"/>
                      <w:kern w:val="0"/>
                      <w:sz w:val="21"/>
                      <w:szCs w:val="21"/>
                      <w:lang w:bidi="ar"/>
                    </w:rPr>
                    <w:t>300</w:t>
                  </w:r>
                </w:p>
              </w:tc>
              <w:tc>
                <w:tcPr>
                  <w:tcW w:w="817" w:type="dxa"/>
                  <w:shd w:val="clear" w:color="auto" w:fill="auto"/>
                  <w:tcMar>
                    <w:top w:w="15" w:type="dxa"/>
                    <w:left w:w="15" w:type="dxa"/>
                    <w:right w:w="15" w:type="dxa"/>
                  </w:tcMar>
                  <w:vAlign w:val="center"/>
                </w:tcPr>
                <w:p w14:paraId="1E7511D1">
                  <w:pPr>
                    <w:widowControl/>
                    <w:jc w:val="center"/>
                    <w:textAlignment w:val="bottom"/>
                    <w:rPr>
                      <w:rFonts w:hint="default" w:eastAsia="宋体"/>
                      <w:color w:val="000000"/>
                      <w:sz w:val="21"/>
                      <w:szCs w:val="21"/>
                      <w:lang w:val="en-US" w:eastAsia="zh-CN"/>
                    </w:rPr>
                  </w:pPr>
                  <w:r>
                    <w:rPr>
                      <w:rFonts w:hint="eastAsia"/>
                      <w:color w:val="000000"/>
                      <w:sz w:val="21"/>
                      <w:szCs w:val="21"/>
                    </w:rPr>
                    <w:t>0.</w:t>
                  </w:r>
                  <w:r>
                    <w:rPr>
                      <w:rFonts w:hint="eastAsia"/>
                      <w:color w:val="000000"/>
                      <w:sz w:val="21"/>
                      <w:szCs w:val="21"/>
                      <w:lang w:val="en-US" w:eastAsia="zh-CN"/>
                    </w:rPr>
                    <w:t>108</w:t>
                  </w:r>
                </w:p>
              </w:tc>
              <w:tc>
                <w:tcPr>
                  <w:tcW w:w="817" w:type="dxa"/>
                  <w:vMerge w:val="continue"/>
                  <w:shd w:val="clear" w:color="auto" w:fill="auto"/>
                  <w:tcMar>
                    <w:top w:w="15" w:type="dxa"/>
                    <w:left w:w="15" w:type="dxa"/>
                    <w:right w:w="15" w:type="dxa"/>
                  </w:tcMar>
                  <w:vAlign w:val="center"/>
                </w:tcPr>
                <w:p w14:paraId="7032F73E">
                  <w:pPr>
                    <w:jc w:val="center"/>
                    <w:rPr>
                      <w:color w:val="000000"/>
                      <w:sz w:val="21"/>
                      <w:szCs w:val="21"/>
                    </w:rPr>
                  </w:pPr>
                </w:p>
              </w:tc>
              <w:tc>
                <w:tcPr>
                  <w:tcW w:w="1101" w:type="dxa"/>
                  <w:shd w:val="clear" w:color="auto" w:fill="auto"/>
                  <w:tcMar>
                    <w:top w:w="15" w:type="dxa"/>
                    <w:left w:w="15" w:type="dxa"/>
                    <w:right w:w="15" w:type="dxa"/>
                  </w:tcMar>
                  <w:vAlign w:val="center"/>
                </w:tcPr>
                <w:p w14:paraId="04C4139F">
                  <w:pPr>
                    <w:widowControl/>
                    <w:jc w:val="center"/>
                    <w:textAlignment w:val="center"/>
                    <w:rPr>
                      <w:color w:val="000000"/>
                      <w:sz w:val="21"/>
                      <w:szCs w:val="21"/>
                    </w:rPr>
                  </w:pPr>
                  <w:r>
                    <w:rPr>
                      <w:rFonts w:hint="eastAsia"/>
                      <w:color w:val="000000"/>
                      <w:sz w:val="21"/>
                      <w:szCs w:val="21"/>
                    </w:rPr>
                    <w:t>255</w:t>
                  </w:r>
                </w:p>
              </w:tc>
              <w:tc>
                <w:tcPr>
                  <w:tcW w:w="781" w:type="dxa"/>
                  <w:shd w:val="clear" w:color="auto" w:fill="auto"/>
                  <w:tcMar>
                    <w:top w:w="15" w:type="dxa"/>
                    <w:left w:w="15" w:type="dxa"/>
                    <w:right w:w="15" w:type="dxa"/>
                  </w:tcMar>
                  <w:vAlign w:val="center"/>
                </w:tcPr>
                <w:p w14:paraId="7B523C3C">
                  <w:pPr>
                    <w:widowControl/>
                    <w:jc w:val="center"/>
                    <w:textAlignment w:val="bottom"/>
                    <w:rPr>
                      <w:rFonts w:hint="default" w:eastAsia="宋体"/>
                      <w:color w:val="000000"/>
                      <w:sz w:val="21"/>
                      <w:szCs w:val="21"/>
                      <w:lang w:val="en-US" w:eastAsia="zh-CN"/>
                    </w:rPr>
                  </w:pPr>
                  <w:r>
                    <w:rPr>
                      <w:rFonts w:hint="eastAsia"/>
                      <w:color w:val="000000"/>
                      <w:sz w:val="21"/>
                      <w:szCs w:val="21"/>
                    </w:rPr>
                    <w:t>0.0</w:t>
                  </w:r>
                  <w:r>
                    <w:rPr>
                      <w:rFonts w:hint="eastAsia"/>
                      <w:color w:val="000000"/>
                      <w:sz w:val="21"/>
                      <w:szCs w:val="21"/>
                      <w:lang w:val="en-US" w:eastAsia="zh-CN"/>
                    </w:rPr>
                    <w:t>92</w:t>
                  </w:r>
                </w:p>
              </w:tc>
              <w:tc>
                <w:tcPr>
                  <w:tcW w:w="818" w:type="dxa"/>
                  <w:vMerge w:val="continue"/>
                  <w:shd w:val="clear" w:color="auto" w:fill="auto"/>
                  <w:tcMar>
                    <w:top w:w="15" w:type="dxa"/>
                    <w:left w:w="15" w:type="dxa"/>
                    <w:right w:w="15" w:type="dxa"/>
                  </w:tcMar>
                  <w:vAlign w:val="center"/>
                </w:tcPr>
                <w:p w14:paraId="29C076F5">
                  <w:pPr>
                    <w:jc w:val="center"/>
                    <w:rPr>
                      <w:color w:val="000000"/>
                      <w:sz w:val="21"/>
                      <w:szCs w:val="21"/>
                    </w:rPr>
                  </w:pPr>
                </w:p>
              </w:tc>
            </w:tr>
            <w:tr w14:paraId="1FAD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continue"/>
                  <w:shd w:val="clear" w:color="auto" w:fill="auto"/>
                  <w:tcMar>
                    <w:top w:w="15" w:type="dxa"/>
                    <w:left w:w="15" w:type="dxa"/>
                    <w:right w:w="15" w:type="dxa"/>
                  </w:tcMar>
                  <w:vAlign w:val="center"/>
                </w:tcPr>
                <w:p w14:paraId="304FEABB">
                  <w:pPr>
                    <w:jc w:val="center"/>
                    <w:rPr>
                      <w:color w:val="000000"/>
                      <w:sz w:val="21"/>
                      <w:szCs w:val="21"/>
                    </w:rPr>
                  </w:pPr>
                </w:p>
              </w:tc>
              <w:tc>
                <w:tcPr>
                  <w:tcW w:w="1026" w:type="dxa"/>
                  <w:vMerge w:val="continue"/>
                  <w:shd w:val="clear" w:color="auto" w:fill="auto"/>
                  <w:tcMar>
                    <w:top w:w="15" w:type="dxa"/>
                    <w:left w:w="15" w:type="dxa"/>
                    <w:right w:w="15" w:type="dxa"/>
                  </w:tcMar>
                  <w:vAlign w:val="center"/>
                </w:tcPr>
                <w:p w14:paraId="568EDE74">
                  <w:pPr>
                    <w:jc w:val="center"/>
                    <w:rPr>
                      <w:color w:val="000000"/>
                      <w:sz w:val="21"/>
                      <w:szCs w:val="21"/>
                    </w:rPr>
                  </w:pPr>
                </w:p>
              </w:tc>
              <w:tc>
                <w:tcPr>
                  <w:tcW w:w="783" w:type="dxa"/>
                  <w:shd w:val="clear" w:color="auto" w:fill="auto"/>
                  <w:tcMar>
                    <w:top w:w="15" w:type="dxa"/>
                    <w:left w:w="15" w:type="dxa"/>
                    <w:right w:w="15" w:type="dxa"/>
                  </w:tcMar>
                  <w:vAlign w:val="center"/>
                </w:tcPr>
                <w:p w14:paraId="20BE3374">
                  <w:pPr>
                    <w:widowControl/>
                    <w:jc w:val="center"/>
                    <w:textAlignment w:val="center"/>
                    <w:rPr>
                      <w:color w:val="000000"/>
                      <w:sz w:val="21"/>
                      <w:szCs w:val="21"/>
                    </w:rPr>
                  </w:pPr>
                  <w:r>
                    <w:rPr>
                      <w:color w:val="000000"/>
                      <w:kern w:val="0"/>
                      <w:sz w:val="21"/>
                      <w:szCs w:val="21"/>
                      <w:lang w:bidi="ar"/>
                    </w:rPr>
                    <w:t>BOD</w:t>
                  </w:r>
                  <w:r>
                    <w:rPr>
                      <w:color w:val="000000"/>
                      <w:kern w:val="0"/>
                      <w:sz w:val="21"/>
                      <w:szCs w:val="21"/>
                      <w:vertAlign w:val="subscript"/>
                      <w:lang w:bidi="ar"/>
                    </w:rPr>
                    <w:t>5</w:t>
                  </w:r>
                </w:p>
              </w:tc>
              <w:tc>
                <w:tcPr>
                  <w:tcW w:w="1099" w:type="dxa"/>
                  <w:shd w:val="clear" w:color="auto" w:fill="auto"/>
                  <w:tcMar>
                    <w:top w:w="15" w:type="dxa"/>
                    <w:left w:w="15" w:type="dxa"/>
                    <w:right w:w="15" w:type="dxa"/>
                  </w:tcMar>
                  <w:vAlign w:val="center"/>
                </w:tcPr>
                <w:p w14:paraId="5A753134">
                  <w:pPr>
                    <w:widowControl/>
                    <w:jc w:val="center"/>
                    <w:textAlignment w:val="center"/>
                    <w:rPr>
                      <w:color w:val="000000"/>
                      <w:sz w:val="21"/>
                      <w:szCs w:val="21"/>
                    </w:rPr>
                  </w:pPr>
                  <w:r>
                    <w:rPr>
                      <w:rFonts w:hint="eastAsia"/>
                      <w:color w:val="000000"/>
                      <w:kern w:val="0"/>
                      <w:sz w:val="21"/>
                      <w:szCs w:val="21"/>
                      <w:lang w:bidi="ar"/>
                    </w:rPr>
                    <w:t>180</w:t>
                  </w:r>
                </w:p>
              </w:tc>
              <w:tc>
                <w:tcPr>
                  <w:tcW w:w="817" w:type="dxa"/>
                  <w:shd w:val="clear" w:color="auto" w:fill="auto"/>
                  <w:tcMar>
                    <w:top w:w="15" w:type="dxa"/>
                    <w:left w:w="15" w:type="dxa"/>
                    <w:right w:w="15" w:type="dxa"/>
                  </w:tcMar>
                  <w:vAlign w:val="center"/>
                </w:tcPr>
                <w:p w14:paraId="3FFC6132">
                  <w:pPr>
                    <w:widowControl/>
                    <w:jc w:val="center"/>
                    <w:textAlignment w:val="bottom"/>
                    <w:rPr>
                      <w:rFonts w:hint="default" w:eastAsia="宋体"/>
                      <w:color w:val="000000"/>
                      <w:sz w:val="21"/>
                      <w:szCs w:val="21"/>
                      <w:lang w:val="en-US" w:eastAsia="zh-CN"/>
                    </w:rPr>
                  </w:pPr>
                  <w:r>
                    <w:rPr>
                      <w:rFonts w:hint="eastAsia"/>
                      <w:color w:val="000000"/>
                      <w:sz w:val="21"/>
                      <w:szCs w:val="21"/>
                      <w:lang w:val="en-US" w:eastAsia="zh-CN"/>
                    </w:rPr>
                    <w:t>0.065</w:t>
                  </w:r>
                </w:p>
              </w:tc>
              <w:tc>
                <w:tcPr>
                  <w:tcW w:w="817" w:type="dxa"/>
                  <w:vMerge w:val="continue"/>
                  <w:shd w:val="clear" w:color="auto" w:fill="auto"/>
                  <w:tcMar>
                    <w:top w:w="15" w:type="dxa"/>
                    <w:left w:w="15" w:type="dxa"/>
                    <w:right w:w="15" w:type="dxa"/>
                  </w:tcMar>
                  <w:vAlign w:val="center"/>
                </w:tcPr>
                <w:p w14:paraId="04744155">
                  <w:pPr>
                    <w:jc w:val="center"/>
                    <w:rPr>
                      <w:color w:val="000000"/>
                      <w:sz w:val="21"/>
                      <w:szCs w:val="21"/>
                    </w:rPr>
                  </w:pPr>
                </w:p>
              </w:tc>
              <w:tc>
                <w:tcPr>
                  <w:tcW w:w="1101" w:type="dxa"/>
                  <w:shd w:val="clear" w:color="auto" w:fill="auto"/>
                  <w:tcMar>
                    <w:top w:w="15" w:type="dxa"/>
                    <w:left w:w="15" w:type="dxa"/>
                    <w:right w:w="15" w:type="dxa"/>
                  </w:tcMar>
                  <w:vAlign w:val="center"/>
                </w:tcPr>
                <w:p w14:paraId="26753B52">
                  <w:pPr>
                    <w:widowControl/>
                    <w:jc w:val="center"/>
                    <w:textAlignment w:val="center"/>
                    <w:rPr>
                      <w:color w:val="000000"/>
                      <w:sz w:val="21"/>
                      <w:szCs w:val="21"/>
                    </w:rPr>
                  </w:pPr>
                  <w:r>
                    <w:rPr>
                      <w:rFonts w:hint="eastAsia"/>
                      <w:color w:val="000000"/>
                      <w:sz w:val="21"/>
                      <w:szCs w:val="21"/>
                    </w:rPr>
                    <w:t>162</w:t>
                  </w:r>
                </w:p>
              </w:tc>
              <w:tc>
                <w:tcPr>
                  <w:tcW w:w="781" w:type="dxa"/>
                  <w:shd w:val="clear" w:color="auto" w:fill="auto"/>
                  <w:tcMar>
                    <w:top w:w="15" w:type="dxa"/>
                    <w:left w:w="15" w:type="dxa"/>
                    <w:right w:w="15" w:type="dxa"/>
                  </w:tcMar>
                  <w:vAlign w:val="center"/>
                </w:tcPr>
                <w:p w14:paraId="20166F16">
                  <w:pPr>
                    <w:widowControl/>
                    <w:jc w:val="center"/>
                    <w:textAlignment w:val="bottom"/>
                    <w:rPr>
                      <w:rFonts w:hint="default" w:eastAsia="宋体"/>
                      <w:color w:val="000000"/>
                      <w:sz w:val="21"/>
                      <w:szCs w:val="21"/>
                      <w:lang w:val="en-US" w:eastAsia="zh-CN"/>
                    </w:rPr>
                  </w:pPr>
                  <w:r>
                    <w:rPr>
                      <w:rFonts w:hint="eastAsia"/>
                      <w:color w:val="000000"/>
                      <w:sz w:val="21"/>
                      <w:szCs w:val="21"/>
                    </w:rPr>
                    <w:t>0.0</w:t>
                  </w:r>
                  <w:r>
                    <w:rPr>
                      <w:rFonts w:hint="eastAsia"/>
                      <w:color w:val="000000"/>
                      <w:sz w:val="21"/>
                      <w:szCs w:val="21"/>
                      <w:lang w:val="en-US" w:eastAsia="zh-CN"/>
                    </w:rPr>
                    <w:t>58</w:t>
                  </w:r>
                </w:p>
              </w:tc>
              <w:tc>
                <w:tcPr>
                  <w:tcW w:w="818" w:type="dxa"/>
                  <w:vMerge w:val="continue"/>
                  <w:shd w:val="clear" w:color="auto" w:fill="auto"/>
                  <w:tcMar>
                    <w:top w:w="15" w:type="dxa"/>
                    <w:left w:w="15" w:type="dxa"/>
                    <w:right w:w="15" w:type="dxa"/>
                  </w:tcMar>
                  <w:vAlign w:val="center"/>
                </w:tcPr>
                <w:p w14:paraId="7200F7B3">
                  <w:pPr>
                    <w:jc w:val="center"/>
                    <w:rPr>
                      <w:color w:val="000000"/>
                      <w:sz w:val="21"/>
                      <w:szCs w:val="21"/>
                    </w:rPr>
                  </w:pPr>
                </w:p>
              </w:tc>
            </w:tr>
            <w:tr w14:paraId="3832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continue"/>
                  <w:shd w:val="clear" w:color="auto" w:fill="auto"/>
                  <w:tcMar>
                    <w:top w:w="15" w:type="dxa"/>
                    <w:left w:w="15" w:type="dxa"/>
                    <w:right w:w="15" w:type="dxa"/>
                  </w:tcMar>
                  <w:vAlign w:val="center"/>
                </w:tcPr>
                <w:p w14:paraId="5AC78E60">
                  <w:pPr>
                    <w:jc w:val="center"/>
                    <w:rPr>
                      <w:color w:val="000000"/>
                      <w:sz w:val="21"/>
                      <w:szCs w:val="21"/>
                    </w:rPr>
                  </w:pPr>
                </w:p>
              </w:tc>
              <w:tc>
                <w:tcPr>
                  <w:tcW w:w="1026" w:type="dxa"/>
                  <w:vMerge w:val="continue"/>
                  <w:shd w:val="clear" w:color="auto" w:fill="auto"/>
                  <w:tcMar>
                    <w:top w:w="15" w:type="dxa"/>
                    <w:left w:w="15" w:type="dxa"/>
                    <w:right w:w="15" w:type="dxa"/>
                  </w:tcMar>
                  <w:vAlign w:val="center"/>
                </w:tcPr>
                <w:p w14:paraId="5D5344EB">
                  <w:pPr>
                    <w:jc w:val="center"/>
                    <w:rPr>
                      <w:color w:val="000000"/>
                      <w:sz w:val="21"/>
                      <w:szCs w:val="21"/>
                    </w:rPr>
                  </w:pPr>
                </w:p>
              </w:tc>
              <w:tc>
                <w:tcPr>
                  <w:tcW w:w="783" w:type="dxa"/>
                  <w:shd w:val="clear" w:color="auto" w:fill="auto"/>
                  <w:tcMar>
                    <w:top w:w="15" w:type="dxa"/>
                    <w:left w:w="15" w:type="dxa"/>
                    <w:right w:w="15" w:type="dxa"/>
                  </w:tcMar>
                  <w:vAlign w:val="center"/>
                </w:tcPr>
                <w:p w14:paraId="00539C44">
                  <w:pPr>
                    <w:widowControl/>
                    <w:jc w:val="center"/>
                    <w:textAlignment w:val="center"/>
                    <w:rPr>
                      <w:color w:val="000000"/>
                      <w:sz w:val="21"/>
                      <w:szCs w:val="21"/>
                    </w:rPr>
                  </w:pPr>
                  <w:r>
                    <w:rPr>
                      <w:color w:val="000000"/>
                      <w:kern w:val="0"/>
                      <w:sz w:val="21"/>
                      <w:szCs w:val="21"/>
                      <w:lang w:bidi="ar"/>
                    </w:rPr>
                    <w:t>氨氮</w:t>
                  </w:r>
                </w:p>
              </w:tc>
              <w:tc>
                <w:tcPr>
                  <w:tcW w:w="1099" w:type="dxa"/>
                  <w:shd w:val="clear" w:color="auto" w:fill="auto"/>
                  <w:tcMar>
                    <w:top w:w="15" w:type="dxa"/>
                    <w:left w:w="15" w:type="dxa"/>
                    <w:right w:w="15" w:type="dxa"/>
                  </w:tcMar>
                  <w:vAlign w:val="center"/>
                </w:tcPr>
                <w:p w14:paraId="5085C839">
                  <w:pPr>
                    <w:widowControl/>
                    <w:jc w:val="center"/>
                    <w:textAlignment w:val="center"/>
                    <w:rPr>
                      <w:color w:val="000000"/>
                      <w:sz w:val="21"/>
                      <w:szCs w:val="21"/>
                    </w:rPr>
                  </w:pPr>
                  <w:r>
                    <w:rPr>
                      <w:color w:val="000000"/>
                      <w:kern w:val="0"/>
                      <w:sz w:val="21"/>
                      <w:szCs w:val="21"/>
                      <w:lang w:bidi="ar"/>
                    </w:rPr>
                    <w:t>25</w:t>
                  </w:r>
                </w:p>
              </w:tc>
              <w:tc>
                <w:tcPr>
                  <w:tcW w:w="817" w:type="dxa"/>
                  <w:shd w:val="clear" w:color="auto" w:fill="auto"/>
                  <w:tcMar>
                    <w:top w:w="15" w:type="dxa"/>
                    <w:left w:w="15" w:type="dxa"/>
                    <w:right w:w="15" w:type="dxa"/>
                  </w:tcMar>
                  <w:vAlign w:val="center"/>
                </w:tcPr>
                <w:p w14:paraId="1D829898">
                  <w:pPr>
                    <w:widowControl/>
                    <w:jc w:val="center"/>
                    <w:textAlignment w:val="bottom"/>
                    <w:rPr>
                      <w:rFonts w:hint="eastAsia" w:eastAsia="宋体"/>
                      <w:color w:val="000000"/>
                      <w:sz w:val="21"/>
                      <w:szCs w:val="21"/>
                      <w:lang w:val="en-US" w:eastAsia="zh-CN"/>
                    </w:rPr>
                  </w:pPr>
                  <w:r>
                    <w:rPr>
                      <w:rFonts w:hint="eastAsia"/>
                      <w:color w:val="000000"/>
                      <w:sz w:val="21"/>
                      <w:szCs w:val="21"/>
                    </w:rPr>
                    <w:t>0.00</w:t>
                  </w:r>
                  <w:r>
                    <w:rPr>
                      <w:rFonts w:hint="eastAsia"/>
                      <w:color w:val="000000"/>
                      <w:sz w:val="21"/>
                      <w:szCs w:val="21"/>
                      <w:lang w:val="en-US" w:eastAsia="zh-CN"/>
                    </w:rPr>
                    <w:t>9</w:t>
                  </w:r>
                </w:p>
              </w:tc>
              <w:tc>
                <w:tcPr>
                  <w:tcW w:w="817" w:type="dxa"/>
                  <w:vMerge w:val="continue"/>
                  <w:shd w:val="clear" w:color="auto" w:fill="auto"/>
                  <w:tcMar>
                    <w:top w:w="15" w:type="dxa"/>
                    <w:left w:w="15" w:type="dxa"/>
                    <w:right w:w="15" w:type="dxa"/>
                  </w:tcMar>
                  <w:vAlign w:val="center"/>
                </w:tcPr>
                <w:p w14:paraId="19686CF7">
                  <w:pPr>
                    <w:jc w:val="center"/>
                    <w:rPr>
                      <w:color w:val="000000"/>
                      <w:sz w:val="21"/>
                      <w:szCs w:val="21"/>
                    </w:rPr>
                  </w:pPr>
                </w:p>
              </w:tc>
              <w:tc>
                <w:tcPr>
                  <w:tcW w:w="1101" w:type="dxa"/>
                  <w:shd w:val="clear" w:color="auto" w:fill="auto"/>
                  <w:tcMar>
                    <w:top w:w="15" w:type="dxa"/>
                    <w:left w:w="15" w:type="dxa"/>
                    <w:right w:w="15" w:type="dxa"/>
                  </w:tcMar>
                  <w:vAlign w:val="center"/>
                </w:tcPr>
                <w:p w14:paraId="4322E5DE">
                  <w:pPr>
                    <w:widowControl/>
                    <w:jc w:val="center"/>
                    <w:textAlignment w:val="center"/>
                    <w:rPr>
                      <w:color w:val="000000"/>
                      <w:sz w:val="21"/>
                      <w:szCs w:val="21"/>
                    </w:rPr>
                  </w:pPr>
                  <w:r>
                    <w:rPr>
                      <w:rFonts w:hint="eastAsia"/>
                      <w:color w:val="000000"/>
                      <w:sz w:val="21"/>
                      <w:szCs w:val="21"/>
                    </w:rPr>
                    <w:t>22</w:t>
                  </w:r>
                </w:p>
              </w:tc>
              <w:tc>
                <w:tcPr>
                  <w:tcW w:w="781" w:type="dxa"/>
                  <w:shd w:val="clear" w:color="auto" w:fill="auto"/>
                  <w:tcMar>
                    <w:top w:w="15" w:type="dxa"/>
                    <w:left w:w="15" w:type="dxa"/>
                    <w:right w:w="15" w:type="dxa"/>
                  </w:tcMar>
                  <w:vAlign w:val="center"/>
                </w:tcPr>
                <w:p w14:paraId="4F28A16B">
                  <w:pPr>
                    <w:widowControl/>
                    <w:jc w:val="center"/>
                    <w:textAlignment w:val="bottom"/>
                    <w:rPr>
                      <w:rFonts w:hint="eastAsia" w:eastAsia="宋体"/>
                      <w:color w:val="000000"/>
                      <w:sz w:val="21"/>
                      <w:szCs w:val="21"/>
                      <w:lang w:val="en-US" w:eastAsia="zh-CN"/>
                    </w:rPr>
                  </w:pPr>
                  <w:r>
                    <w:rPr>
                      <w:rFonts w:hint="eastAsia"/>
                      <w:color w:val="000000"/>
                      <w:sz w:val="21"/>
                      <w:szCs w:val="21"/>
                    </w:rPr>
                    <w:t>0.00</w:t>
                  </w:r>
                  <w:r>
                    <w:rPr>
                      <w:rFonts w:hint="eastAsia"/>
                      <w:color w:val="000000"/>
                      <w:sz w:val="21"/>
                      <w:szCs w:val="21"/>
                      <w:lang w:val="en-US" w:eastAsia="zh-CN"/>
                    </w:rPr>
                    <w:t>8</w:t>
                  </w:r>
                </w:p>
              </w:tc>
              <w:tc>
                <w:tcPr>
                  <w:tcW w:w="818" w:type="dxa"/>
                  <w:vMerge w:val="continue"/>
                  <w:shd w:val="clear" w:color="auto" w:fill="auto"/>
                  <w:tcMar>
                    <w:top w:w="15" w:type="dxa"/>
                    <w:left w:w="15" w:type="dxa"/>
                    <w:right w:w="15" w:type="dxa"/>
                  </w:tcMar>
                  <w:vAlign w:val="center"/>
                </w:tcPr>
                <w:p w14:paraId="4B4603DE">
                  <w:pPr>
                    <w:jc w:val="center"/>
                    <w:rPr>
                      <w:color w:val="000000"/>
                      <w:sz w:val="21"/>
                      <w:szCs w:val="21"/>
                    </w:rPr>
                  </w:pPr>
                </w:p>
              </w:tc>
            </w:tr>
            <w:tr w14:paraId="6767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40" w:type="dxa"/>
                  <w:vMerge w:val="continue"/>
                  <w:shd w:val="clear" w:color="auto" w:fill="auto"/>
                  <w:tcMar>
                    <w:top w:w="15" w:type="dxa"/>
                    <w:left w:w="15" w:type="dxa"/>
                    <w:right w:w="15" w:type="dxa"/>
                  </w:tcMar>
                  <w:vAlign w:val="center"/>
                </w:tcPr>
                <w:p w14:paraId="3047E279">
                  <w:pPr>
                    <w:jc w:val="center"/>
                    <w:rPr>
                      <w:color w:val="000000"/>
                      <w:sz w:val="21"/>
                      <w:szCs w:val="21"/>
                    </w:rPr>
                  </w:pPr>
                </w:p>
              </w:tc>
              <w:tc>
                <w:tcPr>
                  <w:tcW w:w="1026" w:type="dxa"/>
                  <w:vMerge w:val="continue"/>
                  <w:shd w:val="clear" w:color="auto" w:fill="auto"/>
                  <w:tcMar>
                    <w:top w:w="15" w:type="dxa"/>
                    <w:left w:w="15" w:type="dxa"/>
                    <w:right w:w="15" w:type="dxa"/>
                  </w:tcMar>
                  <w:vAlign w:val="center"/>
                </w:tcPr>
                <w:p w14:paraId="13D6E2AA">
                  <w:pPr>
                    <w:jc w:val="center"/>
                    <w:rPr>
                      <w:color w:val="000000"/>
                      <w:sz w:val="21"/>
                      <w:szCs w:val="21"/>
                    </w:rPr>
                  </w:pPr>
                </w:p>
              </w:tc>
              <w:tc>
                <w:tcPr>
                  <w:tcW w:w="783" w:type="dxa"/>
                  <w:shd w:val="clear" w:color="auto" w:fill="auto"/>
                  <w:tcMar>
                    <w:top w:w="15" w:type="dxa"/>
                    <w:left w:w="15" w:type="dxa"/>
                    <w:right w:w="15" w:type="dxa"/>
                  </w:tcMar>
                  <w:vAlign w:val="center"/>
                </w:tcPr>
                <w:p w14:paraId="46677B7F">
                  <w:pPr>
                    <w:widowControl/>
                    <w:jc w:val="center"/>
                    <w:textAlignment w:val="center"/>
                    <w:rPr>
                      <w:color w:val="000000"/>
                      <w:sz w:val="21"/>
                      <w:szCs w:val="21"/>
                    </w:rPr>
                  </w:pPr>
                  <w:r>
                    <w:rPr>
                      <w:color w:val="000000"/>
                      <w:kern w:val="0"/>
                      <w:sz w:val="21"/>
                      <w:szCs w:val="21"/>
                      <w:lang w:bidi="ar"/>
                    </w:rPr>
                    <w:t>SS</w:t>
                  </w:r>
                </w:p>
              </w:tc>
              <w:tc>
                <w:tcPr>
                  <w:tcW w:w="1099" w:type="dxa"/>
                  <w:shd w:val="clear" w:color="auto" w:fill="auto"/>
                  <w:tcMar>
                    <w:top w:w="15" w:type="dxa"/>
                    <w:left w:w="15" w:type="dxa"/>
                    <w:right w:w="15" w:type="dxa"/>
                  </w:tcMar>
                  <w:vAlign w:val="center"/>
                </w:tcPr>
                <w:p w14:paraId="1DC7316D">
                  <w:pPr>
                    <w:widowControl/>
                    <w:jc w:val="center"/>
                    <w:textAlignment w:val="center"/>
                    <w:rPr>
                      <w:color w:val="000000"/>
                      <w:sz w:val="21"/>
                      <w:szCs w:val="21"/>
                    </w:rPr>
                  </w:pPr>
                  <w:r>
                    <w:rPr>
                      <w:rFonts w:hint="eastAsia"/>
                      <w:color w:val="000000"/>
                      <w:sz w:val="21"/>
                      <w:szCs w:val="21"/>
                    </w:rPr>
                    <w:t>200</w:t>
                  </w:r>
                </w:p>
              </w:tc>
              <w:tc>
                <w:tcPr>
                  <w:tcW w:w="817" w:type="dxa"/>
                  <w:shd w:val="clear" w:color="auto" w:fill="auto"/>
                  <w:tcMar>
                    <w:top w:w="15" w:type="dxa"/>
                    <w:left w:w="15" w:type="dxa"/>
                    <w:right w:w="15" w:type="dxa"/>
                  </w:tcMar>
                  <w:vAlign w:val="center"/>
                </w:tcPr>
                <w:p w14:paraId="16BB9773">
                  <w:pPr>
                    <w:widowControl/>
                    <w:jc w:val="center"/>
                    <w:textAlignment w:val="bottom"/>
                    <w:rPr>
                      <w:color w:val="000000"/>
                      <w:sz w:val="21"/>
                      <w:szCs w:val="21"/>
                    </w:rPr>
                  </w:pPr>
                  <w:r>
                    <w:rPr>
                      <w:rFonts w:hint="eastAsia"/>
                      <w:color w:val="000000"/>
                      <w:sz w:val="21"/>
                      <w:szCs w:val="21"/>
                    </w:rPr>
                    <w:t>0.0</w:t>
                  </w:r>
                  <w:r>
                    <w:rPr>
                      <w:rFonts w:hint="eastAsia"/>
                      <w:color w:val="000000"/>
                      <w:sz w:val="21"/>
                      <w:szCs w:val="21"/>
                      <w:lang w:val="en-US" w:eastAsia="zh-CN"/>
                    </w:rPr>
                    <w:t>7</w:t>
                  </w:r>
                  <w:r>
                    <w:rPr>
                      <w:rFonts w:hint="eastAsia"/>
                      <w:color w:val="000000"/>
                      <w:sz w:val="21"/>
                      <w:szCs w:val="21"/>
                    </w:rPr>
                    <w:t>2</w:t>
                  </w:r>
                </w:p>
              </w:tc>
              <w:tc>
                <w:tcPr>
                  <w:tcW w:w="817" w:type="dxa"/>
                  <w:vMerge w:val="continue"/>
                  <w:shd w:val="clear" w:color="auto" w:fill="auto"/>
                  <w:tcMar>
                    <w:top w:w="15" w:type="dxa"/>
                    <w:left w:w="15" w:type="dxa"/>
                    <w:right w:w="15" w:type="dxa"/>
                  </w:tcMar>
                  <w:vAlign w:val="center"/>
                </w:tcPr>
                <w:p w14:paraId="21FDB064">
                  <w:pPr>
                    <w:jc w:val="center"/>
                    <w:rPr>
                      <w:color w:val="000000"/>
                      <w:sz w:val="21"/>
                      <w:szCs w:val="21"/>
                    </w:rPr>
                  </w:pPr>
                </w:p>
              </w:tc>
              <w:tc>
                <w:tcPr>
                  <w:tcW w:w="1101" w:type="dxa"/>
                  <w:shd w:val="clear" w:color="auto" w:fill="auto"/>
                  <w:tcMar>
                    <w:top w:w="15" w:type="dxa"/>
                    <w:left w:w="15" w:type="dxa"/>
                    <w:right w:w="15" w:type="dxa"/>
                  </w:tcMar>
                  <w:vAlign w:val="center"/>
                </w:tcPr>
                <w:p w14:paraId="21915F9E">
                  <w:pPr>
                    <w:widowControl/>
                    <w:jc w:val="center"/>
                    <w:textAlignment w:val="center"/>
                    <w:rPr>
                      <w:color w:val="000000"/>
                      <w:sz w:val="21"/>
                      <w:szCs w:val="21"/>
                    </w:rPr>
                  </w:pPr>
                  <w:r>
                    <w:rPr>
                      <w:rFonts w:hint="eastAsia"/>
                      <w:color w:val="000000"/>
                      <w:sz w:val="21"/>
                      <w:szCs w:val="21"/>
                    </w:rPr>
                    <w:t>120</w:t>
                  </w:r>
                </w:p>
              </w:tc>
              <w:tc>
                <w:tcPr>
                  <w:tcW w:w="781" w:type="dxa"/>
                  <w:shd w:val="clear" w:color="auto" w:fill="auto"/>
                  <w:tcMar>
                    <w:top w:w="15" w:type="dxa"/>
                    <w:left w:w="15" w:type="dxa"/>
                    <w:right w:w="15" w:type="dxa"/>
                  </w:tcMar>
                  <w:vAlign w:val="center"/>
                </w:tcPr>
                <w:p w14:paraId="5242B3DB">
                  <w:pPr>
                    <w:widowControl/>
                    <w:jc w:val="center"/>
                    <w:textAlignment w:val="bottom"/>
                    <w:rPr>
                      <w:rFonts w:hint="default" w:eastAsia="宋体"/>
                      <w:color w:val="000000"/>
                      <w:sz w:val="21"/>
                      <w:szCs w:val="21"/>
                      <w:lang w:val="en-US" w:eastAsia="zh-CN"/>
                    </w:rPr>
                  </w:pPr>
                  <w:r>
                    <w:rPr>
                      <w:rFonts w:hint="eastAsia"/>
                      <w:color w:val="000000"/>
                      <w:sz w:val="21"/>
                      <w:szCs w:val="21"/>
                    </w:rPr>
                    <w:t>0.0</w:t>
                  </w:r>
                  <w:r>
                    <w:rPr>
                      <w:rFonts w:hint="eastAsia"/>
                      <w:color w:val="000000"/>
                      <w:sz w:val="21"/>
                      <w:szCs w:val="21"/>
                      <w:lang w:val="en-US" w:eastAsia="zh-CN"/>
                    </w:rPr>
                    <w:t>43</w:t>
                  </w:r>
                </w:p>
              </w:tc>
              <w:tc>
                <w:tcPr>
                  <w:tcW w:w="818" w:type="dxa"/>
                  <w:vMerge w:val="continue"/>
                  <w:shd w:val="clear" w:color="auto" w:fill="auto"/>
                  <w:tcMar>
                    <w:top w:w="15" w:type="dxa"/>
                    <w:left w:w="15" w:type="dxa"/>
                    <w:right w:w="15" w:type="dxa"/>
                  </w:tcMar>
                  <w:vAlign w:val="center"/>
                </w:tcPr>
                <w:p w14:paraId="00B567E7">
                  <w:pPr>
                    <w:jc w:val="center"/>
                    <w:rPr>
                      <w:color w:val="000000"/>
                      <w:sz w:val="21"/>
                      <w:szCs w:val="21"/>
                    </w:rPr>
                  </w:pPr>
                </w:p>
              </w:tc>
            </w:tr>
          </w:tbl>
          <w:p w14:paraId="4DC6529D">
            <w:pPr>
              <w:adjustRightInd w:val="0"/>
              <w:snapToGrid w:val="0"/>
              <w:spacing w:before="120" w:beforeLines="50" w:line="360" w:lineRule="auto"/>
              <w:ind w:firstLine="482" w:firstLineChars="200"/>
              <w:rPr>
                <w:color w:val="000000" w:themeColor="text1"/>
                <w14:textFill>
                  <w14:solidFill>
                    <w14:schemeClr w14:val="tx1"/>
                  </w14:solidFill>
                </w14:textFill>
              </w:rPr>
            </w:pPr>
            <w:r>
              <w:rPr>
                <w:rFonts w:hint="eastAsia"/>
                <w:b/>
                <w:bCs/>
              </w:rPr>
              <w:t>排放口设置及监测计划</w:t>
            </w:r>
          </w:p>
          <w:p w14:paraId="0B5C4D24">
            <w:pPr>
              <w:adjustRightInd w:val="0"/>
              <w:snapToGrid w:val="0"/>
              <w:spacing w:line="360" w:lineRule="auto"/>
              <w:ind w:firstLine="480" w:firstLineChars="200"/>
              <w:rPr>
                <w:color w:val="000000" w:themeColor="text1"/>
                <w14:textFill>
                  <w14:solidFill>
                    <w14:schemeClr w14:val="tx1"/>
                  </w14:solidFill>
                </w14:textFill>
              </w:rPr>
            </w:pPr>
            <w:r>
              <w:rPr>
                <w:rFonts w:hint="eastAsia"/>
              </w:rPr>
              <w:t>根据《排污单位自行监测技术指南 总则》（HJ819-2017）</w:t>
            </w:r>
            <w:r>
              <w:rPr>
                <w:rFonts w:hint="eastAsia"/>
                <w:color w:val="000000" w:themeColor="text1"/>
                <w14:textFill>
                  <w14:solidFill>
                    <w14:schemeClr w14:val="tx1"/>
                  </w14:solidFill>
                </w14:textFill>
              </w:rPr>
              <w:t>，单独排入公共污水处理设施的生活污水可不开展自行监测。</w:t>
            </w:r>
          </w:p>
          <w:p w14:paraId="13178A85">
            <w:pPr>
              <w:adjustRightInd w:val="0"/>
              <w:snapToGrid w:val="0"/>
              <w:spacing w:line="360" w:lineRule="auto"/>
              <w:ind w:firstLine="482" w:firstLineChars="200"/>
              <w:rPr>
                <w:b/>
                <w:bCs/>
              </w:rPr>
            </w:pPr>
            <w:r>
              <w:rPr>
                <w:rFonts w:hint="eastAsia"/>
                <w:b/>
                <w:bCs/>
              </w:rPr>
              <w:t>废水进入宿州汴北污水处理厂的可行性分析</w:t>
            </w:r>
          </w:p>
          <w:p w14:paraId="04B7B2C2">
            <w:pPr>
              <w:adjustRightInd w:val="0"/>
              <w:snapToGrid w:val="0"/>
              <w:spacing w:line="360" w:lineRule="auto"/>
              <w:ind w:firstLine="480" w:firstLineChars="200"/>
            </w:pPr>
            <w:r>
              <w:rPr>
                <w:bCs/>
              </w:rPr>
              <w:t>本项目废水为生活污水，水质简单，经化粪池处理后能满足</w:t>
            </w:r>
            <w:r>
              <w:rPr>
                <w:lang w:bidi="ar"/>
              </w:rPr>
              <w:t>《污水综合排放标准》（GB8978-1996）中的三级排放标准并满足污水处理厂接管要求，因此废水处理措施可行</w:t>
            </w:r>
            <w:r>
              <w:rPr>
                <w:bCs/>
              </w:rPr>
              <w:t>。</w:t>
            </w:r>
          </w:p>
          <w:p w14:paraId="4836383C">
            <w:pPr>
              <w:adjustRightInd w:val="0"/>
              <w:snapToGrid w:val="0"/>
              <w:spacing w:line="360" w:lineRule="auto"/>
              <w:ind w:firstLine="480" w:firstLineChars="200"/>
            </w:pPr>
            <w:r>
              <w:rPr>
                <w:rFonts w:hint="eastAsia"/>
              </w:rPr>
              <w:t>宿州市汴北污水处理厂于</w:t>
            </w:r>
            <w:r>
              <w:t>2017</w:t>
            </w:r>
            <w:r>
              <w:rPr>
                <w:rFonts w:hint="eastAsia"/>
              </w:rPr>
              <w:t>年建设，一期工程预计</w:t>
            </w:r>
            <w:r>
              <w:t>201</w:t>
            </w:r>
            <w:r>
              <w:rPr>
                <w:rFonts w:hint="eastAsia"/>
              </w:rPr>
              <w:t>8年</w:t>
            </w:r>
            <w:r>
              <w:t>6</w:t>
            </w:r>
            <w:r>
              <w:rPr>
                <w:rFonts w:hint="eastAsia"/>
              </w:rPr>
              <w:t>月底完工，安徽宿州市汴北污水处理厂采用较为先进的污水处理工艺改良</w:t>
            </w:r>
            <w:r>
              <w:t>A2/O</w:t>
            </w:r>
            <w:r>
              <w:rPr>
                <w:rFonts w:hint="eastAsia"/>
              </w:rPr>
              <w:t>，其设计规模为</w:t>
            </w:r>
            <w:r>
              <w:t>5</w:t>
            </w:r>
            <w:r>
              <w:rPr>
                <w:rFonts w:hint="eastAsia"/>
              </w:rPr>
              <w:t>万</w:t>
            </w:r>
            <w:r>
              <w:t>m</w:t>
            </w:r>
            <w:r>
              <w:rPr>
                <w:vertAlign w:val="superscript"/>
              </w:rPr>
              <w:t>3</w:t>
            </w:r>
            <w:r>
              <w:t>/d</w:t>
            </w:r>
            <w:r>
              <w:rPr>
                <w:rFonts w:hint="eastAsia"/>
              </w:rPr>
              <w:t>，先期日处理规模达到</w:t>
            </w:r>
            <w:r>
              <w:t>5</w:t>
            </w:r>
            <w:r>
              <w:rPr>
                <w:rFonts w:hint="eastAsia"/>
              </w:rPr>
              <w:t>万</w:t>
            </w:r>
            <w:r>
              <w:t>m</w:t>
            </w:r>
            <w:r>
              <w:rPr>
                <w:vertAlign w:val="superscript"/>
              </w:rPr>
              <w:t>3</w:t>
            </w:r>
            <w:r>
              <w:t>/d</w:t>
            </w:r>
            <w:r>
              <w:rPr>
                <w:rFonts w:hint="eastAsia"/>
              </w:rPr>
              <w:t>，项目投资近</w:t>
            </w:r>
            <w:r>
              <w:t>30919.34</w:t>
            </w:r>
            <w:r>
              <w:rPr>
                <w:rFonts w:hint="eastAsia"/>
              </w:rPr>
              <w:t>万元，宿州市汴北污水处理厂建设地点：北邻汴北新区唐河路，东侧为规划中的晓岚路，南接泗州路</w:t>
            </w:r>
            <w:r>
              <w:t>206</w:t>
            </w:r>
            <w:r>
              <w:rPr>
                <w:rFonts w:hint="eastAsia"/>
              </w:rPr>
              <w:t>国道东段，西接刘香庄居民区。</w:t>
            </w:r>
          </w:p>
          <w:p w14:paraId="28608FFC">
            <w:pPr>
              <w:adjustRightInd w:val="0"/>
              <w:snapToGrid w:val="0"/>
              <w:spacing w:line="360" w:lineRule="auto"/>
              <w:ind w:firstLine="480" w:firstLineChars="200"/>
            </w:pPr>
            <w:r>
              <w:rPr>
                <w:rFonts w:hint="eastAsia"/>
              </w:rPr>
              <w:t>建设规模：汴北污水处理厂工程规划建设总规模</w:t>
            </w:r>
            <w:r>
              <w:t>10</w:t>
            </w:r>
            <w:r>
              <w:rPr>
                <w:rFonts w:hint="eastAsia"/>
              </w:rPr>
              <w:t>万</w:t>
            </w:r>
            <w:r>
              <w:t>m</w:t>
            </w:r>
            <w:r>
              <w:rPr>
                <w:vertAlign w:val="superscript"/>
              </w:rPr>
              <w:t>3</w:t>
            </w:r>
            <w:r>
              <w:t>/d</w:t>
            </w:r>
            <w:r>
              <w:rPr>
                <w:rFonts w:hint="eastAsia"/>
              </w:rPr>
              <w:t>，分二期建设，一期工程规模</w:t>
            </w:r>
            <w:r>
              <w:t>5</w:t>
            </w:r>
            <w:r>
              <w:rPr>
                <w:rFonts w:hint="eastAsia"/>
              </w:rPr>
              <w:t>万</w:t>
            </w:r>
            <w:r>
              <w:t>m</w:t>
            </w:r>
            <w:r>
              <w:rPr>
                <w:vertAlign w:val="superscript"/>
              </w:rPr>
              <w:t>3</w:t>
            </w:r>
            <w:r>
              <w:t>/d</w:t>
            </w:r>
            <w:r>
              <w:rPr>
                <w:rFonts w:hint="eastAsia"/>
              </w:rPr>
              <w:t>。配套排水设施包括新建污水管线</w:t>
            </w:r>
            <w:r>
              <w:t>99.61</w:t>
            </w:r>
            <w:r>
              <w:rPr>
                <w:rFonts w:hint="eastAsia"/>
              </w:rPr>
              <w:t>公里，已建污水管线</w:t>
            </w:r>
            <w:r>
              <w:t>29</w:t>
            </w:r>
            <w:r>
              <w:rPr>
                <w:rFonts w:hint="eastAsia"/>
              </w:rPr>
              <w:t>公里，污水提升泵站</w:t>
            </w:r>
            <w:r>
              <w:t>3</w:t>
            </w:r>
            <w:r>
              <w:rPr>
                <w:rFonts w:hint="eastAsia"/>
              </w:rPr>
              <w:t>座；其中，汴北新区新建污水管线</w:t>
            </w:r>
            <w:r>
              <w:t>80.71</w:t>
            </w:r>
            <w:r>
              <w:rPr>
                <w:rFonts w:hint="eastAsia"/>
              </w:rPr>
              <w:t>公里，污水提升泵站</w:t>
            </w:r>
            <w:r>
              <w:t>2</w:t>
            </w:r>
            <w:r>
              <w:rPr>
                <w:rFonts w:hint="eastAsia"/>
              </w:rPr>
              <w:t>座；符离镇地区新建管网</w:t>
            </w:r>
            <w:r>
              <w:t>15.00</w:t>
            </w:r>
            <w:r>
              <w:rPr>
                <w:rFonts w:hint="eastAsia"/>
              </w:rPr>
              <w:t>公里，污水提升泵站</w:t>
            </w:r>
            <w:r>
              <w:t>1</w:t>
            </w:r>
            <w:r>
              <w:rPr>
                <w:rFonts w:hint="eastAsia"/>
              </w:rPr>
              <w:t>座，以及汴北污水厂出水排放至环城河的压力管线</w:t>
            </w:r>
            <w:r>
              <w:t>3.90</w:t>
            </w:r>
            <w:r>
              <w:rPr>
                <w:rFonts w:hint="eastAsia"/>
              </w:rPr>
              <w:t>公里，委托运营已建污水管网</w:t>
            </w:r>
            <w:r>
              <w:t>29</w:t>
            </w:r>
            <w:r>
              <w:rPr>
                <w:rFonts w:hint="eastAsia"/>
              </w:rPr>
              <w:t>公里。</w:t>
            </w:r>
          </w:p>
          <w:p w14:paraId="0668AFF7">
            <w:pPr>
              <w:adjustRightInd w:val="0"/>
              <w:snapToGrid w:val="0"/>
              <w:spacing w:line="360" w:lineRule="auto"/>
              <w:ind w:firstLine="480" w:firstLineChars="200"/>
            </w:pPr>
            <w:r>
              <w:rPr>
                <w:rFonts w:hint="eastAsia"/>
              </w:rPr>
              <w:t>处理工艺：采用改良</w:t>
            </w:r>
            <w:r>
              <w:t xml:space="preserve">A2/O </w:t>
            </w:r>
            <w:r>
              <w:rPr>
                <w:rFonts w:hint="eastAsia"/>
              </w:rPr>
              <w:t>生化池</w:t>
            </w:r>
            <w:r>
              <w:t>+</w:t>
            </w:r>
            <w:r>
              <w:rPr>
                <w:rFonts w:hint="eastAsia"/>
              </w:rPr>
              <w:t>高效混凝沉淀池</w:t>
            </w:r>
            <w:r>
              <w:t>+</w:t>
            </w:r>
            <w:r>
              <w:rPr>
                <w:rFonts w:hint="eastAsia"/>
              </w:rPr>
              <w:t>深床滤池</w:t>
            </w:r>
            <w:r>
              <w:t>+</w:t>
            </w:r>
            <w:r>
              <w:rPr>
                <w:rFonts w:hint="eastAsia"/>
              </w:rPr>
              <w:t>二氧化氯消毒工艺处理污水。出水水质可达《城镇污水处理厂污染物排放标准》（</w:t>
            </w:r>
            <w:r>
              <w:t>GB18918-2002</w:t>
            </w:r>
            <w:r>
              <w:rPr>
                <w:rFonts w:hint="eastAsia"/>
              </w:rPr>
              <w:t>）表</w:t>
            </w:r>
            <w:r>
              <w:t>1</w:t>
            </w:r>
            <w:r>
              <w:rPr>
                <w:rFonts w:hint="eastAsia"/>
              </w:rPr>
              <w:t>中一级</w:t>
            </w:r>
            <w:r>
              <w:t>A</w:t>
            </w:r>
            <w:r>
              <w:rPr>
                <w:rFonts w:hint="eastAsia"/>
              </w:rPr>
              <w:t>标准。宿州市汴北污水处理厂建成后将极大地改善了周围水体环境，对治理水污染，保护当地流域水质和生态平衡具有十分重要的作用。</w:t>
            </w:r>
          </w:p>
          <w:p w14:paraId="740F39EF">
            <w:pPr>
              <w:adjustRightInd w:val="0"/>
              <w:snapToGrid w:val="0"/>
              <w:spacing w:line="360" w:lineRule="auto"/>
              <w:ind w:firstLine="480" w:firstLineChars="200"/>
              <w:rPr>
                <w:color w:val="auto"/>
              </w:rPr>
            </w:pPr>
            <w:r>
              <w:rPr>
                <w:rFonts w:ascii="Times New Roman" w:hAnsi="Times New Roman"/>
                <w:color w:val="auto"/>
                <w:sz w:val="24"/>
              </w:rPr>
              <w:t>接管可行分析：根据《宿州市城市排水工程专业规划》（2012～2030），宿州市汴北污水处理厂的服务范围为汴北及符离镇。汴北服务范围：物流路以南、西环路以东、雨阳路以北、商场北路延伸段以西的区域，项目所在地为汴北污水处理厂的接管范围内（见附图），</w:t>
            </w:r>
            <w:r>
              <w:rPr>
                <w:rFonts w:hint="eastAsia"/>
                <w:color w:val="auto"/>
              </w:rPr>
              <w:t>因此该项目建成后产生的生活污水经市政污水管网进入汴北污水处理厂可行。</w:t>
            </w:r>
          </w:p>
          <w:p w14:paraId="20BE4336">
            <w:pPr>
              <w:adjustRightInd w:val="0"/>
              <w:snapToGrid w:val="0"/>
              <w:spacing w:line="360" w:lineRule="auto"/>
              <w:ind w:firstLine="480" w:firstLineChars="200"/>
            </w:pPr>
            <w:r>
              <w:rPr>
                <w:rFonts w:hint="eastAsia"/>
              </w:rPr>
              <w:t>汴北污水处理厂先期污水处理设计规模为</w:t>
            </w:r>
            <w:r>
              <w:t>5</w:t>
            </w:r>
            <w:r>
              <w:rPr>
                <w:rFonts w:hint="eastAsia"/>
              </w:rPr>
              <w:t>万</w:t>
            </w:r>
            <w:r>
              <w:t>m</w:t>
            </w:r>
            <w:r>
              <w:rPr>
                <w:vertAlign w:val="superscript"/>
              </w:rPr>
              <w:t>3</w:t>
            </w:r>
            <w:r>
              <w:t>/d</w:t>
            </w:r>
            <w:r>
              <w:rPr>
                <w:rFonts w:hint="eastAsia"/>
              </w:rPr>
              <w:t>，本项目的废水产生量为</w:t>
            </w:r>
            <w:r>
              <w:rPr>
                <w:rFonts w:hint="eastAsia"/>
                <w:lang w:val="en-US" w:eastAsia="zh-CN"/>
              </w:rPr>
              <w:t>1.2</w:t>
            </w:r>
            <w:r>
              <w:t>t/d</w:t>
            </w:r>
            <w:r>
              <w:rPr>
                <w:rFonts w:hint="eastAsia"/>
              </w:rPr>
              <w:t>，占份额较小。因此，汴北污水处理厂有足够的余量来处理本项目产生的污水。</w:t>
            </w:r>
          </w:p>
          <w:p w14:paraId="200633BD">
            <w:pPr>
              <w:adjustRightInd w:val="0"/>
              <w:snapToGrid w:val="0"/>
              <w:spacing w:line="360" w:lineRule="auto"/>
              <w:ind w:firstLine="480" w:firstLineChars="200"/>
            </w:pPr>
            <w:r>
              <w:rPr>
                <w:rFonts w:hint="eastAsia"/>
              </w:rPr>
              <w:t>综上所述，本项目废水排入汴北污水处理厂处理技术上是可行的，不会降低项目区现有水环境功能，对区域地表水环境不会造成明显影响。</w:t>
            </w:r>
          </w:p>
          <w:p w14:paraId="79650D4D">
            <w:pPr>
              <w:adjustRightInd w:val="0"/>
              <w:snapToGrid w:val="0"/>
              <w:spacing w:line="360" w:lineRule="auto"/>
              <w:rPr>
                <w:b/>
                <w:bCs/>
              </w:rPr>
            </w:pPr>
            <w:r>
              <w:rPr>
                <w:rFonts w:hint="eastAsia"/>
                <w:b/>
                <w:bCs/>
              </w:rPr>
              <w:t>三、</w:t>
            </w:r>
            <w:r>
              <w:rPr>
                <w:b/>
                <w:bCs/>
              </w:rPr>
              <w:t>噪声</w:t>
            </w:r>
          </w:p>
          <w:p w14:paraId="76DF1D9B">
            <w:pPr>
              <w:adjustRightInd w:val="0"/>
              <w:snapToGrid w:val="0"/>
              <w:spacing w:line="360" w:lineRule="auto"/>
              <w:ind w:firstLine="482" w:firstLineChars="200"/>
              <w:rPr>
                <w:color w:val="000000"/>
              </w:rPr>
            </w:pPr>
            <w:r>
              <w:rPr>
                <w:b/>
                <w:bCs/>
                <w:color w:val="000000"/>
                <w:kern w:val="0"/>
              </w:rPr>
              <w:t>1、噪声源强</w:t>
            </w:r>
          </w:p>
          <w:p w14:paraId="46D2362E">
            <w:pPr>
              <w:spacing w:line="360" w:lineRule="auto"/>
              <w:ind w:firstLine="480" w:firstLineChars="200"/>
              <w:rPr>
                <w:color w:val="000000"/>
              </w:rPr>
            </w:pPr>
            <w:r>
              <w:rPr>
                <w:color w:val="000000"/>
              </w:rPr>
              <w:t>本项目营运期主要噪声来源于设备运行产生的噪声，噪声源强约为70</w:t>
            </w:r>
            <w:r>
              <w:rPr>
                <w:rFonts w:hint="eastAsia"/>
                <w:color w:val="000000"/>
              </w:rPr>
              <w:t>~90</w:t>
            </w:r>
            <w:r>
              <w:rPr>
                <w:color w:val="000000"/>
              </w:rPr>
              <w:t>dB</w:t>
            </w:r>
            <w:r>
              <w:rPr>
                <w:rFonts w:hint="eastAsia"/>
                <w:color w:val="000000"/>
              </w:rPr>
              <w:t>（</w:t>
            </w:r>
            <w:r>
              <w:rPr>
                <w:color w:val="000000"/>
              </w:rPr>
              <w:t>A</w:t>
            </w:r>
            <w:r>
              <w:rPr>
                <w:rFonts w:hint="eastAsia"/>
                <w:color w:val="000000"/>
              </w:rPr>
              <w:t>）</w:t>
            </w:r>
            <w:r>
              <w:rPr>
                <w:color w:val="000000"/>
              </w:rPr>
              <w:t>之间，本项目对噪声较大的设备采取降噪减振措施，使厂界噪声达到《工业企业厂界环境噪声排放标准》</w:t>
            </w:r>
            <w:r>
              <w:rPr>
                <w:rFonts w:hint="eastAsia"/>
                <w:color w:val="000000"/>
              </w:rPr>
              <w:t>（</w:t>
            </w:r>
            <w:r>
              <w:rPr>
                <w:color w:val="000000"/>
              </w:rPr>
              <w:t>GB12348-2008</w:t>
            </w:r>
            <w:r>
              <w:rPr>
                <w:rFonts w:hint="eastAsia"/>
                <w:color w:val="000000"/>
              </w:rPr>
              <w:t>）</w:t>
            </w:r>
            <w:r>
              <w:rPr>
                <w:color w:val="000000"/>
              </w:rPr>
              <w:t>中3类标准详见下表。</w:t>
            </w:r>
          </w:p>
          <w:p w14:paraId="50336518">
            <w:pPr>
              <w:pStyle w:val="15"/>
              <w:adjustRightInd w:val="0"/>
              <w:snapToGrid w:val="0"/>
              <w:spacing w:after="0"/>
              <w:ind w:left="0" w:leftChars="0" w:firstLine="0"/>
              <w:jc w:val="center"/>
              <w:rPr>
                <w:b/>
                <w:bCs/>
                <w:color w:val="000000"/>
                <w:szCs w:val="24"/>
              </w:rPr>
            </w:pPr>
            <w:r>
              <w:rPr>
                <w:b/>
                <w:lang w:bidi="ar"/>
              </w:rPr>
              <w:t>表</w:t>
            </w:r>
            <w:r>
              <w:rPr>
                <w:rFonts w:hint="eastAsia"/>
                <w:b/>
                <w:lang w:bidi="ar"/>
              </w:rPr>
              <w:t>4.</w:t>
            </w:r>
            <w:r>
              <w:rPr>
                <w:rFonts w:hint="eastAsia"/>
                <w:b/>
                <w:lang w:val="en-US" w:eastAsia="zh-CN" w:bidi="ar"/>
              </w:rPr>
              <w:t>6</w:t>
            </w:r>
            <w:r>
              <w:rPr>
                <w:rFonts w:hint="eastAsia"/>
                <w:b/>
                <w:bCs/>
                <w:color w:val="000000"/>
                <w:szCs w:val="24"/>
              </w:rPr>
              <w:t xml:space="preserve"> </w:t>
            </w:r>
            <w:r>
              <w:rPr>
                <w:b/>
                <w:bCs/>
                <w:color w:val="000000"/>
                <w:szCs w:val="24"/>
              </w:rPr>
              <w:t xml:space="preserve"> 噪声污染源及源强表  单位：dB</w:t>
            </w:r>
            <w:r>
              <w:rPr>
                <w:rFonts w:hint="eastAsia"/>
                <w:b/>
                <w:bCs/>
                <w:color w:val="000000"/>
                <w:szCs w:val="24"/>
              </w:rPr>
              <w:t>（</w:t>
            </w:r>
            <w:r>
              <w:rPr>
                <w:b/>
                <w:bCs/>
                <w:color w:val="000000"/>
                <w:szCs w:val="24"/>
              </w:rPr>
              <w:t>A</w:t>
            </w:r>
            <w:r>
              <w:rPr>
                <w:rFonts w:hint="eastAsia"/>
                <w:b/>
                <w:bCs/>
                <w:color w:val="000000"/>
                <w:szCs w:val="24"/>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5"/>
              <w:gridCol w:w="565"/>
              <w:gridCol w:w="565"/>
              <w:gridCol w:w="587"/>
              <w:gridCol w:w="565"/>
              <w:gridCol w:w="565"/>
              <w:gridCol w:w="565"/>
              <w:gridCol w:w="565"/>
              <w:gridCol w:w="564"/>
              <w:gridCol w:w="583"/>
              <w:gridCol w:w="564"/>
              <w:gridCol w:w="583"/>
              <w:gridCol w:w="583"/>
              <w:gridCol w:w="565"/>
            </w:tblGrid>
            <w:tr w14:paraId="1337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pct"/>
                  <w:vMerge w:val="restart"/>
                  <w:tcMar>
                    <w:top w:w="12" w:type="dxa"/>
                    <w:left w:w="12" w:type="dxa"/>
                    <w:bottom w:w="0" w:type="dxa"/>
                    <w:right w:w="12" w:type="dxa"/>
                  </w:tcMar>
                  <w:vAlign w:val="center"/>
                </w:tcPr>
                <w:p w14:paraId="72AF5805">
                  <w:pPr>
                    <w:adjustRightInd w:val="0"/>
                    <w:snapToGrid w:val="0"/>
                    <w:jc w:val="center"/>
                    <w:rPr>
                      <w:b/>
                      <w:sz w:val="21"/>
                      <w:szCs w:val="21"/>
                    </w:rPr>
                  </w:pPr>
                  <w:r>
                    <w:rPr>
                      <w:rFonts w:hint="eastAsia"/>
                      <w:b/>
                      <w:sz w:val="21"/>
                      <w:szCs w:val="21"/>
                    </w:rPr>
                    <w:t>建筑物名称</w:t>
                  </w:r>
                </w:p>
              </w:tc>
              <w:tc>
                <w:tcPr>
                  <w:tcW w:w="353" w:type="pct"/>
                  <w:vMerge w:val="restart"/>
                  <w:vAlign w:val="center"/>
                </w:tcPr>
                <w:p w14:paraId="08F510E2">
                  <w:pPr>
                    <w:adjustRightInd w:val="0"/>
                    <w:snapToGrid w:val="0"/>
                    <w:jc w:val="center"/>
                    <w:rPr>
                      <w:b/>
                      <w:sz w:val="21"/>
                      <w:szCs w:val="21"/>
                    </w:rPr>
                  </w:pPr>
                  <w:r>
                    <w:rPr>
                      <w:rFonts w:hint="eastAsia"/>
                      <w:b/>
                      <w:sz w:val="21"/>
                      <w:szCs w:val="21"/>
                    </w:rPr>
                    <w:t>声源名称</w:t>
                  </w:r>
                </w:p>
              </w:tc>
              <w:tc>
                <w:tcPr>
                  <w:tcW w:w="353" w:type="pct"/>
                  <w:vMerge w:val="restart"/>
                  <w:vAlign w:val="center"/>
                </w:tcPr>
                <w:p w14:paraId="38FF6B22">
                  <w:pPr>
                    <w:adjustRightInd w:val="0"/>
                    <w:snapToGrid w:val="0"/>
                    <w:jc w:val="center"/>
                    <w:rPr>
                      <w:b/>
                      <w:sz w:val="21"/>
                      <w:szCs w:val="21"/>
                    </w:rPr>
                  </w:pPr>
                  <w:r>
                    <w:rPr>
                      <w:rFonts w:hint="eastAsia"/>
                      <w:b/>
                      <w:sz w:val="21"/>
                      <w:szCs w:val="21"/>
                    </w:rPr>
                    <w:t>数量（台）</w:t>
                  </w:r>
                </w:p>
              </w:tc>
              <w:tc>
                <w:tcPr>
                  <w:tcW w:w="367" w:type="pct"/>
                  <w:vMerge w:val="restart"/>
                  <w:vAlign w:val="center"/>
                </w:tcPr>
                <w:p w14:paraId="072B19C0">
                  <w:pPr>
                    <w:adjustRightInd w:val="0"/>
                    <w:snapToGrid w:val="0"/>
                    <w:jc w:val="center"/>
                    <w:rPr>
                      <w:b/>
                      <w:sz w:val="21"/>
                      <w:szCs w:val="21"/>
                    </w:rPr>
                  </w:pPr>
                  <w:r>
                    <w:rPr>
                      <w:rFonts w:hint="eastAsia"/>
                      <w:b/>
                      <w:sz w:val="21"/>
                      <w:szCs w:val="21"/>
                    </w:rPr>
                    <w:t>声功率级/dB（A）</w:t>
                  </w:r>
                </w:p>
              </w:tc>
              <w:tc>
                <w:tcPr>
                  <w:tcW w:w="353" w:type="pct"/>
                  <w:vMerge w:val="restart"/>
                  <w:vAlign w:val="center"/>
                </w:tcPr>
                <w:p w14:paraId="609EF3BC">
                  <w:pPr>
                    <w:adjustRightInd w:val="0"/>
                    <w:snapToGrid w:val="0"/>
                    <w:jc w:val="center"/>
                    <w:rPr>
                      <w:b/>
                      <w:sz w:val="21"/>
                      <w:szCs w:val="21"/>
                    </w:rPr>
                  </w:pPr>
                  <w:r>
                    <w:rPr>
                      <w:rFonts w:hint="eastAsia"/>
                      <w:b/>
                      <w:sz w:val="21"/>
                      <w:szCs w:val="21"/>
                    </w:rPr>
                    <w:t>声源控制措施</w:t>
                  </w:r>
                </w:p>
              </w:tc>
              <w:tc>
                <w:tcPr>
                  <w:tcW w:w="1061" w:type="pct"/>
                  <w:gridSpan w:val="3"/>
                  <w:vAlign w:val="center"/>
                </w:tcPr>
                <w:p w14:paraId="4AD025CC">
                  <w:pPr>
                    <w:adjustRightInd w:val="0"/>
                    <w:snapToGrid w:val="0"/>
                    <w:jc w:val="center"/>
                    <w:rPr>
                      <w:b/>
                      <w:sz w:val="21"/>
                      <w:szCs w:val="21"/>
                    </w:rPr>
                  </w:pPr>
                  <w:r>
                    <w:rPr>
                      <w:rFonts w:hint="eastAsia"/>
                      <w:b/>
                      <w:sz w:val="21"/>
                      <w:szCs w:val="21"/>
                    </w:rPr>
                    <w:t>空间相对位置</w:t>
                  </w:r>
                </w:p>
              </w:tc>
              <w:tc>
                <w:tcPr>
                  <w:tcW w:w="353" w:type="pct"/>
                  <w:vMerge w:val="restart"/>
                  <w:vAlign w:val="center"/>
                </w:tcPr>
                <w:p w14:paraId="2434328C">
                  <w:pPr>
                    <w:adjustRightInd w:val="0"/>
                    <w:snapToGrid w:val="0"/>
                    <w:jc w:val="center"/>
                    <w:rPr>
                      <w:b/>
                      <w:sz w:val="21"/>
                      <w:szCs w:val="21"/>
                    </w:rPr>
                  </w:pPr>
                  <w:r>
                    <w:rPr>
                      <w:rFonts w:hint="eastAsia"/>
                      <w:b/>
                      <w:sz w:val="21"/>
                      <w:szCs w:val="21"/>
                    </w:rPr>
                    <w:t>距离室内边界距离/m</w:t>
                  </w:r>
                </w:p>
              </w:tc>
              <w:tc>
                <w:tcPr>
                  <w:tcW w:w="365" w:type="pct"/>
                  <w:vMerge w:val="restart"/>
                  <w:vAlign w:val="center"/>
                </w:tcPr>
                <w:p w14:paraId="5C372271">
                  <w:pPr>
                    <w:adjustRightInd w:val="0"/>
                    <w:snapToGrid w:val="0"/>
                    <w:jc w:val="center"/>
                    <w:rPr>
                      <w:b/>
                      <w:sz w:val="21"/>
                      <w:szCs w:val="21"/>
                    </w:rPr>
                  </w:pPr>
                  <w:r>
                    <w:rPr>
                      <w:rFonts w:hint="eastAsia"/>
                      <w:b/>
                      <w:sz w:val="21"/>
                      <w:szCs w:val="21"/>
                    </w:rPr>
                    <w:t>室内边界声级/dB（A）</w:t>
                  </w:r>
                </w:p>
              </w:tc>
              <w:tc>
                <w:tcPr>
                  <w:tcW w:w="353" w:type="pct"/>
                  <w:vMerge w:val="restart"/>
                  <w:vAlign w:val="center"/>
                </w:tcPr>
                <w:p w14:paraId="4B8D8427">
                  <w:pPr>
                    <w:adjustRightInd w:val="0"/>
                    <w:snapToGrid w:val="0"/>
                    <w:jc w:val="center"/>
                    <w:rPr>
                      <w:b/>
                      <w:sz w:val="21"/>
                      <w:szCs w:val="21"/>
                    </w:rPr>
                  </w:pPr>
                  <w:r>
                    <w:rPr>
                      <w:rFonts w:hint="eastAsia"/>
                      <w:b/>
                      <w:sz w:val="21"/>
                      <w:szCs w:val="21"/>
                    </w:rPr>
                    <w:t>运行时段（年运行时间）</w:t>
                  </w:r>
                </w:p>
              </w:tc>
              <w:tc>
                <w:tcPr>
                  <w:tcW w:w="365" w:type="pct"/>
                  <w:vMerge w:val="restart"/>
                  <w:vAlign w:val="center"/>
                </w:tcPr>
                <w:p w14:paraId="4810A895">
                  <w:pPr>
                    <w:adjustRightInd w:val="0"/>
                    <w:snapToGrid w:val="0"/>
                    <w:jc w:val="center"/>
                    <w:rPr>
                      <w:b/>
                      <w:sz w:val="21"/>
                      <w:szCs w:val="21"/>
                    </w:rPr>
                  </w:pPr>
                  <w:r>
                    <w:rPr>
                      <w:rFonts w:hint="eastAsia"/>
                      <w:b/>
                      <w:sz w:val="21"/>
                      <w:szCs w:val="21"/>
                    </w:rPr>
                    <w:t>建筑物插入损失/dB（A）</w:t>
                  </w:r>
                </w:p>
              </w:tc>
              <w:tc>
                <w:tcPr>
                  <w:tcW w:w="718" w:type="pct"/>
                  <w:gridSpan w:val="2"/>
                  <w:vAlign w:val="center"/>
                </w:tcPr>
                <w:p w14:paraId="191AD8F2">
                  <w:pPr>
                    <w:adjustRightInd w:val="0"/>
                    <w:snapToGrid w:val="0"/>
                    <w:jc w:val="center"/>
                    <w:rPr>
                      <w:b/>
                      <w:sz w:val="21"/>
                      <w:szCs w:val="21"/>
                    </w:rPr>
                  </w:pPr>
                  <w:r>
                    <w:rPr>
                      <w:rFonts w:hint="eastAsia"/>
                      <w:b/>
                      <w:sz w:val="21"/>
                      <w:szCs w:val="21"/>
                    </w:rPr>
                    <w:t>建筑物外噪声</w:t>
                  </w:r>
                </w:p>
              </w:tc>
            </w:tr>
            <w:tr w14:paraId="76EB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53" w:type="pct"/>
                  <w:vMerge w:val="continue"/>
                  <w:tcMar>
                    <w:top w:w="12" w:type="dxa"/>
                    <w:left w:w="12" w:type="dxa"/>
                    <w:bottom w:w="0" w:type="dxa"/>
                    <w:right w:w="12" w:type="dxa"/>
                  </w:tcMar>
                  <w:vAlign w:val="center"/>
                </w:tcPr>
                <w:p w14:paraId="2CC69CF3">
                  <w:pPr>
                    <w:jc w:val="center"/>
                    <w:rPr>
                      <w:bCs/>
                      <w:sz w:val="21"/>
                      <w:szCs w:val="21"/>
                    </w:rPr>
                  </w:pPr>
                </w:p>
              </w:tc>
              <w:tc>
                <w:tcPr>
                  <w:tcW w:w="353" w:type="pct"/>
                  <w:vMerge w:val="continue"/>
                  <w:vAlign w:val="center"/>
                </w:tcPr>
                <w:p w14:paraId="735DFF62">
                  <w:pPr>
                    <w:jc w:val="center"/>
                    <w:rPr>
                      <w:bCs/>
                      <w:sz w:val="21"/>
                      <w:szCs w:val="21"/>
                    </w:rPr>
                  </w:pPr>
                </w:p>
              </w:tc>
              <w:tc>
                <w:tcPr>
                  <w:tcW w:w="353" w:type="pct"/>
                  <w:vMerge w:val="continue"/>
                  <w:vAlign w:val="center"/>
                </w:tcPr>
                <w:p w14:paraId="1EA01304">
                  <w:pPr>
                    <w:jc w:val="center"/>
                    <w:rPr>
                      <w:bCs/>
                      <w:sz w:val="21"/>
                      <w:szCs w:val="21"/>
                    </w:rPr>
                  </w:pPr>
                </w:p>
              </w:tc>
              <w:tc>
                <w:tcPr>
                  <w:tcW w:w="367" w:type="pct"/>
                  <w:vMerge w:val="continue"/>
                  <w:vAlign w:val="center"/>
                </w:tcPr>
                <w:p w14:paraId="3F7CD65D">
                  <w:pPr>
                    <w:jc w:val="center"/>
                    <w:rPr>
                      <w:bCs/>
                      <w:sz w:val="21"/>
                      <w:szCs w:val="21"/>
                    </w:rPr>
                  </w:pPr>
                </w:p>
              </w:tc>
              <w:tc>
                <w:tcPr>
                  <w:tcW w:w="353" w:type="pct"/>
                  <w:vMerge w:val="continue"/>
                  <w:vAlign w:val="center"/>
                </w:tcPr>
                <w:p w14:paraId="2C2F7A54">
                  <w:pPr>
                    <w:jc w:val="center"/>
                    <w:rPr>
                      <w:bCs/>
                      <w:sz w:val="21"/>
                      <w:szCs w:val="21"/>
                    </w:rPr>
                  </w:pPr>
                </w:p>
              </w:tc>
              <w:tc>
                <w:tcPr>
                  <w:tcW w:w="353" w:type="pct"/>
                  <w:vAlign w:val="center"/>
                </w:tcPr>
                <w:p w14:paraId="0F36928F">
                  <w:pPr>
                    <w:jc w:val="center"/>
                    <w:rPr>
                      <w:bCs/>
                      <w:sz w:val="21"/>
                      <w:szCs w:val="21"/>
                    </w:rPr>
                  </w:pPr>
                  <w:r>
                    <w:rPr>
                      <w:rFonts w:hint="eastAsia"/>
                      <w:bCs/>
                      <w:sz w:val="21"/>
                      <w:szCs w:val="21"/>
                    </w:rPr>
                    <w:t>X</w:t>
                  </w:r>
                </w:p>
              </w:tc>
              <w:tc>
                <w:tcPr>
                  <w:tcW w:w="353" w:type="pct"/>
                  <w:vAlign w:val="center"/>
                </w:tcPr>
                <w:p w14:paraId="071D2326">
                  <w:pPr>
                    <w:jc w:val="center"/>
                    <w:rPr>
                      <w:bCs/>
                      <w:sz w:val="21"/>
                      <w:szCs w:val="21"/>
                    </w:rPr>
                  </w:pPr>
                  <w:r>
                    <w:rPr>
                      <w:rFonts w:hint="eastAsia"/>
                      <w:bCs/>
                      <w:sz w:val="21"/>
                      <w:szCs w:val="21"/>
                    </w:rPr>
                    <w:t>Y</w:t>
                  </w:r>
                </w:p>
              </w:tc>
              <w:tc>
                <w:tcPr>
                  <w:tcW w:w="353" w:type="pct"/>
                  <w:vAlign w:val="center"/>
                </w:tcPr>
                <w:p w14:paraId="3627927F">
                  <w:pPr>
                    <w:jc w:val="center"/>
                    <w:rPr>
                      <w:bCs/>
                      <w:sz w:val="21"/>
                      <w:szCs w:val="21"/>
                    </w:rPr>
                  </w:pPr>
                  <w:r>
                    <w:rPr>
                      <w:rFonts w:hint="eastAsia"/>
                      <w:bCs/>
                      <w:sz w:val="21"/>
                      <w:szCs w:val="21"/>
                    </w:rPr>
                    <w:t>Z</w:t>
                  </w:r>
                </w:p>
              </w:tc>
              <w:tc>
                <w:tcPr>
                  <w:tcW w:w="353" w:type="pct"/>
                  <w:vMerge w:val="continue"/>
                  <w:vAlign w:val="center"/>
                </w:tcPr>
                <w:p w14:paraId="1A4C4B82">
                  <w:pPr>
                    <w:jc w:val="center"/>
                    <w:rPr>
                      <w:bCs/>
                      <w:sz w:val="21"/>
                      <w:szCs w:val="21"/>
                    </w:rPr>
                  </w:pPr>
                </w:p>
              </w:tc>
              <w:tc>
                <w:tcPr>
                  <w:tcW w:w="365" w:type="pct"/>
                  <w:vMerge w:val="continue"/>
                  <w:vAlign w:val="center"/>
                </w:tcPr>
                <w:p w14:paraId="6380D50C">
                  <w:pPr>
                    <w:jc w:val="center"/>
                    <w:rPr>
                      <w:bCs/>
                      <w:sz w:val="21"/>
                      <w:szCs w:val="21"/>
                    </w:rPr>
                  </w:pPr>
                </w:p>
              </w:tc>
              <w:tc>
                <w:tcPr>
                  <w:tcW w:w="353" w:type="pct"/>
                  <w:vMerge w:val="continue"/>
                  <w:vAlign w:val="center"/>
                </w:tcPr>
                <w:p w14:paraId="06001305">
                  <w:pPr>
                    <w:jc w:val="center"/>
                    <w:rPr>
                      <w:bCs/>
                      <w:sz w:val="21"/>
                      <w:szCs w:val="21"/>
                    </w:rPr>
                  </w:pPr>
                </w:p>
              </w:tc>
              <w:tc>
                <w:tcPr>
                  <w:tcW w:w="365" w:type="pct"/>
                  <w:vMerge w:val="continue"/>
                  <w:vAlign w:val="center"/>
                </w:tcPr>
                <w:p w14:paraId="340B2E1D">
                  <w:pPr>
                    <w:jc w:val="center"/>
                    <w:rPr>
                      <w:b/>
                      <w:sz w:val="21"/>
                      <w:szCs w:val="21"/>
                    </w:rPr>
                  </w:pPr>
                </w:p>
              </w:tc>
              <w:tc>
                <w:tcPr>
                  <w:tcW w:w="365" w:type="pct"/>
                  <w:vAlign w:val="center"/>
                </w:tcPr>
                <w:p w14:paraId="17357057">
                  <w:pPr>
                    <w:jc w:val="center"/>
                    <w:rPr>
                      <w:b/>
                      <w:sz w:val="21"/>
                      <w:szCs w:val="21"/>
                    </w:rPr>
                  </w:pPr>
                  <w:r>
                    <w:rPr>
                      <w:rFonts w:hint="eastAsia"/>
                      <w:b/>
                      <w:sz w:val="21"/>
                      <w:szCs w:val="21"/>
                    </w:rPr>
                    <w:t>声压级/dB（A）</w:t>
                  </w:r>
                </w:p>
              </w:tc>
              <w:tc>
                <w:tcPr>
                  <w:tcW w:w="353" w:type="pct"/>
                  <w:vAlign w:val="center"/>
                </w:tcPr>
                <w:p w14:paraId="310774BE">
                  <w:pPr>
                    <w:jc w:val="center"/>
                    <w:rPr>
                      <w:b/>
                      <w:sz w:val="21"/>
                      <w:szCs w:val="21"/>
                    </w:rPr>
                  </w:pPr>
                  <w:r>
                    <w:rPr>
                      <w:rFonts w:hint="eastAsia"/>
                      <w:b/>
                      <w:sz w:val="21"/>
                      <w:szCs w:val="21"/>
                    </w:rPr>
                    <w:t>建筑物外距离（m）</w:t>
                  </w:r>
                </w:p>
              </w:tc>
            </w:tr>
            <w:tr w14:paraId="15D4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restart"/>
                  <w:tcMar>
                    <w:top w:w="12" w:type="dxa"/>
                    <w:left w:w="12" w:type="dxa"/>
                    <w:bottom w:w="0" w:type="dxa"/>
                    <w:right w:w="12" w:type="dxa"/>
                  </w:tcMar>
                  <w:vAlign w:val="center"/>
                </w:tcPr>
                <w:p w14:paraId="7F400B84">
                  <w:pPr>
                    <w:jc w:val="center"/>
                    <w:rPr>
                      <w:kern w:val="0"/>
                      <w:sz w:val="21"/>
                      <w:szCs w:val="21"/>
                    </w:rPr>
                  </w:pPr>
                  <w:r>
                    <w:rPr>
                      <w:rFonts w:hint="default" w:ascii="Times New Roman" w:hAnsi="Times New Roman" w:eastAsia="宋体" w:cs="Times New Roman"/>
                      <w:kern w:val="0"/>
                      <w:sz w:val="21"/>
                      <w:szCs w:val="21"/>
                    </w:rPr>
                    <w:t>生产车间</w:t>
                  </w:r>
                  <w:r>
                    <w:rPr>
                      <w:rFonts w:hint="default" w:ascii="Times New Roman" w:hAnsi="Times New Roman" w:eastAsia="宋体" w:cs="Times New Roman"/>
                      <w:kern w:val="0"/>
                      <w:sz w:val="21"/>
                      <w:szCs w:val="21"/>
                      <w:lang w:val="en-US" w:eastAsia="zh-CN"/>
                    </w:rPr>
                    <w:t>1F</w:t>
                  </w:r>
                </w:p>
              </w:tc>
              <w:tc>
                <w:tcPr>
                  <w:tcW w:w="565" w:type="dxa"/>
                  <w:vAlign w:val="center"/>
                </w:tcPr>
                <w:p w14:paraId="0C0B8E2B">
                  <w:pPr>
                    <w:keepNext w:val="0"/>
                    <w:keepLines w:val="0"/>
                    <w:suppressLineNumbers w:val="0"/>
                    <w:spacing w:before="0" w:beforeAutospacing="0" w:after="0" w:afterAutospacing="0"/>
                    <w:ind w:left="0" w:leftChars="0" w:right="0" w:rightChars="0"/>
                    <w:jc w:val="center"/>
                    <w:rPr>
                      <w:kern w:val="0"/>
                      <w:sz w:val="21"/>
                      <w:szCs w:val="21"/>
                    </w:rPr>
                  </w:pPr>
                  <w:r>
                    <w:rPr>
                      <w:rFonts w:hint="default" w:ascii="Times New Roman" w:hAnsi="Times New Roman" w:eastAsia="宋体" w:cs="Times New Roman"/>
                      <w:kern w:val="0"/>
                      <w:sz w:val="21"/>
                      <w:szCs w:val="21"/>
                      <w:lang w:eastAsia="zh"/>
                      <w:woUserID w:val="2"/>
                    </w:rPr>
                    <w:t>热风循环烘箱</w:t>
                  </w:r>
                </w:p>
              </w:tc>
              <w:tc>
                <w:tcPr>
                  <w:tcW w:w="565" w:type="dxa"/>
                  <w:vAlign w:val="center"/>
                </w:tcPr>
                <w:p w14:paraId="413D7F03">
                  <w:pPr>
                    <w:keepNext w:val="0"/>
                    <w:keepLines w:val="0"/>
                    <w:suppressLineNumbers w:val="0"/>
                    <w:spacing w:before="0" w:beforeAutospacing="0" w:after="0" w:afterAutospacing="0"/>
                    <w:ind w:left="0" w:leftChars="0" w:right="0" w:rightChars="0"/>
                    <w:jc w:val="center"/>
                    <w:rPr>
                      <w:bCs/>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685AE5F3">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Merge w:val="restart"/>
                  <w:vAlign w:val="center"/>
                </w:tcPr>
                <w:p w14:paraId="498E8C84">
                  <w:pPr>
                    <w:jc w:val="center"/>
                    <w:rPr>
                      <w:bCs/>
                      <w:sz w:val="21"/>
                      <w:szCs w:val="21"/>
                    </w:rPr>
                  </w:pPr>
                  <w:r>
                    <w:rPr>
                      <w:rFonts w:hint="default" w:ascii="Times New Roman" w:hAnsi="Times New Roman" w:eastAsia="宋体" w:cs="Times New Roman"/>
                      <w:sz w:val="21"/>
                      <w:szCs w:val="21"/>
                    </w:rPr>
                    <w:t>安装减振基座、厂房隔声</w:t>
                  </w:r>
                </w:p>
              </w:tc>
              <w:tc>
                <w:tcPr>
                  <w:tcW w:w="565" w:type="dxa"/>
                  <w:vAlign w:val="center"/>
                </w:tcPr>
                <w:p w14:paraId="48910EC0">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565" w:type="dxa"/>
                  <w:vAlign w:val="center"/>
                </w:tcPr>
                <w:p w14:paraId="589BCF94">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5" w:type="dxa"/>
                  <w:vAlign w:val="center"/>
                </w:tcPr>
                <w:p w14:paraId="4315C178">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763BD4CD">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5359DC00">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4" w:type="dxa"/>
                  <w:vAlign w:val="center"/>
                </w:tcPr>
                <w:p w14:paraId="4ABA6245">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35976D1E">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3AC639D2">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5" w:type="dxa"/>
                  <w:vAlign w:val="center"/>
                </w:tcPr>
                <w:p w14:paraId="5C438FD5">
                  <w:pPr>
                    <w:jc w:val="center"/>
                    <w:rPr>
                      <w:bCs/>
                      <w:sz w:val="21"/>
                      <w:szCs w:val="21"/>
                    </w:rPr>
                  </w:pPr>
                  <w:r>
                    <w:rPr>
                      <w:rFonts w:hint="default" w:ascii="Times New Roman" w:hAnsi="Times New Roman" w:eastAsia="宋体" w:cs="Times New Roman"/>
                      <w:bCs/>
                      <w:sz w:val="21"/>
                      <w:szCs w:val="21"/>
                      <w:lang w:val="en-US" w:eastAsia="zh-CN"/>
                    </w:rPr>
                    <w:t>1</w:t>
                  </w:r>
                </w:p>
              </w:tc>
            </w:tr>
            <w:tr w14:paraId="1241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12054149">
                  <w:pPr>
                    <w:jc w:val="center"/>
                    <w:rPr>
                      <w:kern w:val="0"/>
                      <w:sz w:val="21"/>
                      <w:szCs w:val="21"/>
                    </w:rPr>
                  </w:pPr>
                </w:p>
              </w:tc>
              <w:tc>
                <w:tcPr>
                  <w:tcW w:w="565" w:type="dxa"/>
                  <w:vAlign w:val="center"/>
                </w:tcPr>
                <w:p w14:paraId="794CA06E">
                  <w:pPr>
                    <w:keepNext w:val="0"/>
                    <w:keepLines w:val="0"/>
                    <w:suppressLineNumbers w:val="0"/>
                    <w:spacing w:before="0" w:beforeAutospacing="0" w:after="0" w:afterAutospacing="0"/>
                    <w:ind w:left="0" w:leftChars="0" w:right="0" w:rightChars="0" w:firstLine="0" w:firstLineChars="0"/>
                    <w:jc w:val="center"/>
                    <w:rPr>
                      <w:kern w:val="0"/>
                      <w:sz w:val="21"/>
                      <w:szCs w:val="21"/>
                    </w:rPr>
                  </w:pPr>
                  <w:r>
                    <w:rPr>
                      <w:rFonts w:hint="default" w:ascii="Times New Roman" w:hAnsi="Times New Roman" w:eastAsia="宋体" w:cs="Times New Roman"/>
                      <w:kern w:val="0"/>
                      <w:sz w:val="21"/>
                      <w:szCs w:val="21"/>
                      <w:lang w:eastAsia="zh"/>
                      <w:woUserID w:val="2"/>
                    </w:rPr>
                    <w:t>方锥混料机</w:t>
                  </w:r>
                </w:p>
              </w:tc>
              <w:tc>
                <w:tcPr>
                  <w:tcW w:w="565" w:type="dxa"/>
                  <w:vAlign w:val="center"/>
                </w:tcPr>
                <w:p w14:paraId="2975326D">
                  <w:pPr>
                    <w:keepNext w:val="0"/>
                    <w:keepLines w:val="0"/>
                    <w:suppressLineNumbers w:val="0"/>
                    <w:spacing w:before="0" w:beforeAutospacing="0" w:after="0" w:afterAutospacing="0"/>
                    <w:ind w:left="0" w:leftChars="0" w:right="0" w:rightChars="0"/>
                    <w:jc w:val="center"/>
                    <w:rPr>
                      <w:bCs/>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72D02B60">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65" w:type="dxa"/>
                  <w:vMerge w:val="continue"/>
                  <w:vAlign w:val="center"/>
                </w:tcPr>
                <w:p w14:paraId="6227315E">
                  <w:pPr>
                    <w:jc w:val="center"/>
                    <w:rPr>
                      <w:bCs/>
                      <w:sz w:val="21"/>
                      <w:szCs w:val="21"/>
                    </w:rPr>
                  </w:pPr>
                </w:p>
              </w:tc>
              <w:tc>
                <w:tcPr>
                  <w:tcW w:w="565" w:type="dxa"/>
                  <w:vAlign w:val="center"/>
                </w:tcPr>
                <w:p w14:paraId="55DCB8DB">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565" w:type="dxa"/>
                  <w:vAlign w:val="center"/>
                </w:tcPr>
                <w:p w14:paraId="11EE8F36">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5" w:type="dxa"/>
                  <w:vAlign w:val="center"/>
                </w:tcPr>
                <w:p w14:paraId="14398E34">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6F8F5D01">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52572BDD">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4" w:type="dxa"/>
                  <w:vAlign w:val="center"/>
                </w:tcPr>
                <w:p w14:paraId="781A21E2">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16CD0C26">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270E899E">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5" w:type="dxa"/>
                  <w:vAlign w:val="center"/>
                </w:tcPr>
                <w:p w14:paraId="26349DFD">
                  <w:pPr>
                    <w:jc w:val="center"/>
                    <w:rPr>
                      <w:bCs/>
                      <w:sz w:val="21"/>
                      <w:szCs w:val="21"/>
                    </w:rPr>
                  </w:pPr>
                  <w:r>
                    <w:rPr>
                      <w:rFonts w:hint="default" w:ascii="Times New Roman" w:hAnsi="Times New Roman" w:eastAsia="宋体" w:cs="Times New Roman"/>
                      <w:bCs/>
                      <w:sz w:val="21"/>
                      <w:szCs w:val="21"/>
                      <w:lang w:val="en-US" w:eastAsia="zh-CN"/>
                    </w:rPr>
                    <w:t>1</w:t>
                  </w:r>
                </w:p>
              </w:tc>
            </w:tr>
            <w:tr w14:paraId="4012C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3A74C483">
                  <w:pPr>
                    <w:jc w:val="center"/>
                    <w:rPr>
                      <w:kern w:val="0"/>
                      <w:sz w:val="21"/>
                      <w:szCs w:val="21"/>
                    </w:rPr>
                  </w:pPr>
                </w:p>
              </w:tc>
              <w:tc>
                <w:tcPr>
                  <w:tcW w:w="565" w:type="dxa"/>
                  <w:vAlign w:val="center"/>
                </w:tcPr>
                <w:p w14:paraId="56B1D36B">
                  <w:pPr>
                    <w:keepNext w:val="0"/>
                    <w:keepLines w:val="0"/>
                    <w:suppressLineNumbers w:val="0"/>
                    <w:spacing w:before="0" w:beforeAutospacing="0" w:after="0" w:afterAutospacing="0"/>
                    <w:ind w:left="0" w:leftChars="0" w:right="0" w:rightChars="0" w:firstLine="0" w:firstLineChars="0"/>
                    <w:jc w:val="center"/>
                    <w:rPr>
                      <w:kern w:val="0"/>
                      <w:sz w:val="21"/>
                      <w:szCs w:val="21"/>
                    </w:rPr>
                  </w:pPr>
                  <w:r>
                    <w:rPr>
                      <w:rFonts w:hint="default" w:ascii="Times New Roman" w:hAnsi="Times New Roman" w:eastAsia="宋体" w:cs="Times New Roman"/>
                      <w:kern w:val="0"/>
                      <w:sz w:val="21"/>
                      <w:szCs w:val="21"/>
                      <w:lang w:eastAsia="zh"/>
                      <w:woUserID w:val="2"/>
                    </w:rPr>
                    <w:t>过筛机</w:t>
                  </w:r>
                </w:p>
              </w:tc>
              <w:tc>
                <w:tcPr>
                  <w:tcW w:w="565" w:type="dxa"/>
                  <w:vAlign w:val="center"/>
                </w:tcPr>
                <w:p w14:paraId="10CA2C37">
                  <w:pPr>
                    <w:keepNext w:val="0"/>
                    <w:keepLines w:val="0"/>
                    <w:suppressLineNumbers w:val="0"/>
                    <w:spacing w:before="0" w:beforeAutospacing="0" w:after="0" w:afterAutospacing="0"/>
                    <w:ind w:left="0" w:leftChars="0" w:right="0" w:rightChars="0"/>
                    <w:jc w:val="center"/>
                    <w:rPr>
                      <w:rFonts w:hint="eastAsia" w:eastAsia="宋体"/>
                      <w:bCs/>
                      <w:sz w:val="21"/>
                      <w:szCs w:val="21"/>
                      <w:lang w:val="en-US" w:eastAsia="zh-CN"/>
                    </w:rPr>
                  </w:pPr>
                  <w:r>
                    <w:rPr>
                      <w:rFonts w:hint="default" w:ascii="Times New Roman" w:hAnsi="Times New Roman" w:eastAsia="宋体" w:cs="Times New Roman"/>
                      <w:kern w:val="0"/>
                      <w:sz w:val="21"/>
                      <w:szCs w:val="21"/>
                      <w:lang w:val="en-US" w:eastAsia="zh" w:bidi="ar-SA"/>
                      <w:woUserID w:val="2"/>
                    </w:rPr>
                    <w:t>1</w:t>
                  </w:r>
                </w:p>
              </w:tc>
              <w:tc>
                <w:tcPr>
                  <w:tcW w:w="587" w:type="dxa"/>
                  <w:vAlign w:val="center"/>
                </w:tcPr>
                <w:p w14:paraId="4D221327">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65" w:type="dxa"/>
                  <w:vMerge w:val="continue"/>
                  <w:vAlign w:val="center"/>
                </w:tcPr>
                <w:p w14:paraId="17310E28">
                  <w:pPr>
                    <w:jc w:val="center"/>
                    <w:rPr>
                      <w:bCs/>
                      <w:sz w:val="21"/>
                      <w:szCs w:val="21"/>
                    </w:rPr>
                  </w:pPr>
                </w:p>
              </w:tc>
              <w:tc>
                <w:tcPr>
                  <w:tcW w:w="565" w:type="dxa"/>
                  <w:vAlign w:val="center"/>
                </w:tcPr>
                <w:p w14:paraId="7A366B59">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565" w:type="dxa"/>
                  <w:vAlign w:val="center"/>
                </w:tcPr>
                <w:p w14:paraId="4CD0DB2E">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65" w:type="dxa"/>
                  <w:vAlign w:val="center"/>
                </w:tcPr>
                <w:p w14:paraId="1B809F82">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0AA39DF9">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6F5C0276">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4" w:type="dxa"/>
                  <w:vAlign w:val="center"/>
                </w:tcPr>
                <w:p w14:paraId="242615BB">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66D01169">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5D4324EF">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5" w:type="dxa"/>
                  <w:vAlign w:val="center"/>
                </w:tcPr>
                <w:p w14:paraId="6E6FD803">
                  <w:pPr>
                    <w:jc w:val="center"/>
                    <w:rPr>
                      <w:bCs/>
                      <w:sz w:val="21"/>
                      <w:szCs w:val="21"/>
                    </w:rPr>
                  </w:pPr>
                  <w:r>
                    <w:rPr>
                      <w:rFonts w:hint="default" w:ascii="Times New Roman" w:hAnsi="Times New Roman" w:eastAsia="宋体" w:cs="Times New Roman"/>
                      <w:bCs/>
                      <w:sz w:val="21"/>
                      <w:szCs w:val="21"/>
                      <w:lang w:val="en-US" w:eastAsia="zh-CN"/>
                    </w:rPr>
                    <w:t>1</w:t>
                  </w:r>
                </w:p>
              </w:tc>
            </w:tr>
            <w:tr w14:paraId="6FA5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30CBBDFB">
                  <w:pPr>
                    <w:jc w:val="center"/>
                    <w:rPr>
                      <w:kern w:val="0"/>
                      <w:sz w:val="21"/>
                      <w:szCs w:val="21"/>
                    </w:rPr>
                  </w:pPr>
                </w:p>
              </w:tc>
              <w:tc>
                <w:tcPr>
                  <w:tcW w:w="565" w:type="dxa"/>
                  <w:vAlign w:val="center"/>
                </w:tcPr>
                <w:p w14:paraId="12E076D6">
                  <w:pPr>
                    <w:keepNext w:val="0"/>
                    <w:keepLines w:val="0"/>
                    <w:suppressLineNumbers w:val="0"/>
                    <w:spacing w:before="0" w:beforeAutospacing="0" w:after="0" w:afterAutospacing="0"/>
                    <w:ind w:left="0" w:leftChars="0" w:right="0" w:rightChars="0" w:firstLine="0" w:firstLineChars="0"/>
                    <w:jc w:val="center"/>
                    <w:rPr>
                      <w:kern w:val="0"/>
                      <w:sz w:val="21"/>
                      <w:szCs w:val="21"/>
                    </w:rPr>
                  </w:pPr>
                  <w:r>
                    <w:rPr>
                      <w:rFonts w:hint="default" w:ascii="Times New Roman" w:hAnsi="Times New Roman" w:eastAsia="宋体" w:cs="Times New Roman"/>
                      <w:kern w:val="0"/>
                      <w:sz w:val="21"/>
                      <w:szCs w:val="21"/>
                      <w:lang w:eastAsia="zh"/>
                      <w:woUserID w:val="2"/>
                    </w:rPr>
                    <w:t>全自动背封圆角粉剂包装机</w:t>
                  </w:r>
                </w:p>
              </w:tc>
              <w:tc>
                <w:tcPr>
                  <w:tcW w:w="565" w:type="dxa"/>
                  <w:vAlign w:val="center"/>
                </w:tcPr>
                <w:p w14:paraId="726B4CE3">
                  <w:pPr>
                    <w:keepNext w:val="0"/>
                    <w:keepLines w:val="0"/>
                    <w:suppressLineNumbers w:val="0"/>
                    <w:spacing w:before="0" w:beforeAutospacing="0" w:after="0" w:afterAutospacing="0"/>
                    <w:ind w:left="0" w:leftChars="0" w:right="0" w:rightChars="0"/>
                    <w:jc w:val="center"/>
                    <w:rPr>
                      <w:bCs/>
                      <w:sz w:val="21"/>
                      <w:szCs w:val="21"/>
                    </w:rPr>
                  </w:pPr>
                  <w:r>
                    <w:rPr>
                      <w:rFonts w:hint="default" w:ascii="Times New Roman" w:hAnsi="Times New Roman" w:eastAsia="宋体" w:cs="Times New Roman"/>
                      <w:kern w:val="0"/>
                      <w:sz w:val="21"/>
                      <w:szCs w:val="21"/>
                      <w:lang w:eastAsia="zh"/>
                      <w:woUserID w:val="2"/>
                    </w:rPr>
                    <w:t>3</w:t>
                  </w:r>
                </w:p>
              </w:tc>
              <w:tc>
                <w:tcPr>
                  <w:tcW w:w="587" w:type="dxa"/>
                  <w:vAlign w:val="center"/>
                </w:tcPr>
                <w:p w14:paraId="557BA66F">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5" w:type="dxa"/>
                  <w:vMerge w:val="continue"/>
                  <w:vAlign w:val="center"/>
                </w:tcPr>
                <w:p w14:paraId="161EE468">
                  <w:pPr>
                    <w:jc w:val="center"/>
                    <w:rPr>
                      <w:bCs/>
                      <w:sz w:val="21"/>
                      <w:szCs w:val="21"/>
                    </w:rPr>
                  </w:pPr>
                </w:p>
              </w:tc>
              <w:tc>
                <w:tcPr>
                  <w:tcW w:w="565" w:type="dxa"/>
                  <w:vAlign w:val="center"/>
                </w:tcPr>
                <w:p w14:paraId="11F33686">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565" w:type="dxa"/>
                  <w:vAlign w:val="center"/>
                </w:tcPr>
                <w:p w14:paraId="59A12B6C">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65" w:type="dxa"/>
                  <w:vAlign w:val="center"/>
                </w:tcPr>
                <w:p w14:paraId="7295F1FA">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0BDC080D">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0A005A37">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4" w:type="dxa"/>
                  <w:vAlign w:val="center"/>
                </w:tcPr>
                <w:p w14:paraId="1C2A4C19">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42CAA6F2">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55C9614A">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65" w:type="dxa"/>
                  <w:vAlign w:val="center"/>
                </w:tcPr>
                <w:p w14:paraId="24414ECC">
                  <w:pPr>
                    <w:jc w:val="center"/>
                    <w:rPr>
                      <w:bCs/>
                      <w:sz w:val="21"/>
                      <w:szCs w:val="21"/>
                    </w:rPr>
                  </w:pPr>
                  <w:r>
                    <w:rPr>
                      <w:rFonts w:hint="default" w:ascii="Times New Roman" w:hAnsi="Times New Roman" w:eastAsia="宋体" w:cs="Times New Roman"/>
                      <w:bCs/>
                      <w:sz w:val="21"/>
                      <w:szCs w:val="21"/>
                      <w:lang w:val="en-US" w:eastAsia="zh-CN"/>
                    </w:rPr>
                    <w:t>1</w:t>
                  </w:r>
                </w:p>
              </w:tc>
            </w:tr>
            <w:tr w14:paraId="0ADB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523F53CB">
                  <w:pPr>
                    <w:jc w:val="center"/>
                    <w:rPr>
                      <w:kern w:val="0"/>
                      <w:sz w:val="21"/>
                      <w:szCs w:val="21"/>
                    </w:rPr>
                  </w:pPr>
                </w:p>
              </w:tc>
              <w:tc>
                <w:tcPr>
                  <w:tcW w:w="565" w:type="dxa"/>
                  <w:vAlign w:val="center"/>
                </w:tcPr>
                <w:p w14:paraId="32F3E5CC">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default" w:ascii="Times New Roman" w:hAnsi="Times New Roman" w:eastAsia="宋体" w:cs="Times New Roman"/>
                      <w:kern w:val="0"/>
                      <w:sz w:val="21"/>
                      <w:szCs w:val="21"/>
                      <w:lang w:eastAsia="zh"/>
                      <w:woUserID w:val="2"/>
                    </w:rPr>
                    <w:t>紫外激光机</w:t>
                  </w:r>
                </w:p>
              </w:tc>
              <w:tc>
                <w:tcPr>
                  <w:tcW w:w="565" w:type="dxa"/>
                  <w:vAlign w:val="center"/>
                </w:tcPr>
                <w:p w14:paraId="648DC102">
                  <w:pPr>
                    <w:keepNext w:val="0"/>
                    <w:keepLines w:val="0"/>
                    <w:suppressLineNumbers w:val="0"/>
                    <w:spacing w:before="0" w:beforeAutospacing="0" w:after="0" w:afterAutospacing="0"/>
                    <w:ind w:left="0" w:leftChars="0" w:right="0" w:rightChars="0"/>
                    <w:jc w:val="center"/>
                    <w:rPr>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0FBC8A00">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5" w:type="dxa"/>
                  <w:vMerge w:val="continue"/>
                  <w:vAlign w:val="center"/>
                </w:tcPr>
                <w:p w14:paraId="382955F1">
                  <w:pPr>
                    <w:jc w:val="center"/>
                    <w:rPr>
                      <w:bCs/>
                      <w:sz w:val="21"/>
                      <w:szCs w:val="21"/>
                    </w:rPr>
                  </w:pPr>
                </w:p>
              </w:tc>
              <w:tc>
                <w:tcPr>
                  <w:tcW w:w="565" w:type="dxa"/>
                  <w:vAlign w:val="center"/>
                </w:tcPr>
                <w:p w14:paraId="5768C277">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565" w:type="dxa"/>
                  <w:vAlign w:val="center"/>
                </w:tcPr>
                <w:p w14:paraId="3E1E13D9">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565" w:type="dxa"/>
                  <w:vAlign w:val="center"/>
                </w:tcPr>
                <w:p w14:paraId="1D5C66D3">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11C93421">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2F55B3BB">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4" w:type="dxa"/>
                  <w:vAlign w:val="center"/>
                </w:tcPr>
                <w:p w14:paraId="6C959F58">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1B1C7366">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660A7422">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65" w:type="dxa"/>
                  <w:vAlign w:val="center"/>
                </w:tcPr>
                <w:p w14:paraId="6D419293">
                  <w:pPr>
                    <w:jc w:val="center"/>
                    <w:rPr>
                      <w:bCs/>
                      <w:sz w:val="21"/>
                      <w:szCs w:val="21"/>
                    </w:rPr>
                  </w:pPr>
                  <w:r>
                    <w:rPr>
                      <w:rFonts w:hint="default" w:ascii="Times New Roman" w:hAnsi="Times New Roman" w:eastAsia="宋体" w:cs="Times New Roman"/>
                      <w:bCs/>
                      <w:sz w:val="21"/>
                      <w:szCs w:val="21"/>
                      <w:lang w:val="en-US" w:eastAsia="zh-CN"/>
                    </w:rPr>
                    <w:t>1</w:t>
                  </w:r>
                </w:p>
              </w:tc>
            </w:tr>
            <w:tr w14:paraId="67948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5E8205B6">
                  <w:pPr>
                    <w:jc w:val="center"/>
                    <w:rPr>
                      <w:kern w:val="0"/>
                      <w:sz w:val="21"/>
                      <w:szCs w:val="21"/>
                    </w:rPr>
                  </w:pPr>
                </w:p>
              </w:tc>
              <w:tc>
                <w:tcPr>
                  <w:tcW w:w="565" w:type="dxa"/>
                  <w:vAlign w:val="center"/>
                </w:tcPr>
                <w:p w14:paraId="2FF3A017">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default" w:ascii="Times New Roman" w:hAnsi="Times New Roman" w:eastAsia="宋体" w:cs="Times New Roman"/>
                      <w:kern w:val="0"/>
                      <w:sz w:val="21"/>
                      <w:szCs w:val="21"/>
                      <w:lang w:eastAsia="zh"/>
                      <w:woUserID w:val="2"/>
                    </w:rPr>
                    <w:t>480型透明膜三维包装机</w:t>
                  </w:r>
                </w:p>
              </w:tc>
              <w:tc>
                <w:tcPr>
                  <w:tcW w:w="565" w:type="dxa"/>
                  <w:vAlign w:val="center"/>
                </w:tcPr>
                <w:p w14:paraId="3AAA05F7">
                  <w:pPr>
                    <w:keepNext w:val="0"/>
                    <w:keepLines w:val="0"/>
                    <w:suppressLineNumbers w:val="0"/>
                    <w:spacing w:before="0" w:beforeAutospacing="0" w:after="0" w:afterAutospacing="0"/>
                    <w:ind w:left="0" w:leftChars="0" w:right="0" w:rightChars="0"/>
                    <w:jc w:val="center"/>
                    <w:rPr>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0E5FCBB7">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Merge w:val="continue"/>
                  <w:vAlign w:val="center"/>
                </w:tcPr>
                <w:p w14:paraId="4C026981">
                  <w:pPr>
                    <w:jc w:val="center"/>
                    <w:rPr>
                      <w:bCs/>
                      <w:sz w:val="21"/>
                      <w:szCs w:val="21"/>
                    </w:rPr>
                  </w:pPr>
                </w:p>
              </w:tc>
              <w:tc>
                <w:tcPr>
                  <w:tcW w:w="565" w:type="dxa"/>
                  <w:vAlign w:val="center"/>
                </w:tcPr>
                <w:p w14:paraId="3AA51BBD">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65" w:type="dxa"/>
                  <w:vAlign w:val="center"/>
                </w:tcPr>
                <w:p w14:paraId="35E072E3">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67</w:t>
                  </w:r>
                </w:p>
              </w:tc>
              <w:tc>
                <w:tcPr>
                  <w:tcW w:w="565" w:type="dxa"/>
                  <w:vAlign w:val="center"/>
                </w:tcPr>
                <w:p w14:paraId="2B32603B">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4F3CC427">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10CC4B35">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4" w:type="dxa"/>
                  <w:vAlign w:val="center"/>
                </w:tcPr>
                <w:p w14:paraId="79761F92">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31BFDBDA">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3AD9C2E4">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5" w:type="dxa"/>
                  <w:vAlign w:val="center"/>
                </w:tcPr>
                <w:p w14:paraId="4188DD8F">
                  <w:pPr>
                    <w:jc w:val="center"/>
                    <w:rPr>
                      <w:bCs/>
                      <w:sz w:val="21"/>
                      <w:szCs w:val="21"/>
                    </w:rPr>
                  </w:pPr>
                  <w:r>
                    <w:rPr>
                      <w:rFonts w:hint="default" w:ascii="Times New Roman" w:hAnsi="Times New Roman" w:eastAsia="宋体" w:cs="Times New Roman"/>
                      <w:bCs/>
                      <w:sz w:val="21"/>
                      <w:szCs w:val="21"/>
                      <w:lang w:val="en-US" w:eastAsia="zh-CN"/>
                    </w:rPr>
                    <w:t>1</w:t>
                  </w:r>
                </w:p>
              </w:tc>
            </w:tr>
            <w:tr w14:paraId="5D27F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6D3FB21E">
                  <w:pPr>
                    <w:jc w:val="center"/>
                    <w:rPr>
                      <w:kern w:val="0"/>
                      <w:sz w:val="21"/>
                      <w:szCs w:val="21"/>
                    </w:rPr>
                  </w:pPr>
                </w:p>
              </w:tc>
              <w:tc>
                <w:tcPr>
                  <w:tcW w:w="565" w:type="dxa"/>
                  <w:vAlign w:val="center"/>
                </w:tcPr>
                <w:p w14:paraId="78263F5D">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default" w:ascii="Times New Roman" w:hAnsi="Times New Roman" w:eastAsia="宋体" w:cs="Times New Roman"/>
                      <w:kern w:val="0"/>
                      <w:sz w:val="21"/>
                      <w:szCs w:val="21"/>
                      <w:lang w:eastAsia="zh"/>
                      <w:woUserID w:val="2"/>
                    </w:rPr>
                    <w:t>金属检测机</w:t>
                  </w:r>
                </w:p>
              </w:tc>
              <w:tc>
                <w:tcPr>
                  <w:tcW w:w="565" w:type="dxa"/>
                  <w:vAlign w:val="center"/>
                </w:tcPr>
                <w:p w14:paraId="01086820">
                  <w:pPr>
                    <w:keepNext w:val="0"/>
                    <w:keepLines w:val="0"/>
                    <w:suppressLineNumbers w:val="0"/>
                    <w:spacing w:before="0" w:beforeAutospacing="0" w:after="0" w:afterAutospacing="0"/>
                    <w:ind w:left="0" w:leftChars="0" w:right="0" w:rightChars="0"/>
                    <w:jc w:val="center"/>
                    <w:rPr>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04136F92">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Merge w:val="continue"/>
                  <w:vAlign w:val="center"/>
                </w:tcPr>
                <w:p w14:paraId="66077F69">
                  <w:pPr>
                    <w:jc w:val="center"/>
                    <w:rPr>
                      <w:bCs/>
                      <w:sz w:val="21"/>
                      <w:szCs w:val="21"/>
                    </w:rPr>
                  </w:pPr>
                </w:p>
              </w:tc>
              <w:tc>
                <w:tcPr>
                  <w:tcW w:w="565" w:type="dxa"/>
                  <w:vAlign w:val="center"/>
                </w:tcPr>
                <w:p w14:paraId="4F6A4DCA">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565" w:type="dxa"/>
                  <w:vAlign w:val="center"/>
                </w:tcPr>
                <w:p w14:paraId="473D245C">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77</w:t>
                  </w:r>
                </w:p>
              </w:tc>
              <w:tc>
                <w:tcPr>
                  <w:tcW w:w="565" w:type="dxa"/>
                  <w:vAlign w:val="center"/>
                </w:tcPr>
                <w:p w14:paraId="5859966F">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780903BE">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0B8EF69F">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4" w:type="dxa"/>
                  <w:vAlign w:val="center"/>
                </w:tcPr>
                <w:p w14:paraId="6CC3DFB8">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6616683F">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3107FB46">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5" w:type="dxa"/>
                  <w:vAlign w:val="center"/>
                </w:tcPr>
                <w:p w14:paraId="37DE542F">
                  <w:pPr>
                    <w:jc w:val="center"/>
                    <w:rPr>
                      <w:bCs/>
                      <w:sz w:val="21"/>
                      <w:szCs w:val="21"/>
                    </w:rPr>
                  </w:pPr>
                  <w:r>
                    <w:rPr>
                      <w:rFonts w:hint="default" w:ascii="Times New Roman" w:hAnsi="Times New Roman" w:eastAsia="宋体" w:cs="Times New Roman"/>
                      <w:bCs/>
                      <w:sz w:val="21"/>
                      <w:szCs w:val="21"/>
                      <w:lang w:val="en-US" w:eastAsia="zh-CN"/>
                    </w:rPr>
                    <w:t>1</w:t>
                  </w:r>
                </w:p>
              </w:tc>
            </w:tr>
            <w:tr w14:paraId="744E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4A7C2F64">
                  <w:pPr>
                    <w:jc w:val="center"/>
                    <w:rPr>
                      <w:kern w:val="0"/>
                      <w:sz w:val="21"/>
                      <w:szCs w:val="21"/>
                    </w:rPr>
                  </w:pPr>
                </w:p>
              </w:tc>
              <w:tc>
                <w:tcPr>
                  <w:tcW w:w="565" w:type="dxa"/>
                  <w:vAlign w:val="center"/>
                </w:tcPr>
                <w:p w14:paraId="049D36AD">
                  <w:pPr>
                    <w:keepNext w:val="0"/>
                    <w:keepLines w:val="0"/>
                    <w:suppressLineNumbers w:val="0"/>
                    <w:spacing w:before="0" w:beforeAutospacing="0" w:after="0" w:afterAutospacing="0"/>
                    <w:ind w:left="0" w:leftChars="0" w:right="0" w:rightChars="0" w:firstLine="0" w:firstLineChars="0"/>
                    <w:jc w:val="center"/>
                    <w:rPr>
                      <w:sz w:val="21"/>
                      <w:szCs w:val="21"/>
                    </w:rPr>
                  </w:pPr>
                  <w:r>
                    <w:rPr>
                      <w:rFonts w:hint="default" w:ascii="Times New Roman" w:hAnsi="Times New Roman" w:eastAsia="宋体" w:cs="Times New Roman"/>
                      <w:kern w:val="0"/>
                      <w:sz w:val="21"/>
                      <w:szCs w:val="21"/>
                      <w:lang w:eastAsia="zh"/>
                      <w:woUserID w:val="2"/>
                    </w:rPr>
                    <w:t>称重机</w:t>
                  </w:r>
                </w:p>
              </w:tc>
              <w:tc>
                <w:tcPr>
                  <w:tcW w:w="565" w:type="dxa"/>
                  <w:vAlign w:val="center"/>
                </w:tcPr>
                <w:p w14:paraId="4A91F713">
                  <w:pPr>
                    <w:keepNext w:val="0"/>
                    <w:keepLines w:val="0"/>
                    <w:suppressLineNumbers w:val="0"/>
                    <w:spacing w:before="0" w:beforeAutospacing="0" w:after="0" w:afterAutospacing="0"/>
                    <w:ind w:left="0" w:leftChars="0" w:right="0" w:rightChars="0"/>
                    <w:jc w:val="center"/>
                    <w:rPr>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7538A4B4">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Merge w:val="continue"/>
                  <w:vAlign w:val="center"/>
                </w:tcPr>
                <w:p w14:paraId="32CACB27">
                  <w:pPr>
                    <w:jc w:val="center"/>
                    <w:rPr>
                      <w:bCs/>
                      <w:sz w:val="21"/>
                      <w:szCs w:val="21"/>
                    </w:rPr>
                  </w:pPr>
                </w:p>
              </w:tc>
              <w:tc>
                <w:tcPr>
                  <w:tcW w:w="565" w:type="dxa"/>
                  <w:vAlign w:val="center"/>
                </w:tcPr>
                <w:p w14:paraId="49DE4103">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565" w:type="dxa"/>
                  <w:vAlign w:val="center"/>
                </w:tcPr>
                <w:p w14:paraId="3A1A5AC5">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87</w:t>
                  </w:r>
                </w:p>
              </w:tc>
              <w:tc>
                <w:tcPr>
                  <w:tcW w:w="565" w:type="dxa"/>
                  <w:vAlign w:val="center"/>
                </w:tcPr>
                <w:p w14:paraId="13EF6C11">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2428F4A6">
                  <w:pPr>
                    <w:jc w:val="center"/>
                    <w:rPr>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7C0E8064">
                  <w:pPr>
                    <w:keepNext w:val="0"/>
                    <w:keepLines w:val="0"/>
                    <w:widowControl/>
                    <w:suppressLineNumbers w:val="0"/>
                    <w:jc w:val="center"/>
                    <w:textAlignment w:val="center"/>
                    <w:rPr>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4" w:type="dxa"/>
                  <w:vAlign w:val="center"/>
                </w:tcPr>
                <w:p w14:paraId="39B79B52">
                  <w:pPr>
                    <w:jc w:val="center"/>
                    <w:rPr>
                      <w:bCs/>
                      <w:sz w:val="21"/>
                      <w:szCs w:val="21"/>
                    </w:rPr>
                  </w:pPr>
                  <w:r>
                    <w:rPr>
                      <w:rFonts w:hint="default" w:ascii="Times New Roman" w:hAnsi="Times New Roman" w:eastAsia="宋体" w:cs="Times New Roman"/>
                      <w:bCs/>
                      <w:sz w:val="21"/>
                      <w:szCs w:val="21"/>
                    </w:rPr>
                    <w:t>2400</w:t>
                  </w:r>
                </w:p>
              </w:tc>
              <w:tc>
                <w:tcPr>
                  <w:tcW w:w="583" w:type="dxa"/>
                  <w:vAlign w:val="center"/>
                </w:tcPr>
                <w:p w14:paraId="124F4FD0">
                  <w:pPr>
                    <w:jc w:val="center"/>
                    <w:rPr>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38A33AFC">
                  <w:pPr>
                    <w:keepNext w:val="0"/>
                    <w:keepLines w:val="0"/>
                    <w:widowControl/>
                    <w:suppressLineNumbers w:val="0"/>
                    <w:jc w:val="center"/>
                    <w:textAlignment w:val="center"/>
                    <w:rPr>
                      <w:bCs/>
                      <w:sz w:val="21"/>
                      <w:szCs w:val="21"/>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5" w:type="dxa"/>
                  <w:vAlign w:val="center"/>
                </w:tcPr>
                <w:p w14:paraId="410D4419">
                  <w:pPr>
                    <w:jc w:val="center"/>
                    <w:rPr>
                      <w:bCs/>
                      <w:sz w:val="21"/>
                      <w:szCs w:val="21"/>
                    </w:rPr>
                  </w:pPr>
                  <w:r>
                    <w:rPr>
                      <w:rFonts w:hint="default" w:ascii="Times New Roman" w:hAnsi="Times New Roman" w:eastAsia="宋体" w:cs="Times New Roman"/>
                      <w:bCs/>
                      <w:sz w:val="21"/>
                      <w:szCs w:val="21"/>
                      <w:lang w:val="en-US" w:eastAsia="zh-CN"/>
                    </w:rPr>
                    <w:t>1</w:t>
                  </w:r>
                </w:p>
              </w:tc>
            </w:tr>
            <w:tr w14:paraId="78B9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66F8ECD9">
                  <w:pPr>
                    <w:jc w:val="center"/>
                    <w:rPr>
                      <w:kern w:val="0"/>
                      <w:sz w:val="21"/>
                      <w:szCs w:val="21"/>
                    </w:rPr>
                  </w:pPr>
                </w:p>
              </w:tc>
              <w:tc>
                <w:tcPr>
                  <w:tcW w:w="565" w:type="dxa"/>
                  <w:vAlign w:val="center"/>
                </w:tcPr>
                <w:p w14:paraId="20B97014">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打胶机</w:t>
                  </w:r>
                </w:p>
              </w:tc>
              <w:tc>
                <w:tcPr>
                  <w:tcW w:w="565" w:type="dxa"/>
                  <w:vAlign w:val="center"/>
                </w:tcPr>
                <w:p w14:paraId="2A52C2D9">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6E9280DA">
                  <w:pPr>
                    <w:widowControl/>
                    <w:jc w:val="center"/>
                    <w:textAlignment w:val="center"/>
                    <w:rPr>
                      <w:rFonts w:hint="eastAsia"/>
                      <w:kern w:val="0"/>
                      <w:sz w:val="21"/>
                      <w:szCs w:val="21"/>
                    </w:rPr>
                  </w:pPr>
                  <w:r>
                    <w:rPr>
                      <w:rFonts w:hint="default" w:ascii="Times New Roman" w:hAnsi="Times New Roman" w:eastAsia="宋体" w:cs="Times New Roman"/>
                      <w:kern w:val="0"/>
                      <w:sz w:val="21"/>
                      <w:szCs w:val="21"/>
                      <w:lang w:val="en-US" w:eastAsia="zh-CN"/>
                    </w:rPr>
                    <w:t>70</w:t>
                  </w:r>
                </w:p>
              </w:tc>
              <w:tc>
                <w:tcPr>
                  <w:tcW w:w="565" w:type="dxa"/>
                  <w:vMerge w:val="continue"/>
                  <w:vAlign w:val="center"/>
                </w:tcPr>
                <w:p w14:paraId="121B4D3F">
                  <w:pPr>
                    <w:jc w:val="center"/>
                    <w:rPr>
                      <w:bCs/>
                      <w:sz w:val="21"/>
                      <w:szCs w:val="21"/>
                    </w:rPr>
                  </w:pPr>
                </w:p>
              </w:tc>
              <w:tc>
                <w:tcPr>
                  <w:tcW w:w="565" w:type="dxa"/>
                  <w:vAlign w:val="center"/>
                </w:tcPr>
                <w:p w14:paraId="3192CFD2">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5" w:type="dxa"/>
                  <w:vAlign w:val="center"/>
                </w:tcPr>
                <w:p w14:paraId="305F1B15">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92</w:t>
                  </w:r>
                </w:p>
              </w:tc>
              <w:tc>
                <w:tcPr>
                  <w:tcW w:w="565" w:type="dxa"/>
                  <w:vAlign w:val="center"/>
                </w:tcPr>
                <w:p w14:paraId="6679AEC7">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704881DC">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67B35B1F">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4" w:type="dxa"/>
                  <w:vAlign w:val="center"/>
                </w:tcPr>
                <w:p w14:paraId="5DBC3CC1">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4B687CDF">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4D94C946">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65" w:type="dxa"/>
                  <w:vAlign w:val="center"/>
                </w:tcPr>
                <w:p w14:paraId="7BB2D1DE">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5C6C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27D0CB2A">
                  <w:pPr>
                    <w:jc w:val="center"/>
                    <w:rPr>
                      <w:kern w:val="0"/>
                      <w:sz w:val="21"/>
                      <w:szCs w:val="21"/>
                    </w:rPr>
                  </w:pPr>
                </w:p>
              </w:tc>
              <w:tc>
                <w:tcPr>
                  <w:tcW w:w="565" w:type="dxa"/>
                  <w:vAlign w:val="center"/>
                </w:tcPr>
                <w:p w14:paraId="52A22798">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连续式小字符黑墨喷码机</w:t>
                  </w:r>
                </w:p>
              </w:tc>
              <w:tc>
                <w:tcPr>
                  <w:tcW w:w="565" w:type="dxa"/>
                  <w:vAlign w:val="center"/>
                </w:tcPr>
                <w:p w14:paraId="600DD545">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77E86B15">
                  <w:pPr>
                    <w:widowControl/>
                    <w:jc w:val="center"/>
                    <w:textAlignment w:val="center"/>
                    <w:rPr>
                      <w:rFonts w:hint="eastAsia"/>
                      <w:kern w:val="0"/>
                      <w:sz w:val="21"/>
                      <w:szCs w:val="21"/>
                    </w:rPr>
                  </w:pPr>
                  <w:r>
                    <w:rPr>
                      <w:rFonts w:hint="default" w:ascii="Times New Roman" w:hAnsi="Times New Roman" w:eastAsia="宋体" w:cs="Times New Roman"/>
                      <w:kern w:val="0"/>
                      <w:sz w:val="21"/>
                      <w:szCs w:val="21"/>
                      <w:lang w:val="en-US" w:eastAsia="zh-CN"/>
                    </w:rPr>
                    <w:t>70</w:t>
                  </w:r>
                </w:p>
              </w:tc>
              <w:tc>
                <w:tcPr>
                  <w:tcW w:w="565" w:type="dxa"/>
                  <w:vMerge w:val="continue"/>
                  <w:vAlign w:val="center"/>
                </w:tcPr>
                <w:p w14:paraId="2044705C">
                  <w:pPr>
                    <w:jc w:val="center"/>
                    <w:rPr>
                      <w:bCs/>
                      <w:sz w:val="21"/>
                      <w:szCs w:val="21"/>
                    </w:rPr>
                  </w:pPr>
                </w:p>
              </w:tc>
              <w:tc>
                <w:tcPr>
                  <w:tcW w:w="565" w:type="dxa"/>
                  <w:vAlign w:val="center"/>
                </w:tcPr>
                <w:p w14:paraId="10005241">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565" w:type="dxa"/>
                  <w:vAlign w:val="center"/>
                </w:tcPr>
                <w:p w14:paraId="077C1A58">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95</w:t>
                  </w:r>
                </w:p>
              </w:tc>
              <w:tc>
                <w:tcPr>
                  <w:tcW w:w="565" w:type="dxa"/>
                  <w:vAlign w:val="center"/>
                </w:tcPr>
                <w:p w14:paraId="37C84AAD">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40F6B4CA">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23A5D672">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4" w:type="dxa"/>
                  <w:vAlign w:val="center"/>
                </w:tcPr>
                <w:p w14:paraId="16B95793">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036C9392">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05032D4B">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65" w:type="dxa"/>
                  <w:vAlign w:val="center"/>
                </w:tcPr>
                <w:p w14:paraId="6D552412">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241B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49B8F394">
                  <w:pPr>
                    <w:jc w:val="center"/>
                    <w:rPr>
                      <w:kern w:val="0"/>
                      <w:sz w:val="21"/>
                      <w:szCs w:val="21"/>
                    </w:rPr>
                  </w:pPr>
                </w:p>
              </w:tc>
              <w:tc>
                <w:tcPr>
                  <w:tcW w:w="565" w:type="dxa"/>
                  <w:vAlign w:val="center"/>
                </w:tcPr>
                <w:p w14:paraId="0D260612">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感应加热电源/电磁加热器</w:t>
                  </w:r>
                </w:p>
              </w:tc>
              <w:tc>
                <w:tcPr>
                  <w:tcW w:w="565" w:type="dxa"/>
                  <w:vAlign w:val="center"/>
                </w:tcPr>
                <w:p w14:paraId="692050F7">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2</w:t>
                  </w:r>
                </w:p>
              </w:tc>
              <w:tc>
                <w:tcPr>
                  <w:tcW w:w="587" w:type="dxa"/>
                  <w:vAlign w:val="center"/>
                </w:tcPr>
                <w:p w14:paraId="5F091191">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65" w:type="dxa"/>
                  <w:vMerge w:val="continue"/>
                  <w:vAlign w:val="center"/>
                </w:tcPr>
                <w:p w14:paraId="727A3F9F">
                  <w:pPr>
                    <w:jc w:val="center"/>
                    <w:rPr>
                      <w:bCs/>
                      <w:sz w:val="21"/>
                      <w:szCs w:val="21"/>
                    </w:rPr>
                  </w:pPr>
                </w:p>
              </w:tc>
              <w:tc>
                <w:tcPr>
                  <w:tcW w:w="565" w:type="dxa"/>
                  <w:vAlign w:val="center"/>
                </w:tcPr>
                <w:p w14:paraId="0A25E4D9">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565" w:type="dxa"/>
                  <w:vAlign w:val="center"/>
                </w:tcPr>
                <w:p w14:paraId="58F23163">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65" w:type="dxa"/>
                  <w:vAlign w:val="center"/>
                </w:tcPr>
                <w:p w14:paraId="5E710196">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3C91171D">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6EA7C939">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4" w:type="dxa"/>
                  <w:vAlign w:val="center"/>
                </w:tcPr>
                <w:p w14:paraId="0F4D18FD">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4FEA31E1">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4454D78A">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5" w:type="dxa"/>
                  <w:vAlign w:val="center"/>
                </w:tcPr>
                <w:p w14:paraId="5CEDDAD4">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3580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63FB1992">
                  <w:pPr>
                    <w:jc w:val="center"/>
                    <w:rPr>
                      <w:kern w:val="0"/>
                      <w:sz w:val="21"/>
                      <w:szCs w:val="21"/>
                    </w:rPr>
                  </w:pPr>
                </w:p>
              </w:tc>
              <w:tc>
                <w:tcPr>
                  <w:tcW w:w="565" w:type="dxa"/>
                  <w:vAlign w:val="center"/>
                </w:tcPr>
                <w:p w14:paraId="07434A34">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双浆混合机</w:t>
                  </w:r>
                </w:p>
              </w:tc>
              <w:tc>
                <w:tcPr>
                  <w:tcW w:w="565" w:type="dxa"/>
                  <w:vAlign w:val="center"/>
                </w:tcPr>
                <w:p w14:paraId="57F898B5">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2</w:t>
                  </w:r>
                </w:p>
              </w:tc>
              <w:tc>
                <w:tcPr>
                  <w:tcW w:w="587" w:type="dxa"/>
                  <w:vAlign w:val="center"/>
                </w:tcPr>
                <w:p w14:paraId="08DC6272">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Merge w:val="continue"/>
                  <w:vAlign w:val="center"/>
                </w:tcPr>
                <w:p w14:paraId="1E1B6988">
                  <w:pPr>
                    <w:jc w:val="center"/>
                    <w:rPr>
                      <w:bCs/>
                      <w:sz w:val="21"/>
                      <w:szCs w:val="21"/>
                    </w:rPr>
                  </w:pPr>
                </w:p>
              </w:tc>
              <w:tc>
                <w:tcPr>
                  <w:tcW w:w="565" w:type="dxa"/>
                  <w:vAlign w:val="center"/>
                </w:tcPr>
                <w:p w14:paraId="5186390D">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65" w:type="dxa"/>
                  <w:vAlign w:val="center"/>
                </w:tcPr>
                <w:p w14:paraId="735C936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565" w:type="dxa"/>
                  <w:vAlign w:val="center"/>
                </w:tcPr>
                <w:p w14:paraId="4444E45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05D75DDF">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2C30ED4F">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4" w:type="dxa"/>
                  <w:vAlign w:val="center"/>
                </w:tcPr>
                <w:p w14:paraId="2EE3F31E">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0D7040EF">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5E291D0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5" w:type="dxa"/>
                  <w:vAlign w:val="center"/>
                </w:tcPr>
                <w:p w14:paraId="3C5A5DD7">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5030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79E1C704">
                  <w:pPr>
                    <w:jc w:val="center"/>
                    <w:rPr>
                      <w:kern w:val="0"/>
                      <w:sz w:val="21"/>
                      <w:szCs w:val="21"/>
                    </w:rPr>
                  </w:pPr>
                </w:p>
              </w:tc>
              <w:tc>
                <w:tcPr>
                  <w:tcW w:w="565" w:type="dxa"/>
                  <w:vAlign w:val="center"/>
                </w:tcPr>
                <w:p w14:paraId="25B7404C">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巧克力涂衣机</w:t>
                  </w:r>
                </w:p>
              </w:tc>
              <w:tc>
                <w:tcPr>
                  <w:tcW w:w="565" w:type="dxa"/>
                  <w:vAlign w:val="center"/>
                </w:tcPr>
                <w:p w14:paraId="7896C89B">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095DB49E">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65" w:type="dxa"/>
                  <w:vMerge w:val="continue"/>
                  <w:vAlign w:val="center"/>
                </w:tcPr>
                <w:p w14:paraId="31010166">
                  <w:pPr>
                    <w:jc w:val="center"/>
                    <w:rPr>
                      <w:bCs/>
                      <w:sz w:val="21"/>
                      <w:szCs w:val="21"/>
                    </w:rPr>
                  </w:pPr>
                </w:p>
              </w:tc>
              <w:tc>
                <w:tcPr>
                  <w:tcW w:w="565" w:type="dxa"/>
                  <w:vAlign w:val="center"/>
                </w:tcPr>
                <w:p w14:paraId="02CDED27">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565" w:type="dxa"/>
                  <w:vAlign w:val="center"/>
                </w:tcPr>
                <w:p w14:paraId="2F8E164F">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565" w:type="dxa"/>
                  <w:vAlign w:val="center"/>
                </w:tcPr>
                <w:p w14:paraId="302D3AAD">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0DD36057">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68B6D79D">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564" w:type="dxa"/>
                  <w:vAlign w:val="center"/>
                </w:tcPr>
                <w:p w14:paraId="3D6D1452">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1E529689">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6A954D69">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65" w:type="dxa"/>
                  <w:vAlign w:val="center"/>
                </w:tcPr>
                <w:p w14:paraId="794628D0">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7FEC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49D34D88">
                  <w:pPr>
                    <w:jc w:val="center"/>
                    <w:rPr>
                      <w:kern w:val="0"/>
                      <w:sz w:val="21"/>
                      <w:szCs w:val="21"/>
                    </w:rPr>
                  </w:pPr>
                </w:p>
              </w:tc>
              <w:tc>
                <w:tcPr>
                  <w:tcW w:w="565" w:type="dxa"/>
                  <w:vAlign w:val="center"/>
                </w:tcPr>
                <w:p w14:paraId="2955AFB9">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巧克力保温缸</w:t>
                  </w:r>
                </w:p>
              </w:tc>
              <w:tc>
                <w:tcPr>
                  <w:tcW w:w="565" w:type="dxa"/>
                  <w:vAlign w:val="center"/>
                </w:tcPr>
                <w:p w14:paraId="445377A0">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7D76774A">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5" w:type="dxa"/>
                  <w:vMerge w:val="continue"/>
                  <w:vAlign w:val="center"/>
                </w:tcPr>
                <w:p w14:paraId="700802CD">
                  <w:pPr>
                    <w:jc w:val="center"/>
                    <w:rPr>
                      <w:bCs/>
                      <w:sz w:val="21"/>
                      <w:szCs w:val="21"/>
                    </w:rPr>
                  </w:pPr>
                </w:p>
              </w:tc>
              <w:tc>
                <w:tcPr>
                  <w:tcW w:w="565" w:type="dxa"/>
                  <w:vAlign w:val="center"/>
                </w:tcPr>
                <w:p w14:paraId="0AE49B56">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565" w:type="dxa"/>
                  <w:vAlign w:val="center"/>
                </w:tcPr>
                <w:p w14:paraId="29E27E13">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565" w:type="dxa"/>
                  <w:vAlign w:val="center"/>
                </w:tcPr>
                <w:p w14:paraId="7EA4313C">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6D16DE08">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722BA266">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4" w:type="dxa"/>
                  <w:vAlign w:val="center"/>
                </w:tcPr>
                <w:p w14:paraId="7B68F542">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1D53CCC9">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6611DC60">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65" w:type="dxa"/>
                  <w:vAlign w:val="center"/>
                </w:tcPr>
                <w:p w14:paraId="392670A8">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571F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3C21512B">
                  <w:pPr>
                    <w:jc w:val="center"/>
                    <w:rPr>
                      <w:kern w:val="0"/>
                      <w:sz w:val="21"/>
                      <w:szCs w:val="21"/>
                    </w:rPr>
                  </w:pPr>
                </w:p>
              </w:tc>
              <w:tc>
                <w:tcPr>
                  <w:tcW w:w="565" w:type="dxa"/>
                  <w:vAlign w:val="center"/>
                </w:tcPr>
                <w:p w14:paraId="74DE61F0">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糖排线</w:t>
                  </w:r>
                </w:p>
              </w:tc>
              <w:tc>
                <w:tcPr>
                  <w:tcW w:w="565" w:type="dxa"/>
                  <w:vAlign w:val="center"/>
                </w:tcPr>
                <w:p w14:paraId="051BD8AC">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2D42FDFD">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65" w:type="dxa"/>
                  <w:vMerge w:val="continue"/>
                  <w:vAlign w:val="center"/>
                </w:tcPr>
                <w:p w14:paraId="3EF8424A">
                  <w:pPr>
                    <w:jc w:val="center"/>
                    <w:rPr>
                      <w:bCs/>
                      <w:sz w:val="21"/>
                      <w:szCs w:val="21"/>
                    </w:rPr>
                  </w:pPr>
                </w:p>
              </w:tc>
              <w:tc>
                <w:tcPr>
                  <w:tcW w:w="565" w:type="dxa"/>
                  <w:vAlign w:val="center"/>
                </w:tcPr>
                <w:p w14:paraId="79ACD220">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565" w:type="dxa"/>
                  <w:vAlign w:val="center"/>
                </w:tcPr>
                <w:p w14:paraId="22D3E760">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565" w:type="dxa"/>
                  <w:vAlign w:val="center"/>
                </w:tcPr>
                <w:p w14:paraId="1E5B8276">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3D789B36">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451B56D1">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4" w:type="dxa"/>
                  <w:vAlign w:val="center"/>
                </w:tcPr>
                <w:p w14:paraId="233E370E">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3C4CBFC9">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2C14C903">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5" w:type="dxa"/>
                  <w:vAlign w:val="center"/>
                </w:tcPr>
                <w:p w14:paraId="0019321F">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3BE0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1C615F06">
                  <w:pPr>
                    <w:jc w:val="center"/>
                    <w:rPr>
                      <w:kern w:val="0"/>
                      <w:sz w:val="21"/>
                      <w:szCs w:val="21"/>
                    </w:rPr>
                  </w:pPr>
                </w:p>
              </w:tc>
              <w:tc>
                <w:tcPr>
                  <w:tcW w:w="565" w:type="dxa"/>
                  <w:vAlign w:val="center"/>
                </w:tcPr>
                <w:p w14:paraId="6AC284D4">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枕式包装机</w:t>
                  </w:r>
                </w:p>
              </w:tc>
              <w:tc>
                <w:tcPr>
                  <w:tcW w:w="565" w:type="dxa"/>
                  <w:vAlign w:val="center"/>
                </w:tcPr>
                <w:p w14:paraId="0CEE3171">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28A1DC5A">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78</w:t>
                  </w:r>
                </w:p>
              </w:tc>
              <w:tc>
                <w:tcPr>
                  <w:tcW w:w="565" w:type="dxa"/>
                  <w:vMerge w:val="continue"/>
                  <w:vAlign w:val="center"/>
                </w:tcPr>
                <w:p w14:paraId="6A071F2A">
                  <w:pPr>
                    <w:jc w:val="center"/>
                    <w:rPr>
                      <w:bCs/>
                      <w:sz w:val="21"/>
                      <w:szCs w:val="21"/>
                    </w:rPr>
                  </w:pPr>
                </w:p>
              </w:tc>
              <w:tc>
                <w:tcPr>
                  <w:tcW w:w="565" w:type="dxa"/>
                  <w:vAlign w:val="center"/>
                </w:tcPr>
                <w:p w14:paraId="450F75C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565" w:type="dxa"/>
                  <w:vAlign w:val="center"/>
                </w:tcPr>
                <w:p w14:paraId="21F370B1">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565" w:type="dxa"/>
                  <w:vAlign w:val="center"/>
                </w:tcPr>
                <w:p w14:paraId="2ECB18C6">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4C5616F0">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77B0D545">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564" w:type="dxa"/>
                  <w:vAlign w:val="center"/>
                </w:tcPr>
                <w:p w14:paraId="6CA78978">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42DD23B5">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2905C1F8">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565" w:type="dxa"/>
                  <w:vAlign w:val="center"/>
                </w:tcPr>
                <w:p w14:paraId="08FB1E00">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4906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restart"/>
                  <w:tcMar>
                    <w:top w:w="12" w:type="dxa"/>
                    <w:left w:w="12" w:type="dxa"/>
                    <w:bottom w:w="0" w:type="dxa"/>
                    <w:right w:w="12" w:type="dxa"/>
                  </w:tcMar>
                  <w:vAlign w:val="center"/>
                </w:tcPr>
                <w:p w14:paraId="5D71D6B4">
                  <w:pPr>
                    <w:jc w:val="center"/>
                    <w:rPr>
                      <w:kern w:val="0"/>
                      <w:sz w:val="21"/>
                      <w:szCs w:val="21"/>
                    </w:rPr>
                  </w:pPr>
                  <w:r>
                    <w:rPr>
                      <w:rFonts w:hint="default" w:ascii="Times New Roman" w:hAnsi="Times New Roman" w:eastAsia="宋体" w:cs="Times New Roman"/>
                      <w:kern w:val="0"/>
                      <w:sz w:val="21"/>
                      <w:szCs w:val="21"/>
                    </w:rPr>
                    <w:t>生产车间</w:t>
                  </w:r>
                  <w:r>
                    <w:rPr>
                      <w:rFonts w:hint="default" w:ascii="Times New Roman" w:hAnsi="Times New Roman" w:eastAsia="宋体" w:cs="Times New Roman"/>
                      <w:kern w:val="0"/>
                      <w:sz w:val="21"/>
                      <w:szCs w:val="21"/>
                      <w:lang w:val="en-US" w:eastAsia="zh-CN"/>
                    </w:rPr>
                    <w:t>2F</w:t>
                  </w:r>
                </w:p>
              </w:tc>
              <w:tc>
                <w:tcPr>
                  <w:tcW w:w="565" w:type="dxa"/>
                  <w:vAlign w:val="center"/>
                </w:tcPr>
                <w:p w14:paraId="0AB584F5">
                  <w:pPr>
                    <w:keepNext w:val="0"/>
                    <w:keepLines w:val="0"/>
                    <w:suppressLineNumbers w:val="0"/>
                    <w:spacing w:before="0" w:beforeAutospacing="0" w:after="0" w:afterAutospacing="0"/>
                    <w:ind w:left="0" w:leftChars="0" w:right="0" w:rightChars="0" w:firstLine="0" w:firstLineChars="0"/>
                    <w:jc w:val="center"/>
                    <w:rPr>
                      <w:rFonts w:hint="eastAsia"/>
                      <w:sz w:val="21"/>
                      <w:szCs w:val="21"/>
                    </w:rPr>
                  </w:pPr>
                  <w:r>
                    <w:rPr>
                      <w:rFonts w:hint="default" w:ascii="Times New Roman" w:hAnsi="Times New Roman" w:eastAsia="宋体" w:cs="Times New Roman"/>
                      <w:kern w:val="0"/>
                      <w:sz w:val="21"/>
                      <w:szCs w:val="21"/>
                      <w:lang w:eastAsia="zh"/>
                      <w:woUserID w:val="2"/>
                    </w:rPr>
                    <w:t>真空乳化机</w:t>
                  </w:r>
                </w:p>
              </w:tc>
              <w:tc>
                <w:tcPr>
                  <w:tcW w:w="565" w:type="dxa"/>
                  <w:vAlign w:val="center"/>
                </w:tcPr>
                <w:p w14:paraId="51C12B22">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4AAAE2B6">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Merge w:val="continue"/>
                  <w:vAlign w:val="center"/>
                </w:tcPr>
                <w:p w14:paraId="74966B42">
                  <w:pPr>
                    <w:jc w:val="center"/>
                    <w:rPr>
                      <w:bCs/>
                      <w:sz w:val="21"/>
                      <w:szCs w:val="21"/>
                    </w:rPr>
                  </w:pPr>
                </w:p>
              </w:tc>
              <w:tc>
                <w:tcPr>
                  <w:tcW w:w="565" w:type="dxa"/>
                  <w:vAlign w:val="center"/>
                </w:tcPr>
                <w:p w14:paraId="3EE951CD">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565" w:type="dxa"/>
                  <w:vAlign w:val="center"/>
                </w:tcPr>
                <w:p w14:paraId="1E1EF332">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565" w:type="dxa"/>
                  <w:vAlign w:val="center"/>
                </w:tcPr>
                <w:p w14:paraId="11B43AB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6F1FC96B">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26850959">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564" w:type="dxa"/>
                  <w:vAlign w:val="center"/>
                </w:tcPr>
                <w:p w14:paraId="5112D12F">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4ED34506">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726B8E83">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565" w:type="dxa"/>
                  <w:vAlign w:val="center"/>
                </w:tcPr>
                <w:p w14:paraId="7063AC65">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390D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4BA889C7">
                  <w:pPr>
                    <w:jc w:val="center"/>
                    <w:rPr>
                      <w:kern w:val="0"/>
                      <w:sz w:val="21"/>
                      <w:szCs w:val="21"/>
                    </w:rPr>
                  </w:pPr>
                </w:p>
              </w:tc>
              <w:tc>
                <w:tcPr>
                  <w:tcW w:w="565" w:type="dxa"/>
                  <w:vAlign w:val="center"/>
                </w:tcPr>
                <w:p w14:paraId="61552502">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default" w:ascii="Times New Roman" w:hAnsi="Times New Roman" w:eastAsia="宋体" w:cs="Times New Roman"/>
                      <w:kern w:val="0"/>
                      <w:sz w:val="21"/>
                      <w:szCs w:val="21"/>
                      <w:lang w:eastAsia="zh"/>
                      <w:woUserID w:val="2"/>
                    </w:rPr>
                    <w:t>螺杆式空气压缩机</w:t>
                  </w:r>
                </w:p>
              </w:tc>
              <w:tc>
                <w:tcPr>
                  <w:tcW w:w="565" w:type="dxa"/>
                  <w:vAlign w:val="center"/>
                </w:tcPr>
                <w:p w14:paraId="4E0F7B9B">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5C528CC4">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82</w:t>
                  </w:r>
                </w:p>
              </w:tc>
              <w:tc>
                <w:tcPr>
                  <w:tcW w:w="565" w:type="dxa"/>
                  <w:vMerge w:val="continue"/>
                  <w:vAlign w:val="center"/>
                </w:tcPr>
                <w:p w14:paraId="04752351">
                  <w:pPr>
                    <w:jc w:val="center"/>
                    <w:rPr>
                      <w:bCs/>
                      <w:sz w:val="21"/>
                      <w:szCs w:val="21"/>
                    </w:rPr>
                  </w:pPr>
                </w:p>
              </w:tc>
              <w:tc>
                <w:tcPr>
                  <w:tcW w:w="565" w:type="dxa"/>
                  <w:vAlign w:val="center"/>
                </w:tcPr>
                <w:p w14:paraId="7342496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65" w:type="dxa"/>
                  <w:vAlign w:val="center"/>
                </w:tcPr>
                <w:p w14:paraId="56FAF2F3">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565" w:type="dxa"/>
                  <w:vAlign w:val="center"/>
                </w:tcPr>
                <w:p w14:paraId="6E490836">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649A775F">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49A0B291">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72</w:t>
                  </w:r>
                </w:p>
              </w:tc>
              <w:tc>
                <w:tcPr>
                  <w:tcW w:w="564" w:type="dxa"/>
                  <w:vAlign w:val="center"/>
                </w:tcPr>
                <w:p w14:paraId="3160BC1D">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5B746666">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086A962C">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565" w:type="dxa"/>
                  <w:vAlign w:val="center"/>
                </w:tcPr>
                <w:p w14:paraId="1006B7C4">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283B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2E8C4230">
                  <w:pPr>
                    <w:jc w:val="center"/>
                    <w:rPr>
                      <w:kern w:val="0"/>
                      <w:sz w:val="21"/>
                      <w:szCs w:val="21"/>
                    </w:rPr>
                  </w:pPr>
                </w:p>
              </w:tc>
              <w:tc>
                <w:tcPr>
                  <w:tcW w:w="565" w:type="dxa"/>
                  <w:vAlign w:val="center"/>
                </w:tcPr>
                <w:p w14:paraId="68413F4E">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default" w:ascii="Times New Roman" w:hAnsi="Times New Roman" w:eastAsia="宋体" w:cs="Times New Roman"/>
                      <w:kern w:val="0"/>
                      <w:sz w:val="21"/>
                      <w:szCs w:val="21"/>
                      <w:lang w:eastAsia="zh"/>
                      <w:woUserID w:val="2"/>
                    </w:rPr>
                    <w:t>冷冻式压缩空气干燥器</w:t>
                  </w:r>
                </w:p>
              </w:tc>
              <w:tc>
                <w:tcPr>
                  <w:tcW w:w="565" w:type="dxa"/>
                  <w:vAlign w:val="center"/>
                </w:tcPr>
                <w:p w14:paraId="57EA4278">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1E4B78E0">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90</w:t>
                  </w:r>
                </w:p>
              </w:tc>
              <w:tc>
                <w:tcPr>
                  <w:tcW w:w="565" w:type="dxa"/>
                  <w:vMerge w:val="continue"/>
                  <w:vAlign w:val="center"/>
                </w:tcPr>
                <w:p w14:paraId="6D8BD3BA">
                  <w:pPr>
                    <w:jc w:val="center"/>
                    <w:rPr>
                      <w:bCs/>
                      <w:sz w:val="21"/>
                      <w:szCs w:val="21"/>
                    </w:rPr>
                  </w:pPr>
                </w:p>
              </w:tc>
              <w:tc>
                <w:tcPr>
                  <w:tcW w:w="565" w:type="dxa"/>
                  <w:vAlign w:val="center"/>
                </w:tcPr>
                <w:p w14:paraId="39F8476D">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65" w:type="dxa"/>
                  <w:vAlign w:val="center"/>
                </w:tcPr>
                <w:p w14:paraId="6D04FD7B">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102</w:t>
                  </w:r>
                </w:p>
              </w:tc>
              <w:tc>
                <w:tcPr>
                  <w:tcW w:w="565" w:type="dxa"/>
                  <w:vAlign w:val="center"/>
                </w:tcPr>
                <w:p w14:paraId="3ADC76DB">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131B77DE">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2085A49A">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kern w:val="0"/>
                      <w:sz w:val="21"/>
                      <w:szCs w:val="21"/>
                      <w:lang w:val="en-US" w:eastAsia="zh-CN"/>
                    </w:rPr>
                    <w:t>76</w:t>
                  </w:r>
                </w:p>
              </w:tc>
              <w:tc>
                <w:tcPr>
                  <w:tcW w:w="564" w:type="dxa"/>
                  <w:vAlign w:val="center"/>
                </w:tcPr>
                <w:p w14:paraId="0624DC98">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4F2933F5">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349F71FA">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61</w:t>
                  </w:r>
                </w:p>
              </w:tc>
              <w:tc>
                <w:tcPr>
                  <w:tcW w:w="565" w:type="dxa"/>
                  <w:vAlign w:val="center"/>
                </w:tcPr>
                <w:p w14:paraId="1EEC4A6C">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7288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vMerge w:val="continue"/>
                  <w:tcMar>
                    <w:top w:w="12" w:type="dxa"/>
                    <w:left w:w="12" w:type="dxa"/>
                    <w:bottom w:w="0" w:type="dxa"/>
                    <w:right w:w="12" w:type="dxa"/>
                  </w:tcMar>
                  <w:vAlign w:val="center"/>
                </w:tcPr>
                <w:p w14:paraId="576DD3A2">
                  <w:pPr>
                    <w:jc w:val="center"/>
                    <w:rPr>
                      <w:kern w:val="0"/>
                      <w:sz w:val="21"/>
                      <w:szCs w:val="21"/>
                    </w:rPr>
                  </w:pPr>
                </w:p>
              </w:tc>
              <w:tc>
                <w:tcPr>
                  <w:tcW w:w="565" w:type="dxa"/>
                  <w:vAlign w:val="center"/>
                </w:tcPr>
                <w:p w14:paraId="3000CCEE">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default" w:ascii="Times New Roman" w:hAnsi="Times New Roman" w:eastAsia="宋体" w:cs="Times New Roman"/>
                      <w:kern w:val="0"/>
                      <w:sz w:val="21"/>
                      <w:szCs w:val="21"/>
                      <w:lang w:eastAsia="zh"/>
                      <w:woUserID w:val="3"/>
                    </w:rPr>
                    <w:t>纯水设备</w:t>
                  </w:r>
                </w:p>
              </w:tc>
              <w:tc>
                <w:tcPr>
                  <w:tcW w:w="565" w:type="dxa"/>
                  <w:vAlign w:val="center"/>
                </w:tcPr>
                <w:p w14:paraId="67BFABE0">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3"/>
                    </w:rPr>
                    <w:t>1</w:t>
                  </w:r>
                </w:p>
              </w:tc>
              <w:tc>
                <w:tcPr>
                  <w:tcW w:w="587" w:type="dxa"/>
                  <w:vAlign w:val="center"/>
                </w:tcPr>
                <w:p w14:paraId="2076C188">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85</w:t>
                  </w:r>
                </w:p>
              </w:tc>
              <w:tc>
                <w:tcPr>
                  <w:tcW w:w="565" w:type="dxa"/>
                  <w:vMerge w:val="continue"/>
                  <w:vAlign w:val="center"/>
                </w:tcPr>
                <w:p w14:paraId="780A9344">
                  <w:pPr>
                    <w:jc w:val="center"/>
                    <w:rPr>
                      <w:bCs/>
                      <w:sz w:val="21"/>
                      <w:szCs w:val="21"/>
                    </w:rPr>
                  </w:pPr>
                </w:p>
              </w:tc>
              <w:tc>
                <w:tcPr>
                  <w:tcW w:w="565" w:type="dxa"/>
                  <w:vAlign w:val="center"/>
                </w:tcPr>
                <w:p w14:paraId="1EB15C72">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565" w:type="dxa"/>
                  <w:vAlign w:val="center"/>
                </w:tcPr>
                <w:p w14:paraId="273791BD">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105</w:t>
                  </w:r>
                </w:p>
              </w:tc>
              <w:tc>
                <w:tcPr>
                  <w:tcW w:w="565" w:type="dxa"/>
                  <w:vAlign w:val="center"/>
                </w:tcPr>
                <w:p w14:paraId="57A02DB7">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564" w:type="dxa"/>
                  <w:vAlign w:val="center"/>
                </w:tcPr>
                <w:p w14:paraId="3239AE6D">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3CE50222">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64" w:type="dxa"/>
                  <w:vAlign w:val="center"/>
                </w:tcPr>
                <w:p w14:paraId="1BDC2C2E">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446935C2">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058DCE9F">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565" w:type="dxa"/>
                  <w:vAlign w:val="center"/>
                </w:tcPr>
                <w:p w14:paraId="182D5FA0">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r w14:paraId="20137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5" w:type="dxa"/>
                  <w:tcMar>
                    <w:top w:w="12" w:type="dxa"/>
                    <w:left w:w="12" w:type="dxa"/>
                    <w:bottom w:w="0" w:type="dxa"/>
                    <w:right w:w="12" w:type="dxa"/>
                  </w:tcMar>
                  <w:vAlign w:val="center"/>
                </w:tcPr>
                <w:p w14:paraId="4D7ACCFD">
                  <w:pPr>
                    <w:jc w:val="center"/>
                    <w:rPr>
                      <w:kern w:val="0"/>
                      <w:sz w:val="21"/>
                      <w:szCs w:val="21"/>
                    </w:rPr>
                  </w:pPr>
                  <w:r>
                    <w:rPr>
                      <w:rFonts w:hint="default" w:ascii="Times New Roman" w:hAnsi="Times New Roman" w:eastAsia="宋体" w:cs="Times New Roman"/>
                      <w:kern w:val="0"/>
                      <w:sz w:val="21"/>
                      <w:szCs w:val="21"/>
                    </w:rPr>
                    <w:t>生产车间</w:t>
                  </w:r>
                  <w:r>
                    <w:rPr>
                      <w:rFonts w:hint="default" w:ascii="Times New Roman" w:hAnsi="Times New Roman" w:eastAsia="宋体" w:cs="Times New Roman"/>
                      <w:kern w:val="0"/>
                      <w:sz w:val="21"/>
                      <w:szCs w:val="21"/>
                      <w:lang w:val="en-US" w:eastAsia="zh-CN" w:bidi="ar-SA"/>
                    </w:rPr>
                    <w:t>3F</w:t>
                  </w:r>
                </w:p>
              </w:tc>
              <w:tc>
                <w:tcPr>
                  <w:tcW w:w="565" w:type="dxa"/>
                  <w:vAlign w:val="center"/>
                </w:tcPr>
                <w:p w14:paraId="410E587B">
                  <w:pPr>
                    <w:keepNext w:val="0"/>
                    <w:keepLines w:val="0"/>
                    <w:suppressLineNumbers w:val="0"/>
                    <w:spacing w:before="0" w:beforeAutospacing="0" w:after="0" w:afterAutospacing="0"/>
                    <w:ind w:left="0" w:leftChars="0" w:right="0" w:rightChars="0" w:firstLine="0" w:firstLineChars="0"/>
                    <w:jc w:val="center"/>
                    <w:rPr>
                      <w:rFonts w:hint="eastAsia" w:ascii="Times New Roman" w:hAnsi="Times New Roman" w:eastAsia="宋体" w:cs="Times New Roman"/>
                      <w:kern w:val="0"/>
                      <w:sz w:val="21"/>
                      <w:szCs w:val="21"/>
                      <w:lang w:eastAsia="zh"/>
                      <w:woUserID w:val="2"/>
                    </w:rPr>
                  </w:pPr>
                  <w:r>
                    <w:rPr>
                      <w:rFonts w:hint="default" w:ascii="Times New Roman" w:hAnsi="Times New Roman" w:eastAsia="宋体" w:cs="Times New Roman"/>
                      <w:kern w:val="0"/>
                      <w:sz w:val="21"/>
                      <w:szCs w:val="21"/>
                      <w:lang w:eastAsia="zh"/>
                      <w:woUserID w:val="2"/>
                    </w:rPr>
                    <w:t>凝胶灌装设备</w:t>
                  </w:r>
                </w:p>
              </w:tc>
              <w:tc>
                <w:tcPr>
                  <w:tcW w:w="565" w:type="dxa"/>
                  <w:vAlign w:val="center"/>
                </w:tcPr>
                <w:p w14:paraId="24452289">
                  <w:pPr>
                    <w:keepNext w:val="0"/>
                    <w:keepLines w:val="0"/>
                    <w:suppressLineNumbers w:val="0"/>
                    <w:spacing w:before="0" w:beforeAutospacing="0" w:after="0" w:afterAutospacing="0"/>
                    <w:ind w:left="0" w:leftChars="0" w:right="0" w:rightChars="0"/>
                    <w:jc w:val="center"/>
                    <w:rPr>
                      <w:rFonts w:hint="eastAsia"/>
                      <w:sz w:val="21"/>
                      <w:szCs w:val="21"/>
                    </w:rPr>
                  </w:pPr>
                  <w:r>
                    <w:rPr>
                      <w:rFonts w:hint="default" w:ascii="Times New Roman" w:hAnsi="Times New Roman" w:eastAsia="宋体" w:cs="Times New Roman"/>
                      <w:kern w:val="0"/>
                      <w:sz w:val="21"/>
                      <w:szCs w:val="21"/>
                      <w:lang w:eastAsia="zh"/>
                      <w:woUserID w:val="2"/>
                    </w:rPr>
                    <w:t>1</w:t>
                  </w:r>
                </w:p>
              </w:tc>
              <w:tc>
                <w:tcPr>
                  <w:tcW w:w="587" w:type="dxa"/>
                  <w:vAlign w:val="center"/>
                </w:tcPr>
                <w:p w14:paraId="075D4D49">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565" w:type="dxa"/>
                  <w:vMerge w:val="continue"/>
                  <w:vAlign w:val="center"/>
                </w:tcPr>
                <w:p w14:paraId="49627833">
                  <w:pPr>
                    <w:jc w:val="center"/>
                    <w:rPr>
                      <w:bCs/>
                      <w:sz w:val="21"/>
                      <w:szCs w:val="21"/>
                    </w:rPr>
                  </w:pPr>
                </w:p>
              </w:tc>
              <w:tc>
                <w:tcPr>
                  <w:tcW w:w="565" w:type="dxa"/>
                  <w:vAlign w:val="center"/>
                </w:tcPr>
                <w:p w14:paraId="65019B4B">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565" w:type="dxa"/>
                  <w:vAlign w:val="center"/>
                </w:tcPr>
                <w:p w14:paraId="1288EFE7">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80</w:t>
                  </w:r>
                </w:p>
              </w:tc>
              <w:tc>
                <w:tcPr>
                  <w:tcW w:w="565" w:type="dxa"/>
                  <w:vAlign w:val="center"/>
                </w:tcPr>
                <w:p w14:paraId="18AE2A93">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564" w:type="dxa"/>
                  <w:vAlign w:val="center"/>
                </w:tcPr>
                <w:p w14:paraId="70AC4C01">
                  <w:pPr>
                    <w:jc w:val="center"/>
                    <w:rPr>
                      <w:rFonts w:hint="eastAsia"/>
                      <w:bCs/>
                      <w:sz w:val="21"/>
                      <w:szCs w:val="21"/>
                    </w:rPr>
                  </w:pPr>
                  <w:r>
                    <w:rPr>
                      <w:rFonts w:hint="default" w:ascii="Times New Roman" w:hAnsi="Times New Roman" w:eastAsia="宋体" w:cs="Times New Roman"/>
                      <w:bCs/>
                      <w:sz w:val="21"/>
                      <w:szCs w:val="21"/>
                      <w:lang w:val="en-US" w:eastAsia="zh-CN"/>
                    </w:rPr>
                    <w:t>5</w:t>
                  </w:r>
                </w:p>
              </w:tc>
              <w:tc>
                <w:tcPr>
                  <w:tcW w:w="583" w:type="dxa"/>
                  <w:vAlign w:val="center"/>
                </w:tcPr>
                <w:p w14:paraId="6A15FB44">
                  <w:pPr>
                    <w:keepNext w:val="0"/>
                    <w:keepLines w:val="0"/>
                    <w:widowControl/>
                    <w:suppressLineNumbers w:val="0"/>
                    <w:jc w:val="center"/>
                    <w:textAlignment w:val="center"/>
                    <w:rPr>
                      <w:rFonts w:hint="eastAsia"/>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65</w:t>
                  </w:r>
                </w:p>
              </w:tc>
              <w:tc>
                <w:tcPr>
                  <w:tcW w:w="564" w:type="dxa"/>
                  <w:vAlign w:val="center"/>
                </w:tcPr>
                <w:p w14:paraId="06C62EB3">
                  <w:pPr>
                    <w:jc w:val="center"/>
                    <w:rPr>
                      <w:rFonts w:hint="eastAsia"/>
                      <w:bCs/>
                      <w:sz w:val="21"/>
                      <w:szCs w:val="21"/>
                    </w:rPr>
                  </w:pPr>
                  <w:r>
                    <w:rPr>
                      <w:rFonts w:hint="default" w:ascii="Times New Roman" w:hAnsi="Times New Roman" w:eastAsia="宋体" w:cs="Times New Roman"/>
                      <w:bCs/>
                      <w:sz w:val="21"/>
                      <w:szCs w:val="21"/>
                    </w:rPr>
                    <w:t>2400</w:t>
                  </w:r>
                </w:p>
              </w:tc>
              <w:tc>
                <w:tcPr>
                  <w:tcW w:w="583" w:type="dxa"/>
                  <w:vAlign w:val="center"/>
                </w:tcPr>
                <w:p w14:paraId="133B4A62">
                  <w:pPr>
                    <w:jc w:val="center"/>
                    <w:rPr>
                      <w:rFonts w:hint="eastAsia"/>
                      <w:bCs/>
                      <w:sz w:val="21"/>
                      <w:szCs w:val="21"/>
                    </w:rPr>
                  </w:pPr>
                  <w:r>
                    <w:rPr>
                      <w:rFonts w:hint="default" w:ascii="Times New Roman" w:hAnsi="Times New Roman" w:eastAsia="宋体" w:cs="Times New Roman"/>
                      <w:bCs/>
                      <w:sz w:val="21"/>
                      <w:szCs w:val="21"/>
                      <w:lang w:val="en-US" w:eastAsia="zh-CN"/>
                    </w:rPr>
                    <w:t>15</w:t>
                  </w:r>
                </w:p>
              </w:tc>
              <w:tc>
                <w:tcPr>
                  <w:tcW w:w="583" w:type="dxa"/>
                  <w:vAlign w:val="center"/>
                </w:tcPr>
                <w:p w14:paraId="50BB321E">
                  <w:pPr>
                    <w:keepNext w:val="0"/>
                    <w:keepLines w:val="0"/>
                    <w:widowControl/>
                    <w:suppressLineNumbers w:val="0"/>
                    <w:jc w:val="center"/>
                    <w:textAlignment w:val="center"/>
                    <w:rPr>
                      <w:rFonts w:hint="eastAsia"/>
                      <w:bCs/>
                      <w:sz w:val="21"/>
                      <w:szCs w:val="21"/>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565" w:type="dxa"/>
                  <w:vAlign w:val="center"/>
                </w:tcPr>
                <w:p w14:paraId="01C3AB32">
                  <w:pPr>
                    <w:jc w:val="center"/>
                    <w:rPr>
                      <w:rFonts w:hint="eastAsia"/>
                      <w:bCs/>
                      <w:sz w:val="21"/>
                      <w:szCs w:val="21"/>
                    </w:rPr>
                  </w:pPr>
                  <w:r>
                    <w:rPr>
                      <w:rFonts w:hint="default" w:ascii="Times New Roman" w:hAnsi="Times New Roman" w:eastAsia="宋体" w:cs="Times New Roman"/>
                      <w:bCs/>
                      <w:sz w:val="21"/>
                      <w:szCs w:val="21"/>
                      <w:lang w:val="en-US" w:eastAsia="zh-CN"/>
                    </w:rPr>
                    <w:t>1</w:t>
                  </w:r>
                </w:p>
              </w:tc>
            </w:tr>
          </w:tbl>
          <w:p w14:paraId="0D22C537">
            <w:pPr>
              <w:spacing w:line="360" w:lineRule="auto"/>
              <w:ind w:firstLine="201" w:firstLineChars="200"/>
              <w:rPr>
                <w:b/>
                <w:bCs/>
                <w:color w:val="000000"/>
                <w:kern w:val="0"/>
                <w:sz w:val="10"/>
                <w:szCs w:val="10"/>
                <w:lang w:bidi="ar"/>
              </w:rPr>
            </w:pPr>
          </w:p>
          <w:p w14:paraId="1D61C628">
            <w:pPr>
              <w:spacing w:line="360" w:lineRule="auto"/>
              <w:ind w:firstLine="482" w:firstLineChars="200"/>
              <w:rPr>
                <w:b/>
                <w:bCs/>
                <w:color w:val="000000"/>
                <w:kern w:val="0"/>
                <w:lang w:bidi="ar"/>
              </w:rPr>
            </w:pPr>
            <w:r>
              <w:rPr>
                <w:b/>
                <w:bCs/>
                <w:color w:val="000000"/>
                <w:kern w:val="0"/>
                <w:lang w:bidi="ar"/>
              </w:rPr>
              <w:t>2、厂界和环境保护目标达标情况分析</w:t>
            </w:r>
          </w:p>
          <w:p w14:paraId="552B2E3A">
            <w:pPr>
              <w:adjustRightInd w:val="0"/>
              <w:snapToGrid w:val="0"/>
              <w:spacing w:line="360" w:lineRule="auto"/>
              <w:ind w:firstLine="480" w:firstLineChars="200"/>
              <w:rPr>
                <w:bCs/>
                <w:color w:val="000000"/>
              </w:rPr>
            </w:pPr>
            <w:r>
              <w:rPr>
                <w:bCs/>
                <w:color w:val="000000"/>
              </w:rPr>
              <w:t>根据项目的噪声排放特点，结合《环境影响评价技术导则声环境》（HJ2.4-20</w:t>
            </w:r>
            <w:r>
              <w:rPr>
                <w:rFonts w:hint="eastAsia"/>
                <w:bCs/>
                <w:color w:val="000000"/>
              </w:rPr>
              <w:t>21</w:t>
            </w:r>
            <w:r>
              <w:rPr>
                <w:bCs/>
                <w:color w:val="000000"/>
              </w:rPr>
              <w:t>）的要求，预测模式采用</w:t>
            </w:r>
            <w:r>
              <w:rPr>
                <w:rFonts w:hint="eastAsia"/>
                <w:bCs/>
                <w:color w:val="000000"/>
              </w:rPr>
              <w:t>“</w:t>
            </w:r>
            <w:r>
              <w:rPr>
                <w:bCs/>
                <w:color w:val="000000"/>
              </w:rPr>
              <w:t>8</w:t>
            </w:r>
            <w:r>
              <w:rPr>
                <w:rFonts w:hint="eastAsia"/>
                <w:bCs/>
                <w:color w:val="000000"/>
              </w:rPr>
              <w:t>.</w:t>
            </w:r>
            <w:r>
              <w:rPr>
                <w:bCs/>
                <w:color w:val="000000"/>
              </w:rPr>
              <w:t>4预测</w:t>
            </w:r>
            <w:r>
              <w:rPr>
                <w:rFonts w:hint="eastAsia"/>
                <w:bCs/>
                <w:color w:val="000000"/>
              </w:rPr>
              <w:t>方法”</w:t>
            </w:r>
            <w:r>
              <w:rPr>
                <w:bCs/>
                <w:color w:val="000000"/>
              </w:rPr>
              <w:t>计算模式。</w:t>
            </w:r>
          </w:p>
          <w:p w14:paraId="6093415B">
            <w:pPr>
              <w:spacing w:line="360" w:lineRule="auto"/>
              <w:ind w:firstLine="480" w:firstLineChars="200"/>
              <w:rPr>
                <w:color w:val="000000"/>
                <w:kern w:val="0"/>
                <w:lang w:bidi="ar"/>
              </w:rPr>
            </w:pPr>
            <w:r>
              <w:rPr>
                <w:color w:val="000000"/>
                <w:kern w:val="0"/>
                <w:lang w:bidi="ar"/>
              </w:rPr>
              <w:t>（1）室外声源</w:t>
            </w:r>
          </w:p>
          <w:p w14:paraId="4E8AA865">
            <w:pPr>
              <w:spacing w:line="360" w:lineRule="auto"/>
              <w:ind w:firstLine="480" w:firstLineChars="200"/>
              <w:rPr>
                <w:color w:val="000000"/>
                <w:kern w:val="0"/>
                <w:lang w:bidi="ar"/>
              </w:rPr>
            </w:pPr>
            <w:r>
              <w:rPr>
                <w:color w:val="000000"/>
                <w:kern w:val="0"/>
                <w:lang w:bidi="ar"/>
              </w:rPr>
              <w:t>计算基本公式为：</w:t>
            </w:r>
          </w:p>
          <w:p w14:paraId="1C669019">
            <w:pPr>
              <w:spacing w:line="360" w:lineRule="auto"/>
              <w:ind w:firstLine="480" w:firstLineChars="200"/>
              <w:jc w:val="center"/>
              <w:rPr>
                <w:color w:val="000000"/>
                <w:kern w:val="0"/>
                <w:lang w:bidi="ar"/>
              </w:rPr>
            </w:pPr>
            <w:r>
              <w:rPr>
                <w:rFonts w:hint="eastAsia"/>
                <w:color w:val="000000"/>
                <w:kern w:val="0"/>
                <w:position w:val="-14"/>
                <w:lang w:bidi="ar"/>
              </w:rPr>
              <w:object>
                <v:shape id="_x0000_i1025" o:spt="75" type="#_x0000_t75" style="height:18.75pt;width:252.7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14:paraId="5D0074BC">
            <w:pPr>
              <w:adjustRightInd w:val="0"/>
              <w:snapToGrid w:val="0"/>
              <w:spacing w:line="360" w:lineRule="auto"/>
              <w:ind w:firstLine="480" w:firstLineChars="200"/>
              <w:rPr>
                <w:bCs/>
                <w:color w:val="000000"/>
              </w:rPr>
            </w:pPr>
            <w:r>
              <w:rPr>
                <w:bCs/>
                <w:color w:val="000000"/>
              </w:rPr>
              <w:t>式中：</w:t>
            </w:r>
            <w:r>
              <w:rPr>
                <w:bCs/>
                <w:color w:val="000000"/>
                <w:position w:val="-14"/>
              </w:rPr>
              <w:object>
                <v:shape id="_x0000_i1026" o:spt="75" type="#_x0000_t75" style="height:18.75pt;width:30.7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bCs/>
                <w:color w:val="000000"/>
              </w:rPr>
              <w:t>——预测点处的声压级，dB；</w:t>
            </w:r>
          </w:p>
          <w:p w14:paraId="5EDC976F">
            <w:pPr>
              <w:adjustRightInd w:val="0"/>
              <w:snapToGrid w:val="0"/>
              <w:spacing w:line="360" w:lineRule="auto"/>
              <w:ind w:firstLine="1200" w:firstLineChars="500"/>
              <w:rPr>
                <w:bCs/>
                <w:color w:val="000000"/>
              </w:rPr>
            </w:pPr>
            <w:r>
              <w:rPr>
                <w:bCs/>
                <w:color w:val="000000"/>
                <w:position w:val="-14"/>
              </w:rPr>
              <w:object>
                <v:shape id="_x0000_i1027" o:spt="75" type="#_x0000_t75" style="height:18.75pt;width:33.7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bCs/>
                <w:color w:val="000000"/>
              </w:rPr>
              <w:t>——</w:t>
            </w:r>
            <w:r>
              <w:rPr>
                <w:rFonts w:hint="eastAsia"/>
                <w:bCs/>
                <w:color w:val="000000"/>
              </w:rPr>
              <w:t>参考位置</w:t>
            </w:r>
            <w:r>
              <w:rPr>
                <w:rFonts w:hint="eastAsia"/>
                <w:bCs/>
                <w:color w:val="000000"/>
                <w:position w:val="-12"/>
              </w:rPr>
              <w:object>
                <v:shape id="_x0000_i1028" o:spt="75" type="#_x0000_t75" style="height:18pt;width:11.25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r>
              <w:rPr>
                <w:rFonts w:hint="eastAsia"/>
                <w:bCs/>
                <w:color w:val="000000"/>
              </w:rPr>
              <w:t>处</w:t>
            </w:r>
            <w:r>
              <w:rPr>
                <w:bCs/>
                <w:color w:val="000000"/>
              </w:rPr>
              <w:t>的声压</w:t>
            </w:r>
            <w:r>
              <w:rPr>
                <w:rFonts w:hint="eastAsia"/>
                <w:bCs/>
                <w:color w:val="000000"/>
              </w:rPr>
              <w:t>级</w:t>
            </w:r>
            <w:r>
              <w:rPr>
                <w:bCs/>
                <w:color w:val="000000"/>
              </w:rPr>
              <w:t>，dB；</w:t>
            </w:r>
          </w:p>
          <w:p w14:paraId="742D2D37">
            <w:pPr>
              <w:adjustRightInd w:val="0"/>
              <w:snapToGrid w:val="0"/>
              <w:spacing w:line="360" w:lineRule="auto"/>
              <w:ind w:firstLine="1200" w:firstLineChars="500"/>
              <w:rPr>
                <w:bCs/>
                <w:color w:val="000000"/>
              </w:rPr>
            </w:pPr>
            <w:r>
              <w:rPr>
                <w:rFonts w:hint="eastAsia"/>
                <w:bCs/>
                <w:color w:val="000000"/>
                <w:position w:val="-12"/>
              </w:rPr>
              <w:object>
                <v:shape id="_x0000_i1029" o:spt="75" type="#_x0000_t75" style="height:18pt;width:18pt;" o:ole="t" filled="f" o:preferrelative="t" stroked="f" coordsize="21600,21600">
                  <v:path/>
                  <v:fill on="f" focussize="0,0"/>
                  <v:stroke on="f" joinstyle="miter"/>
                  <v:imagedata r:id="rId26" o:title=""/>
                  <o:lock v:ext="edit" aspectratio="t"/>
                  <w10:wrap type="none"/>
                  <w10:anchorlock/>
                </v:shape>
                <o:OLEObject Type="Embed" ProgID="Equation.3" ShapeID="_x0000_i1029" DrawAspect="Content" ObjectID="_1468075729" r:id="rId25">
                  <o:LockedField>false</o:LockedField>
                </o:OLEObject>
              </w:object>
            </w:r>
            <w:r>
              <w:rPr>
                <w:rFonts w:hint="eastAsia"/>
                <w:bCs/>
                <w:color w:val="000000"/>
              </w:rPr>
              <w:t>——指向性校正，它描述点声源的等效连续声压级与产生声功率级</w:t>
            </w:r>
            <w:r>
              <w:rPr>
                <w:rFonts w:hint="eastAsia"/>
                <w:bCs/>
                <w:color w:val="000000"/>
                <w:position w:val="-12"/>
              </w:rPr>
              <w:object>
                <v:shape id="_x0000_i1030" o:spt="75" type="#_x0000_t75" style="height:18pt;width:15pt;" o:ole="t" filled="f" o:preferrelative="t" stroked="f" coordsize="21600,21600">
                  <v:path/>
                  <v:fill on="f" focussize="0,0"/>
                  <v:stroke on="f" joinstyle="miter"/>
                  <v:imagedata r:id="rId28" o:title=""/>
                  <o:lock v:ext="edit" aspectratio="t"/>
                  <w10:wrap type="none"/>
                  <w10:anchorlock/>
                </v:shape>
                <o:OLEObject Type="Embed" ProgID="Equation.3" ShapeID="_x0000_i1030" DrawAspect="Content" ObjectID="_1468075730" r:id="rId27">
                  <o:LockedField>false</o:LockedField>
                </o:OLEObject>
              </w:object>
            </w:r>
            <w:r>
              <w:rPr>
                <w:rFonts w:hint="eastAsia"/>
                <w:bCs/>
                <w:color w:val="000000"/>
              </w:rPr>
              <w:t>的全向点声源在规定方向的声级的偏差程度，dB；</w:t>
            </w:r>
          </w:p>
          <w:p w14:paraId="75BD0696">
            <w:pPr>
              <w:adjustRightInd w:val="0"/>
              <w:snapToGrid w:val="0"/>
              <w:spacing w:line="360" w:lineRule="auto"/>
              <w:ind w:firstLine="1200" w:firstLineChars="500"/>
              <w:rPr>
                <w:bCs/>
                <w:color w:val="000000"/>
              </w:rPr>
            </w:pPr>
            <w:r>
              <w:rPr>
                <w:bCs/>
                <w:color w:val="000000"/>
                <w:position w:val="-12"/>
              </w:rPr>
              <w:object>
                <v:shape id="_x0000_i1031" o:spt="75" type="#_x0000_t75" style="height:18pt;width:20.25pt;" o:ole="t" filled="f" o:preferrelative="t" stroked="f" coordsize="21600,21600">
                  <v:path/>
                  <v:fill on="f" focussize="0,0"/>
                  <v:stroke on="f" joinstyle="miter"/>
                  <v:imagedata r:id="rId30" o:title=""/>
                  <o:lock v:ext="edit" aspectratio="t"/>
                  <w10:wrap type="none"/>
                  <w10:anchorlock/>
                </v:shape>
                <o:OLEObject Type="Embed" ProgID="Equation.3" ShapeID="_x0000_i1031" DrawAspect="Content" ObjectID="_1468075731" r:id="rId29">
                  <o:LockedField>false</o:LockedField>
                </o:OLEObject>
              </w:object>
            </w:r>
            <w:r>
              <w:rPr>
                <w:bCs/>
                <w:color w:val="000000"/>
              </w:rPr>
              <w:t>——几何发散引起的衰减，dB；</w:t>
            </w:r>
          </w:p>
          <w:p w14:paraId="02B17980">
            <w:pPr>
              <w:adjustRightInd w:val="0"/>
              <w:snapToGrid w:val="0"/>
              <w:spacing w:line="360" w:lineRule="auto"/>
              <w:ind w:firstLine="1200" w:firstLineChars="500"/>
              <w:rPr>
                <w:bCs/>
                <w:color w:val="000000"/>
              </w:rPr>
            </w:pPr>
            <w:r>
              <w:rPr>
                <w:bCs/>
                <w:color w:val="000000"/>
                <w:position w:val="-12"/>
              </w:rPr>
              <w:object>
                <v:shape id="_x0000_i1032" o:spt="75" type="#_x0000_t75" style="height:18pt;width:21.75pt;" o:ole="t" filled="f" o:preferrelative="t" stroked="f" coordsize="21600,21600">
                  <v:path/>
                  <v:fill on="f" focussize="0,0"/>
                  <v:stroke on="f" joinstyle="miter"/>
                  <v:imagedata r:id="rId32" o:title=""/>
                  <o:lock v:ext="edit" aspectratio="t"/>
                  <w10:wrap type="none"/>
                  <w10:anchorlock/>
                </v:shape>
                <o:OLEObject Type="Embed" ProgID="Equation.3" ShapeID="_x0000_i1032" DrawAspect="Content" ObjectID="_1468075732" r:id="rId31">
                  <o:LockedField>false</o:LockedField>
                </o:OLEObject>
              </w:object>
            </w:r>
            <w:r>
              <w:rPr>
                <w:bCs/>
                <w:color w:val="000000"/>
              </w:rPr>
              <w:t>——大气吸收引起的衰减，dB；</w:t>
            </w:r>
          </w:p>
          <w:p w14:paraId="1AE6C740">
            <w:pPr>
              <w:adjustRightInd w:val="0"/>
              <w:snapToGrid w:val="0"/>
              <w:spacing w:line="360" w:lineRule="auto"/>
              <w:ind w:firstLine="1200" w:firstLineChars="500"/>
              <w:rPr>
                <w:bCs/>
                <w:color w:val="000000"/>
              </w:rPr>
            </w:pPr>
            <w:r>
              <w:rPr>
                <w:bCs/>
                <w:color w:val="000000"/>
                <w:position w:val="-14"/>
              </w:rPr>
              <w:object>
                <v:shape id="_x0000_i1033" o:spt="75" type="#_x0000_t75" style="height:18.75pt;width:18pt;" o:ole="t" filled="f" o:preferrelative="t" stroked="f" coordsize="21600,21600">
                  <v:path/>
                  <v:fill on="f" focussize="0,0"/>
                  <v:stroke on="f" joinstyle="miter"/>
                  <v:imagedata r:id="rId34" o:title=""/>
                  <o:lock v:ext="edit" aspectratio="t"/>
                  <w10:wrap type="none"/>
                  <w10:anchorlock/>
                </v:shape>
                <o:OLEObject Type="Embed" ProgID="Equation.3" ShapeID="_x0000_i1033" DrawAspect="Content" ObjectID="_1468075733" r:id="rId33">
                  <o:LockedField>false</o:LockedField>
                </o:OLEObject>
              </w:object>
            </w:r>
            <w:r>
              <w:rPr>
                <w:bCs/>
                <w:color w:val="000000"/>
              </w:rPr>
              <w:t>——地面效应引起的衰减，dB；</w:t>
            </w:r>
          </w:p>
          <w:p w14:paraId="200A53C2">
            <w:pPr>
              <w:adjustRightInd w:val="0"/>
              <w:snapToGrid w:val="0"/>
              <w:spacing w:line="360" w:lineRule="auto"/>
              <w:ind w:firstLine="1200" w:firstLineChars="500"/>
              <w:rPr>
                <w:bCs/>
                <w:color w:val="000000"/>
              </w:rPr>
            </w:pPr>
            <w:r>
              <w:rPr>
                <w:bCs/>
                <w:color w:val="000000"/>
                <w:position w:val="-12"/>
              </w:rPr>
              <w:object>
                <v:shape id="_x0000_i1034" o:spt="75" type="#_x0000_t75" style="height:18pt;width:21pt;" o:ole="t" filled="f" o:preferrelative="t" stroked="f" coordsize="21600,21600">
                  <v:path/>
                  <v:fill on="f" focussize="0,0"/>
                  <v:stroke on="f" joinstyle="miter"/>
                  <v:imagedata r:id="rId36" o:title=""/>
                  <o:lock v:ext="edit" aspectratio="t"/>
                  <w10:wrap type="none"/>
                  <w10:anchorlock/>
                </v:shape>
                <o:OLEObject Type="Embed" ProgID="Equation.3" ShapeID="_x0000_i1034" DrawAspect="Content" ObjectID="_1468075734" r:id="rId35">
                  <o:LockedField>false</o:LockedField>
                </o:OLEObject>
              </w:object>
            </w:r>
            <w:r>
              <w:rPr>
                <w:bCs/>
                <w:color w:val="000000"/>
              </w:rPr>
              <w:t>——</w:t>
            </w:r>
            <w:r>
              <w:rPr>
                <w:rFonts w:hint="eastAsia"/>
                <w:bCs/>
                <w:color w:val="000000"/>
              </w:rPr>
              <w:t>障碍物</w:t>
            </w:r>
            <w:r>
              <w:rPr>
                <w:bCs/>
                <w:color w:val="000000"/>
              </w:rPr>
              <w:t>屏障引起的衰减，dB；</w:t>
            </w:r>
          </w:p>
          <w:p w14:paraId="1C7F96C6">
            <w:pPr>
              <w:adjustRightInd w:val="0"/>
              <w:snapToGrid w:val="0"/>
              <w:spacing w:line="360" w:lineRule="auto"/>
              <w:ind w:firstLine="1200" w:firstLineChars="500"/>
              <w:rPr>
                <w:bCs/>
                <w:color w:val="000000"/>
              </w:rPr>
            </w:pPr>
            <w:r>
              <w:rPr>
                <w:bCs/>
                <w:color w:val="000000"/>
                <w:position w:val="-12"/>
              </w:rPr>
              <w:object>
                <v:shape id="_x0000_i1035" o:spt="75" type="#_x0000_t75" style="height:18pt;width:24pt;" o:ole="t" filled="f" o:preferrelative="t" stroked="f" coordsize="21600,21600">
                  <v:path/>
                  <v:fill on="f" focussize="0,0"/>
                  <v:stroke on="f" joinstyle="miter"/>
                  <v:imagedata r:id="rId38" o:title=""/>
                  <o:lock v:ext="edit" aspectratio="t"/>
                  <w10:wrap type="none"/>
                  <w10:anchorlock/>
                </v:shape>
                <o:OLEObject Type="Embed" ProgID="Equation.3" ShapeID="_x0000_i1035" DrawAspect="Content" ObjectID="_1468075735" r:id="rId37">
                  <o:LockedField>false</o:LockedField>
                </o:OLEObject>
              </w:object>
            </w:r>
            <w:r>
              <w:rPr>
                <w:bCs/>
                <w:color w:val="000000"/>
              </w:rPr>
              <w:t>——其他多方面效应引起的衰减，dB。</w:t>
            </w:r>
          </w:p>
          <w:p w14:paraId="460E6E39">
            <w:pPr>
              <w:adjustRightInd w:val="0"/>
              <w:snapToGrid w:val="0"/>
              <w:spacing w:line="360" w:lineRule="auto"/>
              <w:ind w:firstLine="480" w:firstLineChars="200"/>
              <w:rPr>
                <w:bCs/>
                <w:color w:val="000000"/>
              </w:rPr>
            </w:pPr>
            <w:r>
              <w:rPr>
                <w:bCs/>
                <w:color w:val="000000"/>
              </w:rPr>
              <w:t>为保守起见，本次预测仅考虑</w:t>
            </w:r>
            <w:r>
              <w:rPr>
                <w:rFonts w:hint="eastAsia"/>
                <w:bCs/>
                <w:color w:val="000000"/>
              </w:rPr>
              <w:t>点声源</w:t>
            </w:r>
            <w:r>
              <w:rPr>
                <w:bCs/>
                <w:color w:val="000000"/>
              </w:rPr>
              <w:t>几何发散衰减，</w:t>
            </w:r>
            <w:r>
              <w:rPr>
                <w:rFonts w:hint="eastAsia"/>
                <w:bCs/>
                <w:color w:val="000000"/>
              </w:rPr>
              <w:t>无指向性点声源几何发散衰减的基本公式</w:t>
            </w:r>
            <w:r>
              <w:rPr>
                <w:bCs/>
                <w:color w:val="000000"/>
              </w:rPr>
              <w:t>如下：</w:t>
            </w:r>
          </w:p>
          <w:p w14:paraId="47BF6377">
            <w:pPr>
              <w:adjustRightInd w:val="0"/>
              <w:snapToGrid w:val="0"/>
              <w:spacing w:line="360" w:lineRule="auto"/>
              <w:ind w:firstLine="480" w:firstLineChars="200"/>
              <w:jc w:val="center"/>
              <w:rPr>
                <w:bCs/>
                <w:color w:val="000000"/>
              </w:rPr>
            </w:pPr>
            <w:r>
              <w:rPr>
                <w:color w:val="000000"/>
              </w:rPr>
              <w:drawing>
                <wp:inline distT="0" distB="0" distL="114300" distR="114300">
                  <wp:extent cx="1961515" cy="539750"/>
                  <wp:effectExtent l="0" t="0" r="635" b="1270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39"/>
                          <a:stretch>
                            <a:fillRect/>
                          </a:stretch>
                        </pic:blipFill>
                        <pic:spPr>
                          <a:xfrm>
                            <a:off x="0" y="0"/>
                            <a:ext cx="1961515" cy="539750"/>
                          </a:xfrm>
                          <a:prstGeom prst="rect">
                            <a:avLst/>
                          </a:prstGeom>
                          <a:noFill/>
                          <a:ln>
                            <a:noFill/>
                          </a:ln>
                        </pic:spPr>
                      </pic:pic>
                    </a:graphicData>
                  </a:graphic>
                </wp:inline>
              </w:drawing>
            </w:r>
          </w:p>
          <w:p w14:paraId="31200D96">
            <w:pPr>
              <w:adjustRightInd w:val="0"/>
              <w:snapToGrid w:val="0"/>
              <w:spacing w:line="360" w:lineRule="auto"/>
              <w:ind w:firstLine="480" w:firstLineChars="200"/>
              <w:rPr>
                <w:bCs/>
                <w:color w:val="000000"/>
              </w:rPr>
            </w:pPr>
            <w:r>
              <w:rPr>
                <w:bCs/>
                <w:color w:val="000000"/>
              </w:rPr>
              <w:t>（2）室内声源</w:t>
            </w:r>
          </w:p>
          <w:p w14:paraId="6D80EB25">
            <w:pPr>
              <w:adjustRightInd w:val="0"/>
              <w:snapToGrid w:val="0"/>
              <w:spacing w:line="360" w:lineRule="auto"/>
              <w:ind w:firstLine="480" w:firstLineChars="200"/>
              <w:rPr>
                <w:bCs/>
                <w:color w:val="000000"/>
              </w:rPr>
            </w:pPr>
            <w:r>
              <w:rPr>
                <w:bCs/>
                <w:color w:val="000000"/>
              </w:rPr>
              <w:t>对室内噪声源采用等效室外声源声功率级法进行计算。设靠近开口处（或窗户）室内、室外某倍频带的声压级分别为Lp1和Lp2。若声源所在室内声场为近似扩散声场，则室外的倍频带声压级可按下式近似求出：</w:t>
            </w:r>
          </w:p>
          <w:p w14:paraId="054DD8EF">
            <w:pPr>
              <w:adjustRightInd w:val="0"/>
              <w:snapToGrid w:val="0"/>
              <w:spacing w:line="360" w:lineRule="auto"/>
              <w:ind w:firstLine="480" w:firstLineChars="200"/>
              <w:jc w:val="center"/>
              <w:rPr>
                <w:bCs/>
                <w:color w:val="000000"/>
              </w:rPr>
            </w:pPr>
            <w:r>
              <w:rPr>
                <w:color w:val="000000"/>
              </w:rPr>
              <w:drawing>
                <wp:inline distT="0" distB="0" distL="114300" distR="114300">
                  <wp:extent cx="1653540" cy="328930"/>
                  <wp:effectExtent l="0" t="0" r="3810" b="1397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40"/>
                          <a:stretch>
                            <a:fillRect/>
                          </a:stretch>
                        </pic:blipFill>
                        <pic:spPr>
                          <a:xfrm>
                            <a:off x="0" y="0"/>
                            <a:ext cx="1653540" cy="328930"/>
                          </a:xfrm>
                          <a:prstGeom prst="rect">
                            <a:avLst/>
                          </a:prstGeom>
                          <a:noFill/>
                          <a:ln>
                            <a:noFill/>
                          </a:ln>
                        </pic:spPr>
                      </pic:pic>
                    </a:graphicData>
                  </a:graphic>
                </wp:inline>
              </w:drawing>
            </w:r>
          </w:p>
          <w:p w14:paraId="5243D296">
            <w:pPr>
              <w:adjustRightInd w:val="0"/>
              <w:snapToGrid w:val="0"/>
              <w:spacing w:line="360" w:lineRule="auto"/>
              <w:ind w:firstLine="480" w:firstLineChars="200"/>
              <w:rPr>
                <w:bCs/>
                <w:color w:val="000000"/>
              </w:rPr>
            </w:pPr>
            <w:r>
              <w:rPr>
                <w:bCs/>
                <w:color w:val="000000"/>
              </w:rPr>
              <w:t>式中：TL—隔墙（或窗户）倍频带的隔声量，dB(A)。</w:t>
            </w:r>
          </w:p>
          <w:p w14:paraId="26EBBCF5">
            <w:pPr>
              <w:adjustRightInd w:val="0"/>
              <w:snapToGrid w:val="0"/>
              <w:spacing w:line="360" w:lineRule="auto"/>
              <w:ind w:firstLine="480" w:firstLineChars="200"/>
              <w:jc w:val="center"/>
              <w:rPr>
                <w:bCs/>
                <w:color w:val="000000"/>
              </w:rPr>
            </w:pPr>
            <w:r>
              <w:rPr>
                <w:color w:val="000000"/>
              </w:rPr>
              <w:drawing>
                <wp:inline distT="0" distB="0" distL="114300" distR="114300">
                  <wp:extent cx="3131820" cy="1565910"/>
                  <wp:effectExtent l="0" t="0" r="11430" b="152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1"/>
                          <a:stretch>
                            <a:fillRect/>
                          </a:stretch>
                        </pic:blipFill>
                        <pic:spPr>
                          <a:xfrm>
                            <a:off x="0" y="0"/>
                            <a:ext cx="3131820" cy="1565910"/>
                          </a:xfrm>
                          <a:prstGeom prst="rect">
                            <a:avLst/>
                          </a:prstGeom>
                          <a:noFill/>
                          <a:ln>
                            <a:noFill/>
                          </a:ln>
                        </pic:spPr>
                      </pic:pic>
                    </a:graphicData>
                  </a:graphic>
                </wp:inline>
              </w:drawing>
            </w:r>
          </w:p>
          <w:p w14:paraId="785CA420">
            <w:pPr>
              <w:adjustRightInd w:val="0"/>
              <w:snapToGrid w:val="0"/>
              <w:spacing w:line="360" w:lineRule="auto"/>
              <w:ind w:firstLine="480" w:firstLineChars="200"/>
              <w:rPr>
                <w:bCs/>
                <w:color w:val="000000"/>
              </w:rPr>
            </w:pPr>
            <w:r>
              <w:rPr>
                <w:bCs/>
                <w:color w:val="000000"/>
              </w:rPr>
              <w:t>也可按照下式计算某一室内声源靠近围护结构处产生的倍频带声压级：</w:t>
            </w:r>
          </w:p>
          <w:p w14:paraId="5DD41DDA">
            <w:pPr>
              <w:adjustRightInd w:val="0"/>
              <w:snapToGrid w:val="0"/>
              <w:spacing w:line="360" w:lineRule="auto"/>
              <w:ind w:firstLine="480" w:firstLineChars="200"/>
              <w:jc w:val="center"/>
              <w:rPr>
                <w:bCs/>
                <w:color w:val="000000"/>
              </w:rPr>
            </w:pPr>
            <w:r>
              <w:rPr>
                <w:color w:val="000000"/>
              </w:rPr>
              <w:drawing>
                <wp:inline distT="0" distB="0" distL="114300" distR="114300">
                  <wp:extent cx="1934845" cy="495300"/>
                  <wp:effectExtent l="0" t="0" r="825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2"/>
                          <a:stretch>
                            <a:fillRect/>
                          </a:stretch>
                        </pic:blipFill>
                        <pic:spPr>
                          <a:xfrm>
                            <a:off x="0" y="0"/>
                            <a:ext cx="1934845" cy="495300"/>
                          </a:xfrm>
                          <a:prstGeom prst="rect">
                            <a:avLst/>
                          </a:prstGeom>
                          <a:noFill/>
                          <a:ln>
                            <a:noFill/>
                          </a:ln>
                        </pic:spPr>
                      </pic:pic>
                    </a:graphicData>
                  </a:graphic>
                </wp:inline>
              </w:drawing>
            </w:r>
          </w:p>
          <w:p w14:paraId="4797F83C">
            <w:pPr>
              <w:adjustRightInd w:val="0"/>
              <w:snapToGrid w:val="0"/>
              <w:spacing w:line="360" w:lineRule="auto"/>
              <w:ind w:firstLine="480" w:firstLineChars="200"/>
              <w:rPr>
                <w:bCs/>
                <w:color w:val="000000"/>
              </w:rPr>
            </w:pPr>
            <w:r>
              <w:rPr>
                <w:bCs/>
                <w:color w:val="000000"/>
              </w:rPr>
              <w:t>式中：Q——指向性因数；通常对无指向性声源，当声源放在房间中心时，Q=1；当入在一面墙的中心时，Q=2；当放在两面墙夹角处时，Q=4；当放在三面墙夹角处时，Q=8；</w:t>
            </w:r>
          </w:p>
          <w:p w14:paraId="369F8A99">
            <w:pPr>
              <w:adjustRightInd w:val="0"/>
              <w:snapToGrid w:val="0"/>
              <w:spacing w:line="360" w:lineRule="auto"/>
              <w:ind w:firstLine="1200" w:firstLineChars="500"/>
              <w:rPr>
                <w:bCs/>
                <w:color w:val="000000"/>
              </w:rPr>
            </w:pPr>
            <w:r>
              <w:rPr>
                <w:bCs/>
                <w:color w:val="000000"/>
              </w:rPr>
              <w:t>R——房间常数；R=Sα/(1−α)，S为房间内表面面积，m</w:t>
            </w:r>
            <w:r>
              <w:rPr>
                <w:bCs/>
                <w:color w:val="000000"/>
                <w:vertAlign w:val="superscript"/>
              </w:rPr>
              <w:t>2</w:t>
            </w:r>
            <w:r>
              <w:rPr>
                <w:bCs/>
                <w:color w:val="000000"/>
              </w:rPr>
              <w:t>；α为平均吸声系数；</w:t>
            </w:r>
          </w:p>
          <w:p w14:paraId="563E79A6">
            <w:pPr>
              <w:adjustRightInd w:val="0"/>
              <w:snapToGrid w:val="0"/>
              <w:spacing w:line="360" w:lineRule="auto"/>
              <w:ind w:firstLine="1200" w:firstLineChars="500"/>
              <w:rPr>
                <w:bCs/>
                <w:color w:val="000000"/>
              </w:rPr>
            </w:pPr>
            <w:r>
              <w:rPr>
                <w:bCs/>
                <w:color w:val="000000"/>
              </w:rPr>
              <w:t>r——声源到靠近围护结构某点处的距离，m。</w:t>
            </w:r>
          </w:p>
          <w:p w14:paraId="4F6CE392">
            <w:pPr>
              <w:adjustRightInd w:val="0"/>
              <w:snapToGrid w:val="0"/>
              <w:spacing w:line="360" w:lineRule="auto"/>
              <w:ind w:firstLine="480" w:firstLineChars="200"/>
              <w:rPr>
                <w:bCs/>
                <w:color w:val="000000"/>
              </w:rPr>
            </w:pPr>
            <w:r>
              <w:rPr>
                <w:bCs/>
                <w:color w:val="000000"/>
              </w:rPr>
              <w:t>所有室内声源在围护结构处产生的i倍频带叠加声压级的计算：</w:t>
            </w:r>
          </w:p>
          <w:p w14:paraId="402D3003">
            <w:pPr>
              <w:adjustRightInd w:val="0"/>
              <w:snapToGrid w:val="0"/>
              <w:spacing w:line="360" w:lineRule="auto"/>
              <w:ind w:firstLine="480" w:firstLineChars="200"/>
              <w:jc w:val="center"/>
              <w:rPr>
                <w:bCs/>
                <w:color w:val="000000"/>
              </w:rPr>
            </w:pPr>
            <w:r>
              <w:rPr>
                <w:color w:val="000000"/>
              </w:rPr>
              <w:drawing>
                <wp:inline distT="0" distB="0" distL="114300" distR="114300">
                  <wp:extent cx="1835785" cy="518160"/>
                  <wp:effectExtent l="0" t="0" r="12065" b="1524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43"/>
                          <a:stretch>
                            <a:fillRect/>
                          </a:stretch>
                        </pic:blipFill>
                        <pic:spPr>
                          <a:xfrm>
                            <a:off x="0" y="0"/>
                            <a:ext cx="1835785" cy="518160"/>
                          </a:xfrm>
                          <a:prstGeom prst="rect">
                            <a:avLst/>
                          </a:prstGeom>
                          <a:noFill/>
                          <a:ln>
                            <a:noFill/>
                          </a:ln>
                        </pic:spPr>
                      </pic:pic>
                    </a:graphicData>
                  </a:graphic>
                </wp:inline>
              </w:drawing>
            </w:r>
          </w:p>
          <w:p w14:paraId="703D65BE">
            <w:pPr>
              <w:adjustRightInd w:val="0"/>
              <w:snapToGrid w:val="0"/>
              <w:spacing w:line="360" w:lineRule="auto"/>
              <w:ind w:firstLine="480" w:firstLineChars="200"/>
              <w:rPr>
                <w:bCs/>
                <w:color w:val="000000"/>
              </w:rPr>
            </w:pPr>
            <w:r>
              <w:rPr>
                <w:bCs/>
                <w:color w:val="000000"/>
              </w:rPr>
              <w:t>式中：LP1,i（T）——靠近围护结构处室内N个声源i倍频带的叠加声压级，dB；</w:t>
            </w:r>
          </w:p>
          <w:p w14:paraId="75DCE13E">
            <w:pPr>
              <w:adjustRightInd w:val="0"/>
              <w:snapToGrid w:val="0"/>
              <w:spacing w:line="360" w:lineRule="auto"/>
              <w:ind w:firstLine="1200" w:firstLineChars="500"/>
              <w:rPr>
                <w:bCs/>
                <w:color w:val="000000"/>
              </w:rPr>
            </w:pPr>
            <w:r>
              <w:rPr>
                <w:bCs/>
                <w:color w:val="000000"/>
              </w:rPr>
              <w:t>LP1,j——室内j声源i倍频带的声压级，dB；</w:t>
            </w:r>
          </w:p>
          <w:p w14:paraId="756C2581">
            <w:pPr>
              <w:adjustRightInd w:val="0"/>
              <w:snapToGrid w:val="0"/>
              <w:spacing w:line="360" w:lineRule="auto"/>
              <w:ind w:firstLine="1200" w:firstLineChars="500"/>
              <w:rPr>
                <w:bCs/>
                <w:color w:val="000000"/>
              </w:rPr>
            </w:pPr>
            <w:r>
              <w:rPr>
                <w:bCs/>
                <w:color w:val="000000"/>
              </w:rPr>
              <w:t>N——室内声源总数；</w:t>
            </w:r>
          </w:p>
          <w:p w14:paraId="3C65FD1C">
            <w:pPr>
              <w:adjustRightInd w:val="0"/>
              <w:snapToGrid w:val="0"/>
              <w:spacing w:line="360" w:lineRule="auto"/>
              <w:ind w:firstLine="480" w:firstLineChars="200"/>
              <w:rPr>
                <w:bCs/>
                <w:color w:val="000000"/>
              </w:rPr>
            </w:pPr>
            <w:r>
              <w:rPr>
                <w:bCs/>
                <w:color w:val="000000"/>
              </w:rPr>
              <w:t>在室内近似为扩散声场时，按下式计算出靠近室外围护结构处的声压级：</w:t>
            </w:r>
          </w:p>
          <w:p w14:paraId="143C880C">
            <w:pPr>
              <w:adjustRightInd w:val="0"/>
              <w:snapToGrid w:val="0"/>
              <w:spacing w:line="360" w:lineRule="auto"/>
              <w:ind w:firstLine="480" w:firstLineChars="200"/>
              <w:jc w:val="center"/>
              <w:rPr>
                <w:bCs/>
                <w:color w:val="000000"/>
              </w:rPr>
            </w:pPr>
            <w:r>
              <w:rPr>
                <w:color w:val="000000"/>
              </w:rPr>
              <w:drawing>
                <wp:inline distT="0" distB="0" distL="114300" distR="114300">
                  <wp:extent cx="2029460" cy="321310"/>
                  <wp:effectExtent l="0" t="0" r="8890" b="25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4"/>
                          <a:stretch>
                            <a:fillRect/>
                          </a:stretch>
                        </pic:blipFill>
                        <pic:spPr>
                          <a:xfrm>
                            <a:off x="0" y="0"/>
                            <a:ext cx="2029460" cy="321310"/>
                          </a:xfrm>
                          <a:prstGeom prst="rect">
                            <a:avLst/>
                          </a:prstGeom>
                          <a:noFill/>
                          <a:ln>
                            <a:noFill/>
                          </a:ln>
                        </pic:spPr>
                      </pic:pic>
                    </a:graphicData>
                  </a:graphic>
                </wp:inline>
              </w:drawing>
            </w:r>
          </w:p>
          <w:p w14:paraId="4E807F85">
            <w:pPr>
              <w:adjustRightInd w:val="0"/>
              <w:snapToGrid w:val="0"/>
              <w:spacing w:line="360" w:lineRule="auto"/>
              <w:ind w:firstLine="480" w:firstLineChars="200"/>
              <w:rPr>
                <w:bCs/>
                <w:color w:val="000000"/>
              </w:rPr>
            </w:pPr>
            <w:r>
              <w:rPr>
                <w:bCs/>
                <w:color w:val="000000"/>
              </w:rPr>
              <w:t>式中：LP2,i（T）——靠近围护结构处室外N个声源i倍频带的叠加声压级，dB；</w:t>
            </w:r>
          </w:p>
          <w:p w14:paraId="1C102C1D">
            <w:pPr>
              <w:adjustRightInd w:val="0"/>
              <w:snapToGrid w:val="0"/>
              <w:spacing w:line="360" w:lineRule="auto"/>
              <w:ind w:firstLine="1200" w:firstLineChars="500"/>
              <w:rPr>
                <w:bCs/>
                <w:color w:val="000000"/>
              </w:rPr>
            </w:pPr>
            <w:r>
              <w:rPr>
                <w:bCs/>
                <w:color w:val="000000"/>
              </w:rPr>
              <w:t>TLi——围护结构i倍频带的隔声量，dB；</w:t>
            </w:r>
          </w:p>
          <w:p w14:paraId="40D5A88E">
            <w:pPr>
              <w:adjustRightInd w:val="0"/>
              <w:snapToGrid w:val="0"/>
              <w:spacing w:line="360" w:lineRule="auto"/>
              <w:ind w:firstLine="480" w:firstLineChars="200"/>
              <w:rPr>
                <w:bCs/>
                <w:color w:val="000000"/>
              </w:rPr>
            </w:pPr>
            <w:r>
              <w:rPr>
                <w:bCs/>
                <w:color w:val="000000"/>
              </w:rPr>
              <w:t>将室外声源的声压级和透过面积换算成等效的室外声源，计算出中心位置于透声面积（S）处的等效声源的倍频带声功率级，见下式：</w:t>
            </w:r>
          </w:p>
          <w:p w14:paraId="4516DB84">
            <w:pPr>
              <w:adjustRightInd w:val="0"/>
              <w:snapToGrid w:val="0"/>
              <w:spacing w:line="360" w:lineRule="auto"/>
              <w:ind w:firstLine="480" w:firstLineChars="200"/>
              <w:jc w:val="center"/>
              <w:rPr>
                <w:bCs/>
                <w:color w:val="000000"/>
              </w:rPr>
            </w:pPr>
            <w:r>
              <w:rPr>
                <w:color w:val="000000"/>
              </w:rPr>
              <w:drawing>
                <wp:inline distT="0" distB="0" distL="114300" distR="114300">
                  <wp:extent cx="1623695" cy="257175"/>
                  <wp:effectExtent l="0" t="0" r="14605"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45"/>
                          <a:stretch>
                            <a:fillRect/>
                          </a:stretch>
                        </pic:blipFill>
                        <pic:spPr>
                          <a:xfrm>
                            <a:off x="0" y="0"/>
                            <a:ext cx="1623695" cy="257175"/>
                          </a:xfrm>
                          <a:prstGeom prst="rect">
                            <a:avLst/>
                          </a:prstGeom>
                          <a:noFill/>
                          <a:ln>
                            <a:noFill/>
                          </a:ln>
                        </pic:spPr>
                      </pic:pic>
                    </a:graphicData>
                  </a:graphic>
                </wp:inline>
              </w:drawing>
            </w:r>
          </w:p>
          <w:p w14:paraId="3031AA91">
            <w:pPr>
              <w:adjustRightInd w:val="0"/>
              <w:snapToGrid w:val="0"/>
              <w:spacing w:line="360" w:lineRule="auto"/>
              <w:ind w:firstLine="480" w:firstLineChars="200"/>
              <w:rPr>
                <w:bCs/>
                <w:color w:val="000000"/>
              </w:rPr>
            </w:pPr>
            <w:r>
              <w:rPr>
                <w:bCs/>
                <w:color w:val="000000"/>
              </w:rPr>
              <w:t>然后按室外声源预测方法计算预测点处的A声级。</w:t>
            </w:r>
          </w:p>
          <w:p w14:paraId="09E4493D">
            <w:pPr>
              <w:adjustRightInd w:val="0"/>
              <w:snapToGrid w:val="0"/>
              <w:spacing w:line="360" w:lineRule="auto"/>
              <w:ind w:firstLine="480" w:firstLineChars="200"/>
              <w:rPr>
                <w:bCs/>
                <w:color w:val="000000"/>
              </w:rPr>
            </w:pPr>
            <w:r>
              <w:rPr>
                <w:bCs/>
                <w:color w:val="000000"/>
              </w:rPr>
              <w:t>（3）计算总声压级</w:t>
            </w:r>
          </w:p>
          <w:p w14:paraId="66C3E9A2">
            <w:pPr>
              <w:adjustRightInd w:val="0"/>
              <w:snapToGrid w:val="0"/>
              <w:spacing w:line="360" w:lineRule="auto"/>
              <w:ind w:firstLine="480" w:firstLineChars="200"/>
              <w:rPr>
                <w:bCs/>
                <w:color w:val="000000"/>
              </w:rPr>
            </w:pPr>
            <w:r>
              <w:rPr>
                <w:bCs/>
                <w:color w:val="000000"/>
              </w:rPr>
              <w:t>①多声源声压级的叠加</w:t>
            </w:r>
          </w:p>
          <w:p w14:paraId="70B81FC4">
            <w:pPr>
              <w:adjustRightInd w:val="0"/>
              <w:snapToGrid w:val="0"/>
              <w:spacing w:line="360" w:lineRule="auto"/>
              <w:ind w:firstLine="480" w:firstLineChars="200"/>
              <w:rPr>
                <w:bCs/>
                <w:color w:val="000000"/>
              </w:rPr>
            </w:pPr>
            <w:r>
              <w:rPr>
                <w:bCs/>
                <w:color w:val="000000"/>
              </w:rPr>
              <w:t>对两个以上多个声源同时存在时，多点源叠加计算总源强，采用如下公式：</w:t>
            </w:r>
          </w:p>
          <w:p w14:paraId="59713042">
            <w:pPr>
              <w:adjustRightInd w:val="0"/>
              <w:snapToGrid w:val="0"/>
              <w:spacing w:line="360" w:lineRule="auto"/>
              <w:ind w:firstLine="480" w:firstLineChars="200"/>
              <w:jc w:val="center"/>
              <w:rPr>
                <w:bCs/>
                <w:color w:val="000000"/>
              </w:rPr>
            </w:pPr>
            <w:r>
              <w:rPr>
                <w:color w:val="000000"/>
              </w:rPr>
              <w:drawing>
                <wp:inline distT="0" distB="0" distL="114300" distR="114300">
                  <wp:extent cx="2465705" cy="454660"/>
                  <wp:effectExtent l="0" t="0" r="10795" b="25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6"/>
                          <a:stretch>
                            <a:fillRect/>
                          </a:stretch>
                        </pic:blipFill>
                        <pic:spPr>
                          <a:xfrm>
                            <a:off x="0" y="0"/>
                            <a:ext cx="2465705" cy="454660"/>
                          </a:xfrm>
                          <a:prstGeom prst="rect">
                            <a:avLst/>
                          </a:prstGeom>
                          <a:noFill/>
                          <a:ln>
                            <a:noFill/>
                          </a:ln>
                        </pic:spPr>
                      </pic:pic>
                    </a:graphicData>
                  </a:graphic>
                </wp:inline>
              </w:drawing>
            </w:r>
          </w:p>
          <w:p w14:paraId="354E5B58">
            <w:pPr>
              <w:adjustRightInd w:val="0"/>
              <w:snapToGrid w:val="0"/>
              <w:spacing w:line="360" w:lineRule="auto"/>
              <w:ind w:firstLine="480" w:firstLineChars="200"/>
              <w:rPr>
                <w:bCs/>
                <w:color w:val="000000"/>
              </w:rPr>
            </w:pPr>
            <w:r>
              <w:rPr>
                <w:bCs/>
                <w:color w:val="000000"/>
              </w:rPr>
              <w:t>式中：Leqg——建设项目声源在预测点的等效声级贡献值，dB(A)；</w:t>
            </w:r>
          </w:p>
          <w:p w14:paraId="3E8B0A22">
            <w:pPr>
              <w:adjustRightInd w:val="0"/>
              <w:snapToGrid w:val="0"/>
              <w:spacing w:line="360" w:lineRule="auto"/>
              <w:ind w:firstLine="1200" w:firstLineChars="500"/>
              <w:rPr>
                <w:bCs/>
                <w:color w:val="000000"/>
              </w:rPr>
            </w:pPr>
            <w:r>
              <w:rPr>
                <w:bCs/>
                <w:color w:val="000000"/>
              </w:rPr>
              <w:t>LAi——第i个室外声源在预测点产生的A声级，dB(A)；</w:t>
            </w:r>
          </w:p>
          <w:p w14:paraId="75A97423">
            <w:pPr>
              <w:adjustRightInd w:val="0"/>
              <w:snapToGrid w:val="0"/>
              <w:spacing w:line="360" w:lineRule="auto"/>
              <w:ind w:firstLine="1200" w:firstLineChars="500"/>
              <w:rPr>
                <w:bCs/>
                <w:color w:val="000000"/>
              </w:rPr>
            </w:pPr>
            <w:r>
              <w:rPr>
                <w:bCs/>
                <w:color w:val="000000"/>
              </w:rPr>
              <w:t>LAj——第j个等效室外声源在预测点产生的A声级，dB(A)；</w:t>
            </w:r>
          </w:p>
          <w:p w14:paraId="1226DF00">
            <w:pPr>
              <w:adjustRightInd w:val="0"/>
              <w:snapToGrid w:val="0"/>
              <w:spacing w:line="360" w:lineRule="auto"/>
              <w:ind w:firstLine="1200" w:firstLineChars="500"/>
              <w:rPr>
                <w:bCs/>
                <w:color w:val="000000"/>
              </w:rPr>
            </w:pPr>
            <w:r>
              <w:rPr>
                <w:bCs/>
                <w:color w:val="000000"/>
              </w:rPr>
              <w:t>tj——在T时间内j声源工作时间，S；</w:t>
            </w:r>
          </w:p>
          <w:p w14:paraId="4D9932A1">
            <w:pPr>
              <w:adjustRightInd w:val="0"/>
              <w:snapToGrid w:val="0"/>
              <w:spacing w:line="360" w:lineRule="auto"/>
              <w:ind w:firstLine="1200" w:firstLineChars="500"/>
              <w:rPr>
                <w:bCs/>
                <w:color w:val="000000"/>
              </w:rPr>
            </w:pPr>
            <w:r>
              <w:rPr>
                <w:bCs/>
                <w:color w:val="000000"/>
              </w:rPr>
              <w:t>ti——在T时间内i声源工作时间，S；</w:t>
            </w:r>
          </w:p>
          <w:p w14:paraId="7CF2382B">
            <w:pPr>
              <w:adjustRightInd w:val="0"/>
              <w:snapToGrid w:val="0"/>
              <w:spacing w:line="360" w:lineRule="auto"/>
              <w:ind w:firstLine="1440" w:firstLineChars="600"/>
              <w:rPr>
                <w:bCs/>
                <w:color w:val="000000"/>
              </w:rPr>
            </w:pPr>
            <w:r>
              <w:rPr>
                <w:bCs/>
                <w:color w:val="000000"/>
              </w:rPr>
              <w:t>T——用于计算等效声级的时间，S；</w:t>
            </w:r>
          </w:p>
          <w:p w14:paraId="6723C7A6">
            <w:pPr>
              <w:adjustRightInd w:val="0"/>
              <w:snapToGrid w:val="0"/>
              <w:spacing w:line="360" w:lineRule="auto"/>
              <w:ind w:firstLine="1440" w:firstLineChars="600"/>
              <w:rPr>
                <w:bCs/>
                <w:color w:val="000000"/>
              </w:rPr>
            </w:pPr>
            <w:r>
              <w:rPr>
                <w:bCs/>
                <w:color w:val="000000"/>
              </w:rPr>
              <w:t>N——室外声源个数；</w:t>
            </w:r>
          </w:p>
          <w:p w14:paraId="5944B94A">
            <w:pPr>
              <w:adjustRightInd w:val="0"/>
              <w:snapToGrid w:val="0"/>
              <w:spacing w:line="360" w:lineRule="auto"/>
              <w:ind w:firstLine="1440" w:firstLineChars="600"/>
              <w:rPr>
                <w:bCs/>
                <w:color w:val="000000"/>
              </w:rPr>
            </w:pPr>
            <w:r>
              <w:rPr>
                <w:bCs/>
                <w:color w:val="000000"/>
              </w:rPr>
              <w:t>M——等效室外声源个数。</w:t>
            </w:r>
          </w:p>
          <w:p w14:paraId="2205A0ED">
            <w:pPr>
              <w:adjustRightInd w:val="0"/>
              <w:snapToGrid w:val="0"/>
              <w:spacing w:line="360" w:lineRule="auto"/>
              <w:ind w:firstLine="480" w:firstLineChars="200"/>
              <w:rPr>
                <w:bCs/>
                <w:color w:val="000000"/>
              </w:rPr>
            </w:pPr>
            <w:r>
              <w:rPr>
                <w:bCs/>
                <w:color w:val="000000"/>
              </w:rPr>
              <w:t>②预测点的噪声预测值</w:t>
            </w:r>
          </w:p>
          <w:p w14:paraId="387FD9A0">
            <w:pPr>
              <w:adjustRightInd w:val="0"/>
              <w:snapToGrid w:val="0"/>
              <w:spacing w:line="360" w:lineRule="auto"/>
              <w:ind w:firstLine="480" w:firstLineChars="200"/>
              <w:rPr>
                <w:bCs/>
                <w:color w:val="000000"/>
              </w:rPr>
            </w:pPr>
            <w:r>
              <w:rPr>
                <w:bCs/>
                <w:color w:val="000000"/>
              </w:rPr>
              <w:t>为预测项目噪声源对周围声环境的影响情况，首先预测噪声源随距离的衰减，然后将噪声源产生的噪声值与区域噪声背景值叠加，即可以预测不同距离的噪声值。叠加公式为：</w:t>
            </w:r>
          </w:p>
          <w:p w14:paraId="03A37418">
            <w:pPr>
              <w:adjustRightInd w:val="0"/>
              <w:snapToGrid w:val="0"/>
              <w:spacing w:line="360" w:lineRule="auto"/>
              <w:ind w:firstLine="480" w:firstLineChars="200"/>
              <w:jc w:val="center"/>
              <w:rPr>
                <w:bCs/>
                <w:color w:val="000000"/>
              </w:rPr>
            </w:pPr>
            <w:r>
              <w:rPr>
                <w:color w:val="000000"/>
              </w:rPr>
              <w:drawing>
                <wp:inline distT="0" distB="0" distL="114300" distR="114300">
                  <wp:extent cx="2040890" cy="364490"/>
                  <wp:effectExtent l="0" t="0" r="16510" b="1651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47"/>
                          <a:stretch>
                            <a:fillRect/>
                          </a:stretch>
                        </pic:blipFill>
                        <pic:spPr>
                          <a:xfrm>
                            <a:off x="0" y="0"/>
                            <a:ext cx="2040890" cy="364490"/>
                          </a:xfrm>
                          <a:prstGeom prst="rect">
                            <a:avLst/>
                          </a:prstGeom>
                          <a:noFill/>
                          <a:ln>
                            <a:noFill/>
                          </a:ln>
                        </pic:spPr>
                      </pic:pic>
                    </a:graphicData>
                  </a:graphic>
                </wp:inline>
              </w:drawing>
            </w:r>
          </w:p>
          <w:p w14:paraId="2A5525A9">
            <w:pPr>
              <w:adjustRightInd w:val="0"/>
              <w:snapToGrid w:val="0"/>
              <w:spacing w:line="360" w:lineRule="auto"/>
              <w:ind w:firstLine="480" w:firstLineChars="200"/>
              <w:rPr>
                <w:bCs/>
                <w:color w:val="000000"/>
              </w:rPr>
            </w:pPr>
            <w:r>
              <w:rPr>
                <w:bCs/>
                <w:color w:val="000000"/>
              </w:rPr>
              <w:t>式中：Leq——预测等效声级，dB(A)；</w:t>
            </w:r>
          </w:p>
          <w:p w14:paraId="470D1615">
            <w:pPr>
              <w:adjustRightInd w:val="0"/>
              <w:snapToGrid w:val="0"/>
              <w:spacing w:line="360" w:lineRule="auto"/>
              <w:ind w:firstLine="1200" w:firstLineChars="500"/>
              <w:rPr>
                <w:bCs/>
                <w:color w:val="000000"/>
              </w:rPr>
            </w:pPr>
            <w:r>
              <w:rPr>
                <w:bCs/>
                <w:color w:val="000000"/>
              </w:rPr>
              <w:t>Leqg——建设项目声源在预测点的等效声级贡献值，dB(A)；</w:t>
            </w:r>
          </w:p>
          <w:p w14:paraId="6F52601D">
            <w:pPr>
              <w:adjustRightInd w:val="0"/>
              <w:snapToGrid w:val="0"/>
              <w:spacing w:line="360" w:lineRule="auto"/>
              <w:ind w:firstLine="1200" w:firstLineChars="500"/>
              <w:rPr>
                <w:bCs/>
                <w:color w:val="000000"/>
              </w:rPr>
            </w:pPr>
            <w:r>
              <w:rPr>
                <w:bCs/>
                <w:color w:val="000000"/>
              </w:rPr>
              <w:t>Leqb——预测点的背景值，dB(A)。</w:t>
            </w:r>
          </w:p>
          <w:p w14:paraId="58D00CBF">
            <w:pPr>
              <w:adjustRightInd w:val="0"/>
              <w:snapToGrid w:val="0"/>
              <w:spacing w:line="360" w:lineRule="auto"/>
              <w:ind w:firstLine="480" w:firstLineChars="200"/>
              <w:rPr>
                <w:bCs/>
                <w:color w:val="000000"/>
              </w:rPr>
            </w:pPr>
            <w:r>
              <w:rPr>
                <w:bCs/>
                <w:color w:val="000000"/>
              </w:rPr>
              <w:t>（4）预测结果</w:t>
            </w:r>
          </w:p>
          <w:p w14:paraId="1B73E735">
            <w:pPr>
              <w:adjustRightInd w:val="0"/>
              <w:snapToGrid w:val="0"/>
              <w:spacing w:line="360" w:lineRule="auto"/>
              <w:ind w:firstLine="480" w:firstLineChars="200"/>
              <w:rPr>
                <w:bCs/>
                <w:color w:val="000000"/>
              </w:rPr>
            </w:pPr>
            <w:r>
              <w:rPr>
                <w:bCs/>
                <w:color w:val="000000"/>
              </w:rPr>
              <w:t>项目噪声预测结果见</w:t>
            </w:r>
            <w:r>
              <w:rPr>
                <w:rFonts w:hint="eastAsia"/>
                <w:bCs/>
                <w:color w:val="000000"/>
              </w:rPr>
              <w:t>下</w:t>
            </w:r>
            <w:r>
              <w:rPr>
                <w:bCs/>
                <w:color w:val="000000"/>
              </w:rPr>
              <w:t>表。</w:t>
            </w:r>
          </w:p>
          <w:p w14:paraId="7F0FB04F">
            <w:pPr>
              <w:adjustRightInd w:val="0"/>
              <w:snapToGrid w:val="0"/>
              <w:ind w:firstLine="482" w:firstLineChars="200"/>
              <w:jc w:val="center"/>
              <w:rPr>
                <w:b/>
                <w:color w:val="auto"/>
              </w:rPr>
            </w:pPr>
            <w:r>
              <w:rPr>
                <w:b/>
                <w:color w:val="auto"/>
              </w:rPr>
              <w:t>表4</w:t>
            </w:r>
            <w:r>
              <w:rPr>
                <w:rFonts w:hint="eastAsia"/>
                <w:b/>
                <w:color w:val="auto"/>
              </w:rPr>
              <w:t>.</w:t>
            </w:r>
            <w:r>
              <w:rPr>
                <w:rFonts w:hint="eastAsia"/>
                <w:b/>
                <w:color w:val="auto"/>
                <w:lang w:val="en-US" w:eastAsia="zh-CN"/>
              </w:rPr>
              <w:t>7</w:t>
            </w:r>
            <w:r>
              <w:rPr>
                <w:b/>
                <w:color w:val="auto"/>
              </w:rPr>
              <w:t xml:space="preserve">  噪声预测结果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1"/>
              <w:gridCol w:w="1373"/>
              <w:gridCol w:w="1283"/>
              <w:gridCol w:w="1192"/>
              <w:gridCol w:w="1284"/>
              <w:gridCol w:w="1391"/>
            </w:tblGrid>
            <w:tr w14:paraId="1D8C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dxa"/>
                  <w:vMerge w:val="restart"/>
                  <w:noWrap w:val="0"/>
                  <w:tcMar>
                    <w:left w:w="0" w:type="dxa"/>
                    <w:right w:w="0" w:type="dxa"/>
                  </w:tcMar>
                  <w:vAlign w:val="center"/>
                </w:tcPr>
                <w:p w14:paraId="06E91D98">
                  <w:pPr>
                    <w:adjustRightInd w:val="0"/>
                    <w:snapToGrid w:val="0"/>
                    <w:jc w:val="center"/>
                    <w:rPr>
                      <w:b/>
                      <w:bCs/>
                      <w:color w:val="000000"/>
                      <w:sz w:val="21"/>
                      <w:szCs w:val="21"/>
                    </w:rPr>
                  </w:pPr>
                  <w:r>
                    <w:rPr>
                      <w:b/>
                      <w:bCs/>
                      <w:color w:val="000000"/>
                      <w:sz w:val="21"/>
                      <w:szCs w:val="21"/>
                    </w:rPr>
                    <w:t>位点</w:t>
                  </w:r>
                </w:p>
              </w:tc>
              <w:tc>
                <w:tcPr>
                  <w:tcW w:w="2640" w:type="dxa"/>
                  <w:gridSpan w:val="2"/>
                  <w:noWrap w:val="0"/>
                  <w:tcMar>
                    <w:left w:w="0" w:type="dxa"/>
                    <w:right w:w="0" w:type="dxa"/>
                  </w:tcMar>
                  <w:vAlign w:val="center"/>
                </w:tcPr>
                <w:p w14:paraId="0F5E77EE">
                  <w:pPr>
                    <w:adjustRightInd w:val="0"/>
                    <w:snapToGrid w:val="0"/>
                    <w:jc w:val="center"/>
                    <w:rPr>
                      <w:b/>
                      <w:bCs/>
                      <w:color w:val="000000"/>
                      <w:sz w:val="21"/>
                      <w:szCs w:val="21"/>
                    </w:rPr>
                  </w:pPr>
                  <w:r>
                    <w:rPr>
                      <w:b/>
                      <w:bCs/>
                      <w:color w:val="000000"/>
                      <w:sz w:val="21"/>
                      <w:szCs w:val="21"/>
                    </w:rPr>
                    <w:t>贡献值</w:t>
                  </w:r>
                </w:p>
              </w:tc>
              <w:tc>
                <w:tcPr>
                  <w:tcW w:w="2461" w:type="dxa"/>
                  <w:gridSpan w:val="2"/>
                  <w:noWrap w:val="0"/>
                  <w:tcMar>
                    <w:left w:w="0" w:type="dxa"/>
                    <w:right w:w="0" w:type="dxa"/>
                  </w:tcMar>
                  <w:vAlign w:val="center"/>
                </w:tcPr>
                <w:p w14:paraId="265C86E9">
                  <w:pPr>
                    <w:adjustRightInd w:val="0"/>
                    <w:snapToGrid w:val="0"/>
                    <w:jc w:val="center"/>
                    <w:rPr>
                      <w:b/>
                      <w:bCs/>
                      <w:color w:val="000000"/>
                      <w:sz w:val="21"/>
                      <w:szCs w:val="21"/>
                    </w:rPr>
                  </w:pPr>
                  <w:r>
                    <w:rPr>
                      <w:b/>
                      <w:bCs/>
                      <w:color w:val="000000"/>
                      <w:sz w:val="21"/>
                      <w:szCs w:val="21"/>
                    </w:rPr>
                    <w:t>标准值</w:t>
                  </w:r>
                </w:p>
              </w:tc>
              <w:tc>
                <w:tcPr>
                  <w:tcW w:w="1383" w:type="dxa"/>
                  <w:vMerge w:val="restart"/>
                  <w:noWrap w:val="0"/>
                  <w:tcMar>
                    <w:left w:w="0" w:type="dxa"/>
                    <w:right w:w="0" w:type="dxa"/>
                  </w:tcMar>
                  <w:vAlign w:val="center"/>
                </w:tcPr>
                <w:p w14:paraId="3540AC39">
                  <w:pPr>
                    <w:adjustRightInd w:val="0"/>
                    <w:snapToGrid w:val="0"/>
                    <w:jc w:val="center"/>
                    <w:rPr>
                      <w:b/>
                      <w:bCs/>
                      <w:color w:val="000000"/>
                      <w:sz w:val="21"/>
                      <w:szCs w:val="21"/>
                    </w:rPr>
                  </w:pPr>
                  <w:r>
                    <w:rPr>
                      <w:b/>
                      <w:bCs/>
                      <w:color w:val="000000"/>
                      <w:sz w:val="21"/>
                      <w:szCs w:val="21"/>
                    </w:rPr>
                    <w:t>评价结果</w:t>
                  </w:r>
                </w:p>
              </w:tc>
            </w:tr>
            <w:tr w14:paraId="4D94A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dxa"/>
                  <w:vMerge w:val="continue"/>
                  <w:noWrap w:val="0"/>
                  <w:tcMar>
                    <w:left w:w="0" w:type="dxa"/>
                    <w:right w:w="0" w:type="dxa"/>
                  </w:tcMar>
                  <w:vAlign w:val="center"/>
                </w:tcPr>
                <w:p w14:paraId="4F64AFA3">
                  <w:pPr>
                    <w:adjustRightInd w:val="0"/>
                    <w:snapToGrid w:val="0"/>
                    <w:jc w:val="center"/>
                    <w:rPr>
                      <w:color w:val="000000"/>
                      <w:sz w:val="21"/>
                      <w:szCs w:val="21"/>
                    </w:rPr>
                  </w:pPr>
                </w:p>
              </w:tc>
              <w:tc>
                <w:tcPr>
                  <w:tcW w:w="1365" w:type="dxa"/>
                  <w:noWrap w:val="0"/>
                  <w:tcMar>
                    <w:left w:w="0" w:type="dxa"/>
                    <w:right w:w="0" w:type="dxa"/>
                  </w:tcMar>
                  <w:vAlign w:val="center"/>
                </w:tcPr>
                <w:p w14:paraId="08BEB05B">
                  <w:pPr>
                    <w:adjustRightInd w:val="0"/>
                    <w:snapToGrid w:val="0"/>
                    <w:jc w:val="center"/>
                    <w:rPr>
                      <w:b/>
                      <w:bCs/>
                      <w:color w:val="000000"/>
                      <w:sz w:val="21"/>
                      <w:szCs w:val="21"/>
                    </w:rPr>
                  </w:pPr>
                  <w:r>
                    <w:rPr>
                      <w:b/>
                      <w:bCs/>
                      <w:color w:val="000000"/>
                      <w:sz w:val="21"/>
                      <w:szCs w:val="21"/>
                    </w:rPr>
                    <w:t>昼间</w:t>
                  </w:r>
                </w:p>
              </w:tc>
              <w:tc>
                <w:tcPr>
                  <w:tcW w:w="1275" w:type="dxa"/>
                  <w:noWrap w:val="0"/>
                  <w:tcMar>
                    <w:left w:w="0" w:type="dxa"/>
                    <w:right w:w="0" w:type="dxa"/>
                  </w:tcMar>
                  <w:vAlign w:val="center"/>
                </w:tcPr>
                <w:p w14:paraId="47C03A7D">
                  <w:pPr>
                    <w:adjustRightInd w:val="0"/>
                    <w:snapToGrid w:val="0"/>
                    <w:jc w:val="center"/>
                    <w:rPr>
                      <w:b/>
                      <w:bCs/>
                      <w:color w:val="000000"/>
                      <w:sz w:val="21"/>
                      <w:szCs w:val="21"/>
                    </w:rPr>
                  </w:pPr>
                  <w:r>
                    <w:rPr>
                      <w:rFonts w:hint="eastAsia"/>
                      <w:b/>
                      <w:bCs/>
                      <w:color w:val="000000"/>
                      <w:sz w:val="21"/>
                      <w:szCs w:val="21"/>
                      <w:lang w:val="en-US" w:eastAsia="zh-CN"/>
                    </w:rPr>
                    <w:t>夜间</w:t>
                  </w:r>
                </w:p>
              </w:tc>
              <w:tc>
                <w:tcPr>
                  <w:tcW w:w="1185" w:type="dxa"/>
                  <w:noWrap w:val="0"/>
                  <w:tcMar>
                    <w:left w:w="0" w:type="dxa"/>
                    <w:right w:w="0" w:type="dxa"/>
                  </w:tcMar>
                  <w:vAlign w:val="center"/>
                </w:tcPr>
                <w:p w14:paraId="2C571273">
                  <w:pPr>
                    <w:adjustRightInd w:val="0"/>
                    <w:snapToGrid w:val="0"/>
                    <w:jc w:val="center"/>
                    <w:rPr>
                      <w:b/>
                      <w:bCs/>
                      <w:color w:val="000000"/>
                      <w:sz w:val="21"/>
                      <w:szCs w:val="21"/>
                    </w:rPr>
                  </w:pPr>
                  <w:r>
                    <w:rPr>
                      <w:b/>
                      <w:bCs/>
                      <w:color w:val="000000"/>
                      <w:sz w:val="21"/>
                      <w:szCs w:val="21"/>
                    </w:rPr>
                    <w:t>昼间</w:t>
                  </w:r>
                </w:p>
              </w:tc>
              <w:tc>
                <w:tcPr>
                  <w:tcW w:w="1276" w:type="dxa"/>
                  <w:noWrap w:val="0"/>
                  <w:tcMar>
                    <w:left w:w="0" w:type="dxa"/>
                    <w:right w:w="0" w:type="dxa"/>
                  </w:tcMar>
                  <w:vAlign w:val="center"/>
                </w:tcPr>
                <w:p w14:paraId="0AD6A640">
                  <w:pPr>
                    <w:adjustRightInd w:val="0"/>
                    <w:snapToGrid w:val="0"/>
                    <w:jc w:val="center"/>
                    <w:rPr>
                      <w:rFonts w:hint="eastAsia" w:eastAsia="宋体"/>
                      <w:color w:val="000000"/>
                      <w:sz w:val="21"/>
                      <w:szCs w:val="21"/>
                      <w:lang w:val="en-US" w:eastAsia="zh-CN"/>
                    </w:rPr>
                  </w:pPr>
                  <w:r>
                    <w:rPr>
                      <w:rFonts w:hint="eastAsia"/>
                      <w:b/>
                      <w:bCs/>
                      <w:color w:val="000000"/>
                      <w:sz w:val="21"/>
                      <w:szCs w:val="21"/>
                      <w:lang w:val="en-US" w:eastAsia="zh-CN"/>
                    </w:rPr>
                    <w:t>夜间</w:t>
                  </w:r>
                </w:p>
              </w:tc>
              <w:tc>
                <w:tcPr>
                  <w:tcW w:w="1383" w:type="dxa"/>
                  <w:vMerge w:val="continue"/>
                  <w:noWrap w:val="0"/>
                  <w:tcMar>
                    <w:left w:w="0" w:type="dxa"/>
                    <w:right w:w="0" w:type="dxa"/>
                  </w:tcMar>
                  <w:vAlign w:val="center"/>
                </w:tcPr>
                <w:p w14:paraId="2AF8462A">
                  <w:pPr>
                    <w:adjustRightInd w:val="0"/>
                    <w:snapToGrid w:val="0"/>
                    <w:jc w:val="center"/>
                    <w:rPr>
                      <w:color w:val="000000"/>
                      <w:sz w:val="21"/>
                      <w:szCs w:val="21"/>
                    </w:rPr>
                  </w:pPr>
                </w:p>
              </w:tc>
            </w:tr>
            <w:tr w14:paraId="518E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dxa"/>
                  <w:noWrap w:val="0"/>
                  <w:tcMar>
                    <w:left w:w="0" w:type="dxa"/>
                    <w:right w:w="0" w:type="dxa"/>
                  </w:tcMar>
                  <w:vAlign w:val="center"/>
                </w:tcPr>
                <w:p w14:paraId="662578EE">
                  <w:pPr>
                    <w:pStyle w:val="88"/>
                    <w:adjustRightInd w:val="0"/>
                    <w:snapToGrid w:val="0"/>
                    <w:rPr>
                      <w:rFonts w:cs="Times New Roman"/>
                      <w:sz w:val="21"/>
                      <w:szCs w:val="21"/>
                    </w:rPr>
                  </w:pPr>
                  <w:r>
                    <w:rPr>
                      <w:rFonts w:cs="Times New Roman"/>
                      <w:sz w:val="21"/>
                      <w:szCs w:val="21"/>
                    </w:rPr>
                    <w:t>东厂界</w:t>
                  </w:r>
                </w:p>
              </w:tc>
              <w:tc>
                <w:tcPr>
                  <w:tcW w:w="1365" w:type="dxa"/>
                  <w:noWrap w:val="0"/>
                  <w:tcMar>
                    <w:left w:w="0" w:type="dxa"/>
                    <w:right w:w="0" w:type="dxa"/>
                  </w:tcMar>
                  <w:vAlign w:val="center"/>
                </w:tcPr>
                <w:p w14:paraId="4CFF821F">
                  <w:pPr>
                    <w:pStyle w:val="88"/>
                    <w:adjustRightInd w:val="0"/>
                    <w:snapToGrid w:val="0"/>
                    <w:rPr>
                      <w:rFonts w:hint="default" w:eastAsia="宋体" w:cs="Times New Roman"/>
                      <w:color w:val="auto"/>
                      <w:sz w:val="21"/>
                      <w:szCs w:val="21"/>
                      <w:lang w:val="en-US" w:eastAsia="zh-CN"/>
                    </w:rPr>
                  </w:pPr>
                  <w:r>
                    <w:rPr>
                      <w:rFonts w:hint="eastAsia" w:cs="Times New Roman"/>
                      <w:color w:val="auto"/>
                      <w:sz w:val="21"/>
                      <w:szCs w:val="21"/>
                      <w:lang w:val="en-US" w:eastAsia="zh-CN"/>
                    </w:rPr>
                    <w:t>43.2</w:t>
                  </w:r>
                </w:p>
              </w:tc>
              <w:tc>
                <w:tcPr>
                  <w:tcW w:w="1275" w:type="dxa"/>
                  <w:noWrap w:val="0"/>
                  <w:tcMar>
                    <w:left w:w="0" w:type="dxa"/>
                    <w:right w:w="0" w:type="dxa"/>
                  </w:tcMar>
                  <w:vAlign w:val="center"/>
                </w:tcPr>
                <w:p w14:paraId="64816E9A">
                  <w:pPr>
                    <w:pStyle w:val="88"/>
                    <w:adjustRightInd w:val="0"/>
                    <w:snapToGrid w:val="0"/>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185" w:type="dxa"/>
                  <w:noWrap w:val="0"/>
                  <w:tcMar>
                    <w:left w:w="0" w:type="dxa"/>
                    <w:right w:w="0" w:type="dxa"/>
                  </w:tcMar>
                  <w:vAlign w:val="center"/>
                </w:tcPr>
                <w:p w14:paraId="09041458">
                  <w:pPr>
                    <w:pStyle w:val="88"/>
                    <w:adjustRightInd w:val="0"/>
                    <w:snapToGrid w:val="0"/>
                    <w:rPr>
                      <w:rFonts w:cs="Times New Roman"/>
                      <w:color w:val="auto"/>
                      <w:sz w:val="21"/>
                      <w:szCs w:val="21"/>
                    </w:rPr>
                  </w:pPr>
                  <w:r>
                    <w:rPr>
                      <w:rFonts w:cs="Times New Roman"/>
                      <w:color w:val="auto"/>
                      <w:sz w:val="21"/>
                      <w:szCs w:val="21"/>
                    </w:rPr>
                    <w:t>65</w:t>
                  </w:r>
                </w:p>
              </w:tc>
              <w:tc>
                <w:tcPr>
                  <w:tcW w:w="1276" w:type="dxa"/>
                  <w:noWrap w:val="0"/>
                  <w:tcMar>
                    <w:left w:w="0" w:type="dxa"/>
                    <w:right w:w="0" w:type="dxa"/>
                  </w:tcMar>
                  <w:vAlign w:val="center"/>
                </w:tcPr>
                <w:p w14:paraId="02575E5B">
                  <w:pPr>
                    <w:pStyle w:val="88"/>
                    <w:adjustRightInd w:val="0"/>
                    <w:snapToGrid w:val="0"/>
                    <w:rPr>
                      <w:rFonts w:hint="default" w:eastAsia="宋体" w:cs="Times New Roman"/>
                      <w:sz w:val="21"/>
                      <w:szCs w:val="21"/>
                      <w:lang w:val="en-US" w:eastAsia="zh-CN"/>
                    </w:rPr>
                  </w:pPr>
                  <w:r>
                    <w:rPr>
                      <w:rFonts w:hint="eastAsia" w:cs="Times New Roman"/>
                      <w:sz w:val="21"/>
                      <w:szCs w:val="21"/>
                      <w:lang w:val="en-US" w:eastAsia="zh-CN"/>
                    </w:rPr>
                    <w:t>55</w:t>
                  </w:r>
                </w:p>
              </w:tc>
              <w:tc>
                <w:tcPr>
                  <w:tcW w:w="1383" w:type="dxa"/>
                  <w:noWrap w:val="0"/>
                  <w:tcMar>
                    <w:left w:w="0" w:type="dxa"/>
                    <w:right w:w="0" w:type="dxa"/>
                  </w:tcMar>
                  <w:vAlign w:val="center"/>
                </w:tcPr>
                <w:p w14:paraId="1395A1D6">
                  <w:pPr>
                    <w:pStyle w:val="88"/>
                    <w:adjustRightInd w:val="0"/>
                    <w:snapToGrid w:val="0"/>
                    <w:rPr>
                      <w:rFonts w:cs="Times New Roman"/>
                      <w:sz w:val="21"/>
                      <w:szCs w:val="21"/>
                    </w:rPr>
                  </w:pPr>
                  <w:r>
                    <w:rPr>
                      <w:rFonts w:cs="Times New Roman"/>
                      <w:sz w:val="21"/>
                      <w:szCs w:val="21"/>
                    </w:rPr>
                    <w:t>达标</w:t>
                  </w:r>
                </w:p>
              </w:tc>
            </w:tr>
            <w:tr w14:paraId="340A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dxa"/>
                  <w:noWrap w:val="0"/>
                  <w:tcMar>
                    <w:left w:w="0" w:type="dxa"/>
                    <w:right w:w="0" w:type="dxa"/>
                  </w:tcMar>
                  <w:vAlign w:val="center"/>
                </w:tcPr>
                <w:p w14:paraId="59BF8CB3">
                  <w:pPr>
                    <w:pStyle w:val="88"/>
                    <w:adjustRightInd w:val="0"/>
                    <w:snapToGrid w:val="0"/>
                    <w:rPr>
                      <w:rFonts w:cs="Times New Roman"/>
                      <w:sz w:val="21"/>
                      <w:szCs w:val="21"/>
                    </w:rPr>
                  </w:pPr>
                  <w:r>
                    <w:rPr>
                      <w:rFonts w:cs="Times New Roman"/>
                      <w:sz w:val="21"/>
                      <w:szCs w:val="21"/>
                    </w:rPr>
                    <w:t>南厂界</w:t>
                  </w:r>
                </w:p>
              </w:tc>
              <w:tc>
                <w:tcPr>
                  <w:tcW w:w="1365" w:type="dxa"/>
                  <w:noWrap w:val="0"/>
                  <w:tcMar>
                    <w:left w:w="0" w:type="dxa"/>
                    <w:right w:w="0" w:type="dxa"/>
                  </w:tcMar>
                  <w:vAlign w:val="center"/>
                </w:tcPr>
                <w:p w14:paraId="4A4159DC">
                  <w:pPr>
                    <w:pStyle w:val="88"/>
                    <w:adjustRightInd w:val="0"/>
                    <w:snapToGrid w:val="0"/>
                    <w:rPr>
                      <w:rFonts w:hint="default" w:eastAsia="宋体" w:cs="Times New Roman"/>
                      <w:color w:val="auto"/>
                      <w:sz w:val="21"/>
                      <w:szCs w:val="21"/>
                      <w:lang w:val="en-US" w:eastAsia="zh-CN"/>
                    </w:rPr>
                  </w:pPr>
                  <w:r>
                    <w:rPr>
                      <w:rFonts w:hint="eastAsia" w:cs="Times New Roman"/>
                      <w:color w:val="auto"/>
                      <w:sz w:val="21"/>
                      <w:szCs w:val="21"/>
                      <w:lang w:val="en-US" w:eastAsia="zh-CN"/>
                    </w:rPr>
                    <w:t>47.6</w:t>
                  </w:r>
                </w:p>
              </w:tc>
              <w:tc>
                <w:tcPr>
                  <w:tcW w:w="1275" w:type="dxa"/>
                  <w:noWrap w:val="0"/>
                  <w:tcMar>
                    <w:left w:w="0" w:type="dxa"/>
                    <w:right w:w="0" w:type="dxa"/>
                  </w:tcMar>
                  <w:vAlign w:val="center"/>
                </w:tcPr>
                <w:p w14:paraId="79A425A6">
                  <w:pPr>
                    <w:adjustRightInd w:val="0"/>
                    <w:snapToGrid w:val="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185" w:type="dxa"/>
                  <w:noWrap w:val="0"/>
                  <w:tcMar>
                    <w:left w:w="0" w:type="dxa"/>
                    <w:right w:w="0" w:type="dxa"/>
                  </w:tcMar>
                  <w:vAlign w:val="center"/>
                </w:tcPr>
                <w:p w14:paraId="2DB594A1">
                  <w:pPr>
                    <w:pStyle w:val="88"/>
                    <w:adjustRightInd w:val="0"/>
                    <w:snapToGrid w:val="0"/>
                    <w:rPr>
                      <w:rFonts w:cs="Times New Roman"/>
                      <w:color w:val="auto"/>
                      <w:sz w:val="21"/>
                      <w:szCs w:val="21"/>
                    </w:rPr>
                  </w:pPr>
                  <w:r>
                    <w:rPr>
                      <w:rFonts w:cs="Times New Roman"/>
                      <w:color w:val="auto"/>
                      <w:sz w:val="21"/>
                      <w:szCs w:val="21"/>
                    </w:rPr>
                    <w:t>65</w:t>
                  </w:r>
                </w:p>
              </w:tc>
              <w:tc>
                <w:tcPr>
                  <w:tcW w:w="1276" w:type="dxa"/>
                  <w:noWrap w:val="0"/>
                  <w:tcMar>
                    <w:left w:w="0" w:type="dxa"/>
                    <w:right w:w="0" w:type="dxa"/>
                  </w:tcMar>
                  <w:vAlign w:val="center"/>
                </w:tcPr>
                <w:p w14:paraId="2B9F89BC">
                  <w:pPr>
                    <w:adjustRightInd w:val="0"/>
                    <w:snapToGrid w:val="0"/>
                    <w:jc w:val="center"/>
                    <w:rPr>
                      <w:rFonts w:cs="Times New Roman"/>
                      <w:sz w:val="21"/>
                      <w:szCs w:val="21"/>
                    </w:rPr>
                  </w:pPr>
                  <w:bookmarkStart w:id="4" w:name="OLE_LINK163"/>
                  <w:r>
                    <w:rPr>
                      <w:rFonts w:hint="eastAsia" w:cs="Times New Roman"/>
                      <w:sz w:val="21"/>
                      <w:szCs w:val="21"/>
                      <w:lang w:val="en-US" w:eastAsia="zh-CN"/>
                    </w:rPr>
                    <w:t>55</w:t>
                  </w:r>
                </w:p>
              </w:tc>
              <w:tc>
                <w:tcPr>
                  <w:tcW w:w="1383" w:type="dxa"/>
                  <w:noWrap w:val="0"/>
                  <w:tcMar>
                    <w:left w:w="0" w:type="dxa"/>
                    <w:right w:w="0" w:type="dxa"/>
                  </w:tcMar>
                  <w:vAlign w:val="center"/>
                </w:tcPr>
                <w:p w14:paraId="5910EED8">
                  <w:pPr>
                    <w:pStyle w:val="88"/>
                    <w:adjustRightInd w:val="0"/>
                    <w:snapToGrid w:val="0"/>
                    <w:rPr>
                      <w:rFonts w:cs="Times New Roman"/>
                      <w:sz w:val="21"/>
                      <w:szCs w:val="21"/>
                    </w:rPr>
                  </w:pPr>
                  <w:r>
                    <w:rPr>
                      <w:rFonts w:cs="Times New Roman"/>
                      <w:sz w:val="21"/>
                      <w:szCs w:val="21"/>
                    </w:rPr>
                    <w:t>达</w:t>
                  </w:r>
                  <w:bookmarkEnd w:id="4"/>
                  <w:r>
                    <w:rPr>
                      <w:rFonts w:cs="Times New Roman"/>
                      <w:sz w:val="21"/>
                      <w:szCs w:val="21"/>
                    </w:rPr>
                    <w:t>标</w:t>
                  </w:r>
                </w:p>
              </w:tc>
            </w:tr>
            <w:tr w14:paraId="7DAC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dxa"/>
                  <w:noWrap w:val="0"/>
                  <w:tcMar>
                    <w:left w:w="0" w:type="dxa"/>
                    <w:right w:w="0" w:type="dxa"/>
                  </w:tcMar>
                  <w:vAlign w:val="center"/>
                </w:tcPr>
                <w:p w14:paraId="1E864A35">
                  <w:pPr>
                    <w:pStyle w:val="88"/>
                    <w:adjustRightInd w:val="0"/>
                    <w:snapToGrid w:val="0"/>
                    <w:rPr>
                      <w:rFonts w:cs="Times New Roman"/>
                      <w:sz w:val="21"/>
                      <w:szCs w:val="21"/>
                    </w:rPr>
                  </w:pPr>
                  <w:r>
                    <w:rPr>
                      <w:rFonts w:cs="Times New Roman"/>
                      <w:sz w:val="21"/>
                      <w:szCs w:val="21"/>
                    </w:rPr>
                    <w:t>西厂界</w:t>
                  </w:r>
                </w:p>
              </w:tc>
              <w:tc>
                <w:tcPr>
                  <w:tcW w:w="1365" w:type="dxa"/>
                  <w:noWrap w:val="0"/>
                  <w:tcMar>
                    <w:left w:w="0" w:type="dxa"/>
                    <w:right w:w="0" w:type="dxa"/>
                  </w:tcMar>
                  <w:vAlign w:val="center"/>
                </w:tcPr>
                <w:p w14:paraId="13922863">
                  <w:pPr>
                    <w:pStyle w:val="88"/>
                    <w:adjustRightInd w:val="0"/>
                    <w:snapToGrid w:val="0"/>
                    <w:rPr>
                      <w:rFonts w:hint="default" w:eastAsia="宋体" w:cs="Times New Roman"/>
                      <w:color w:val="auto"/>
                      <w:sz w:val="21"/>
                      <w:szCs w:val="21"/>
                      <w:lang w:val="en-US" w:eastAsia="zh-CN"/>
                    </w:rPr>
                  </w:pPr>
                  <w:r>
                    <w:rPr>
                      <w:rFonts w:hint="eastAsia" w:cs="Times New Roman"/>
                      <w:color w:val="auto"/>
                      <w:sz w:val="21"/>
                      <w:szCs w:val="21"/>
                      <w:lang w:val="en-US" w:eastAsia="zh-CN"/>
                    </w:rPr>
                    <w:t>45.6</w:t>
                  </w:r>
                </w:p>
              </w:tc>
              <w:tc>
                <w:tcPr>
                  <w:tcW w:w="1275" w:type="dxa"/>
                  <w:noWrap w:val="0"/>
                  <w:tcMar>
                    <w:left w:w="0" w:type="dxa"/>
                    <w:right w:w="0" w:type="dxa"/>
                  </w:tcMar>
                  <w:vAlign w:val="center"/>
                </w:tcPr>
                <w:p w14:paraId="739EC633">
                  <w:pPr>
                    <w:adjustRightInd w:val="0"/>
                    <w:snapToGrid w:val="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185" w:type="dxa"/>
                  <w:noWrap w:val="0"/>
                  <w:tcMar>
                    <w:left w:w="0" w:type="dxa"/>
                    <w:right w:w="0" w:type="dxa"/>
                  </w:tcMar>
                  <w:vAlign w:val="center"/>
                </w:tcPr>
                <w:p w14:paraId="399F5EAC">
                  <w:pPr>
                    <w:pStyle w:val="88"/>
                    <w:adjustRightInd w:val="0"/>
                    <w:snapToGrid w:val="0"/>
                    <w:rPr>
                      <w:rFonts w:cs="Times New Roman"/>
                      <w:color w:val="auto"/>
                      <w:sz w:val="21"/>
                      <w:szCs w:val="21"/>
                    </w:rPr>
                  </w:pPr>
                  <w:r>
                    <w:rPr>
                      <w:rFonts w:cs="Times New Roman"/>
                      <w:color w:val="auto"/>
                      <w:sz w:val="21"/>
                      <w:szCs w:val="21"/>
                    </w:rPr>
                    <w:t>65</w:t>
                  </w:r>
                </w:p>
              </w:tc>
              <w:tc>
                <w:tcPr>
                  <w:tcW w:w="1276" w:type="dxa"/>
                  <w:noWrap w:val="0"/>
                  <w:tcMar>
                    <w:left w:w="0" w:type="dxa"/>
                    <w:right w:w="0" w:type="dxa"/>
                  </w:tcMar>
                  <w:vAlign w:val="center"/>
                </w:tcPr>
                <w:p w14:paraId="545EEC63">
                  <w:pPr>
                    <w:adjustRightInd w:val="0"/>
                    <w:snapToGrid w:val="0"/>
                    <w:jc w:val="center"/>
                    <w:rPr>
                      <w:rFonts w:cs="Times New Roman"/>
                      <w:sz w:val="21"/>
                      <w:szCs w:val="21"/>
                    </w:rPr>
                  </w:pPr>
                  <w:r>
                    <w:rPr>
                      <w:rFonts w:hint="eastAsia" w:cs="Times New Roman"/>
                      <w:sz w:val="21"/>
                      <w:szCs w:val="21"/>
                      <w:lang w:val="en-US" w:eastAsia="zh-CN"/>
                    </w:rPr>
                    <w:t>55</w:t>
                  </w:r>
                </w:p>
              </w:tc>
              <w:tc>
                <w:tcPr>
                  <w:tcW w:w="1383" w:type="dxa"/>
                  <w:noWrap w:val="0"/>
                  <w:tcMar>
                    <w:left w:w="0" w:type="dxa"/>
                    <w:right w:w="0" w:type="dxa"/>
                  </w:tcMar>
                  <w:vAlign w:val="center"/>
                </w:tcPr>
                <w:p w14:paraId="34832C40">
                  <w:pPr>
                    <w:pStyle w:val="88"/>
                    <w:adjustRightInd w:val="0"/>
                    <w:snapToGrid w:val="0"/>
                    <w:rPr>
                      <w:rFonts w:cs="Times New Roman"/>
                      <w:sz w:val="21"/>
                      <w:szCs w:val="21"/>
                    </w:rPr>
                  </w:pPr>
                  <w:r>
                    <w:rPr>
                      <w:rFonts w:cs="Times New Roman"/>
                      <w:sz w:val="21"/>
                      <w:szCs w:val="21"/>
                    </w:rPr>
                    <w:t>达标</w:t>
                  </w:r>
                </w:p>
              </w:tc>
            </w:tr>
            <w:tr w14:paraId="30B1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dxa"/>
                  <w:noWrap w:val="0"/>
                  <w:tcMar>
                    <w:left w:w="0" w:type="dxa"/>
                    <w:right w:w="0" w:type="dxa"/>
                  </w:tcMar>
                  <w:vAlign w:val="center"/>
                </w:tcPr>
                <w:p w14:paraId="1890FBD3">
                  <w:pPr>
                    <w:pStyle w:val="88"/>
                    <w:adjustRightInd w:val="0"/>
                    <w:snapToGrid w:val="0"/>
                    <w:rPr>
                      <w:rFonts w:cs="Times New Roman"/>
                      <w:sz w:val="21"/>
                      <w:szCs w:val="21"/>
                    </w:rPr>
                  </w:pPr>
                  <w:r>
                    <w:rPr>
                      <w:rFonts w:cs="Times New Roman"/>
                      <w:sz w:val="21"/>
                      <w:szCs w:val="21"/>
                    </w:rPr>
                    <w:t>北厂界</w:t>
                  </w:r>
                </w:p>
              </w:tc>
              <w:tc>
                <w:tcPr>
                  <w:tcW w:w="1365" w:type="dxa"/>
                  <w:noWrap w:val="0"/>
                  <w:tcMar>
                    <w:left w:w="0" w:type="dxa"/>
                    <w:right w:w="0" w:type="dxa"/>
                  </w:tcMar>
                  <w:vAlign w:val="center"/>
                </w:tcPr>
                <w:p w14:paraId="5E060EF4">
                  <w:pPr>
                    <w:pStyle w:val="88"/>
                    <w:adjustRightInd w:val="0"/>
                    <w:snapToGrid w:val="0"/>
                    <w:rPr>
                      <w:rFonts w:hint="default" w:eastAsia="宋体" w:cs="Times New Roman"/>
                      <w:color w:val="auto"/>
                      <w:sz w:val="21"/>
                      <w:szCs w:val="21"/>
                      <w:lang w:val="en-US" w:eastAsia="zh-CN"/>
                    </w:rPr>
                  </w:pPr>
                  <w:r>
                    <w:rPr>
                      <w:rFonts w:hint="eastAsia" w:cs="Times New Roman"/>
                      <w:color w:val="auto"/>
                      <w:sz w:val="21"/>
                      <w:szCs w:val="21"/>
                      <w:lang w:val="en-US" w:eastAsia="zh-CN"/>
                    </w:rPr>
                    <w:t>46.4</w:t>
                  </w:r>
                </w:p>
              </w:tc>
              <w:tc>
                <w:tcPr>
                  <w:tcW w:w="1275" w:type="dxa"/>
                  <w:noWrap w:val="0"/>
                  <w:tcMar>
                    <w:left w:w="0" w:type="dxa"/>
                    <w:right w:w="0" w:type="dxa"/>
                  </w:tcMar>
                  <w:vAlign w:val="center"/>
                </w:tcPr>
                <w:p w14:paraId="72D5201B">
                  <w:pPr>
                    <w:adjustRightInd w:val="0"/>
                    <w:snapToGrid w:val="0"/>
                    <w:jc w:val="center"/>
                    <w:rPr>
                      <w:rFonts w:hint="default" w:eastAsia="宋体" w:cs="Times New Roman"/>
                      <w:color w:val="auto"/>
                      <w:sz w:val="21"/>
                      <w:szCs w:val="21"/>
                      <w:lang w:val="en-US" w:eastAsia="zh-CN"/>
                    </w:rPr>
                  </w:pPr>
                  <w:r>
                    <w:rPr>
                      <w:rFonts w:hint="eastAsia" w:eastAsia="宋体" w:cs="Times New Roman"/>
                      <w:color w:val="auto"/>
                      <w:sz w:val="21"/>
                      <w:szCs w:val="21"/>
                      <w:lang w:val="en-US" w:eastAsia="zh-CN"/>
                    </w:rPr>
                    <w:t>/</w:t>
                  </w:r>
                </w:p>
              </w:tc>
              <w:tc>
                <w:tcPr>
                  <w:tcW w:w="1185" w:type="dxa"/>
                  <w:noWrap w:val="0"/>
                  <w:tcMar>
                    <w:left w:w="0" w:type="dxa"/>
                    <w:right w:w="0" w:type="dxa"/>
                  </w:tcMar>
                  <w:vAlign w:val="center"/>
                </w:tcPr>
                <w:p w14:paraId="0131727F">
                  <w:pPr>
                    <w:pStyle w:val="88"/>
                    <w:adjustRightInd w:val="0"/>
                    <w:snapToGrid w:val="0"/>
                    <w:rPr>
                      <w:rFonts w:cs="Times New Roman"/>
                      <w:color w:val="auto"/>
                      <w:sz w:val="21"/>
                      <w:szCs w:val="21"/>
                    </w:rPr>
                  </w:pPr>
                  <w:r>
                    <w:rPr>
                      <w:rFonts w:cs="Times New Roman"/>
                      <w:color w:val="auto"/>
                      <w:sz w:val="21"/>
                      <w:szCs w:val="21"/>
                    </w:rPr>
                    <w:t>65</w:t>
                  </w:r>
                </w:p>
              </w:tc>
              <w:tc>
                <w:tcPr>
                  <w:tcW w:w="1276" w:type="dxa"/>
                  <w:noWrap w:val="0"/>
                  <w:tcMar>
                    <w:left w:w="0" w:type="dxa"/>
                    <w:right w:w="0" w:type="dxa"/>
                  </w:tcMar>
                  <w:vAlign w:val="center"/>
                </w:tcPr>
                <w:p w14:paraId="6A9E7FDF">
                  <w:pPr>
                    <w:adjustRightInd w:val="0"/>
                    <w:snapToGrid w:val="0"/>
                    <w:jc w:val="center"/>
                    <w:rPr>
                      <w:rFonts w:cs="Times New Roman"/>
                      <w:sz w:val="21"/>
                      <w:szCs w:val="21"/>
                    </w:rPr>
                  </w:pPr>
                  <w:r>
                    <w:rPr>
                      <w:rFonts w:hint="eastAsia" w:cs="Times New Roman"/>
                      <w:sz w:val="21"/>
                      <w:szCs w:val="21"/>
                      <w:lang w:val="en-US" w:eastAsia="zh-CN"/>
                    </w:rPr>
                    <w:t>55</w:t>
                  </w:r>
                </w:p>
              </w:tc>
              <w:tc>
                <w:tcPr>
                  <w:tcW w:w="1383" w:type="dxa"/>
                  <w:noWrap w:val="0"/>
                  <w:tcMar>
                    <w:left w:w="0" w:type="dxa"/>
                    <w:right w:w="0" w:type="dxa"/>
                  </w:tcMar>
                  <w:vAlign w:val="center"/>
                </w:tcPr>
                <w:p w14:paraId="60B9758D">
                  <w:pPr>
                    <w:pStyle w:val="88"/>
                    <w:adjustRightInd w:val="0"/>
                    <w:snapToGrid w:val="0"/>
                    <w:rPr>
                      <w:rFonts w:cs="Times New Roman"/>
                      <w:sz w:val="21"/>
                      <w:szCs w:val="21"/>
                    </w:rPr>
                  </w:pPr>
                  <w:r>
                    <w:rPr>
                      <w:rFonts w:cs="Times New Roman"/>
                      <w:sz w:val="21"/>
                      <w:szCs w:val="21"/>
                    </w:rPr>
                    <w:t>达标</w:t>
                  </w:r>
                </w:p>
              </w:tc>
            </w:tr>
          </w:tbl>
          <w:p w14:paraId="4CD85344">
            <w:pPr>
              <w:adjustRightInd w:val="0"/>
              <w:snapToGrid w:val="0"/>
              <w:spacing w:before="120" w:beforeLines="50" w:line="360" w:lineRule="auto"/>
              <w:ind w:firstLine="480" w:firstLineChars="200"/>
              <w:rPr>
                <w:rFonts w:cs="宋体"/>
                <w:bCs/>
                <w:color w:val="000000"/>
                <w:sz w:val="24"/>
              </w:rPr>
            </w:pPr>
            <w:r>
              <w:rPr>
                <w:rFonts w:hint="eastAsia" w:cs="宋体"/>
                <w:bCs/>
                <w:color w:val="000000"/>
                <w:sz w:val="24"/>
              </w:rPr>
              <w:t>根据预测结果可知，经以上防护措施及墙体隔声和距离的自然衰减等措施后，项目四周厂界均满足《工业企业厂界环境噪声排放标准》（GB12348-2008）中</w:t>
            </w:r>
            <w:r>
              <w:rPr>
                <w:rFonts w:cs="宋体"/>
                <w:bCs/>
                <w:color w:val="000000"/>
                <w:sz w:val="24"/>
              </w:rPr>
              <w:t>3</w:t>
            </w:r>
            <w:r>
              <w:rPr>
                <w:rFonts w:hint="eastAsia" w:cs="宋体"/>
                <w:bCs/>
                <w:color w:val="000000"/>
                <w:sz w:val="24"/>
              </w:rPr>
              <w:t>类标准要求，不会对周围声环境造成明显影响。</w:t>
            </w:r>
          </w:p>
          <w:p w14:paraId="7C0AFB58">
            <w:pPr>
              <w:adjustRightInd w:val="0"/>
              <w:snapToGrid w:val="0"/>
              <w:spacing w:line="360" w:lineRule="auto"/>
              <w:ind w:firstLine="482" w:firstLineChars="200"/>
              <w:rPr>
                <w:b/>
                <w:color w:val="000000"/>
              </w:rPr>
            </w:pPr>
            <w:r>
              <w:rPr>
                <w:b/>
                <w:color w:val="000000"/>
              </w:rPr>
              <w:t>3、噪声降噪具体措施</w:t>
            </w:r>
          </w:p>
          <w:p w14:paraId="694C314D">
            <w:pPr>
              <w:adjustRightInd w:val="0"/>
              <w:snapToGrid w:val="0"/>
              <w:spacing w:line="360" w:lineRule="auto"/>
              <w:ind w:firstLine="480" w:firstLineChars="200"/>
              <w:rPr>
                <w:bCs/>
                <w:color w:val="000000"/>
              </w:rPr>
            </w:pPr>
            <w:r>
              <w:rPr>
                <w:bCs/>
                <w:color w:val="000000"/>
              </w:rPr>
              <w:t>本项目生产设备在运行期间均会产生噪声，建设单位采取以下措施来减轻生产设备运行噪声的环境影响。</w:t>
            </w:r>
          </w:p>
          <w:p w14:paraId="02D9E5BF">
            <w:pPr>
              <w:adjustRightInd w:val="0"/>
              <w:snapToGrid w:val="0"/>
              <w:spacing w:line="360" w:lineRule="auto"/>
              <w:ind w:firstLine="480" w:firstLineChars="200"/>
              <w:rPr>
                <w:bCs/>
                <w:color w:val="000000"/>
              </w:rPr>
            </w:pPr>
            <w:r>
              <w:rPr>
                <w:bCs/>
                <w:color w:val="000000"/>
              </w:rPr>
              <w:t>（1）选用低噪声设备或带隔声、消声的设备，从源头减少噪声的产生。</w:t>
            </w:r>
          </w:p>
          <w:p w14:paraId="38EC5898">
            <w:pPr>
              <w:adjustRightInd w:val="0"/>
              <w:snapToGrid w:val="0"/>
              <w:spacing w:line="360" w:lineRule="auto"/>
              <w:ind w:firstLine="480" w:firstLineChars="200"/>
              <w:rPr>
                <w:bCs/>
                <w:color w:val="000000"/>
              </w:rPr>
            </w:pPr>
            <w:r>
              <w:rPr>
                <w:bCs/>
                <w:color w:val="000000"/>
              </w:rPr>
              <w:t>（2）合理布局设备位置，使高强度的噪声设备远离项目边界及环境敏感点。</w:t>
            </w:r>
          </w:p>
          <w:p w14:paraId="0B6409C7">
            <w:pPr>
              <w:adjustRightInd w:val="0"/>
              <w:snapToGrid w:val="0"/>
              <w:spacing w:line="360" w:lineRule="auto"/>
              <w:ind w:firstLine="480" w:firstLineChars="200"/>
              <w:rPr>
                <w:bCs/>
                <w:color w:val="000000"/>
              </w:rPr>
            </w:pPr>
            <w:r>
              <w:rPr>
                <w:bCs/>
                <w:color w:val="000000"/>
              </w:rPr>
              <w:t>（3）设置较为隔声的生产车间。</w:t>
            </w:r>
          </w:p>
          <w:p w14:paraId="049AA414">
            <w:pPr>
              <w:adjustRightInd w:val="0"/>
              <w:snapToGrid w:val="0"/>
              <w:spacing w:line="360" w:lineRule="auto"/>
              <w:ind w:firstLine="480" w:firstLineChars="200"/>
              <w:rPr>
                <w:bCs/>
                <w:color w:val="000000"/>
              </w:rPr>
            </w:pPr>
            <w:r>
              <w:rPr>
                <w:bCs/>
                <w:color w:val="000000"/>
              </w:rPr>
              <w:t>（4）对噪声值高的设备采取减振、消声、隔声等措施降低噪声值。</w:t>
            </w:r>
          </w:p>
          <w:p w14:paraId="69E70400">
            <w:pPr>
              <w:adjustRightInd w:val="0"/>
              <w:snapToGrid w:val="0"/>
              <w:spacing w:line="360" w:lineRule="auto"/>
              <w:ind w:firstLine="480" w:firstLineChars="200"/>
              <w:rPr>
                <w:bCs/>
                <w:color w:val="000000"/>
              </w:rPr>
            </w:pPr>
            <w:r>
              <w:rPr>
                <w:bCs/>
                <w:color w:val="000000"/>
              </w:rPr>
              <w:t>（5）定期对生产设备进行保养维修，保证生产设备维持的良好使用状态，并严格遵守生产设备的操作规范。</w:t>
            </w:r>
          </w:p>
          <w:p w14:paraId="56A9B109">
            <w:pPr>
              <w:adjustRightInd w:val="0"/>
              <w:snapToGrid w:val="0"/>
              <w:spacing w:line="360" w:lineRule="auto"/>
              <w:ind w:firstLine="480" w:firstLineChars="200"/>
              <w:rPr>
                <w:bCs/>
                <w:color w:val="000000"/>
              </w:rPr>
            </w:pPr>
            <w:r>
              <w:rPr>
                <w:bCs/>
                <w:color w:val="000000"/>
              </w:rPr>
              <w:t>建设单位通过增加绿化，设置隔声屏障等措施降低环境噪声影响。</w:t>
            </w:r>
          </w:p>
          <w:p w14:paraId="572A2367">
            <w:pPr>
              <w:adjustRightInd w:val="0"/>
              <w:snapToGrid w:val="0"/>
              <w:spacing w:line="360" w:lineRule="auto"/>
              <w:ind w:firstLine="482" w:firstLineChars="200"/>
              <w:rPr>
                <w:b/>
                <w:color w:val="000000"/>
              </w:rPr>
            </w:pPr>
            <w:r>
              <w:rPr>
                <w:b/>
                <w:color w:val="000000"/>
              </w:rPr>
              <w:t>4、噪声监测计划</w:t>
            </w:r>
          </w:p>
          <w:p w14:paraId="3F373000">
            <w:pPr>
              <w:spacing w:line="360" w:lineRule="auto"/>
              <w:ind w:firstLine="480" w:firstLineChars="200"/>
              <w:rPr>
                <w:bCs/>
                <w:color w:val="000000"/>
              </w:rPr>
            </w:pPr>
            <w:r>
              <w:rPr>
                <w:bCs/>
                <w:color w:val="000000"/>
              </w:rPr>
              <w:t>根据《排污单位自行监测技术指南 总则》（HJ819-2017），项目噪声监测计划如下所示。</w:t>
            </w:r>
          </w:p>
          <w:p w14:paraId="19E42349">
            <w:pPr>
              <w:autoSpaceDE w:val="0"/>
              <w:autoSpaceDN w:val="0"/>
              <w:adjustRightInd w:val="0"/>
              <w:jc w:val="center"/>
              <w:rPr>
                <w:b/>
                <w:bCs/>
                <w:color w:val="000000"/>
                <w:kern w:val="0"/>
              </w:rPr>
            </w:pPr>
            <w:r>
              <w:rPr>
                <w:b/>
                <w:bCs/>
                <w:color w:val="000000"/>
                <w:kern w:val="0"/>
                <w:lang w:bidi="ar"/>
              </w:rPr>
              <w:t>表4</w:t>
            </w:r>
            <w:r>
              <w:rPr>
                <w:rFonts w:hint="eastAsia"/>
                <w:b/>
                <w:bCs/>
                <w:color w:val="000000"/>
                <w:kern w:val="0"/>
                <w:lang w:bidi="ar"/>
              </w:rPr>
              <w:t>.</w:t>
            </w:r>
            <w:r>
              <w:rPr>
                <w:rFonts w:hint="eastAsia"/>
                <w:b/>
                <w:bCs/>
                <w:color w:val="000000"/>
                <w:kern w:val="0"/>
                <w:lang w:val="en-US" w:eastAsia="zh-CN" w:bidi="ar"/>
              </w:rPr>
              <w:t>8</w:t>
            </w:r>
            <w:r>
              <w:rPr>
                <w:b/>
                <w:bCs/>
                <w:color w:val="000000"/>
                <w:kern w:val="0"/>
                <w:lang w:bidi="ar"/>
              </w:rPr>
              <w:t xml:space="preserve">  噪声监测计划表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2052"/>
              <w:gridCol w:w="1559"/>
              <w:gridCol w:w="2616"/>
            </w:tblGrid>
            <w:tr w14:paraId="57BD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46" w:type="dxa"/>
                  <w:vAlign w:val="center"/>
                </w:tcPr>
                <w:p w14:paraId="47F6CE73">
                  <w:pPr>
                    <w:pStyle w:val="68"/>
                    <w:spacing w:line="240" w:lineRule="auto"/>
                    <w:rPr>
                      <w:b/>
                      <w:bCs/>
                      <w:color w:val="000000"/>
                      <w:sz w:val="21"/>
                    </w:rPr>
                  </w:pPr>
                  <w:r>
                    <w:rPr>
                      <w:b/>
                      <w:bCs/>
                      <w:color w:val="000000"/>
                      <w:sz w:val="21"/>
                    </w:rPr>
                    <w:t>监测点位置</w:t>
                  </w:r>
                </w:p>
              </w:tc>
              <w:tc>
                <w:tcPr>
                  <w:tcW w:w="2040" w:type="dxa"/>
                  <w:vAlign w:val="center"/>
                </w:tcPr>
                <w:p w14:paraId="464F03CB">
                  <w:pPr>
                    <w:pStyle w:val="68"/>
                    <w:spacing w:line="240" w:lineRule="auto"/>
                    <w:rPr>
                      <w:b/>
                      <w:bCs/>
                      <w:color w:val="000000"/>
                      <w:sz w:val="21"/>
                    </w:rPr>
                  </w:pPr>
                  <w:r>
                    <w:rPr>
                      <w:b/>
                      <w:bCs/>
                      <w:color w:val="000000"/>
                      <w:sz w:val="21"/>
                    </w:rPr>
                    <w:t>监测指标</w:t>
                  </w:r>
                </w:p>
              </w:tc>
              <w:tc>
                <w:tcPr>
                  <w:tcW w:w="1550" w:type="dxa"/>
                  <w:vAlign w:val="center"/>
                </w:tcPr>
                <w:p w14:paraId="4BEA748E">
                  <w:pPr>
                    <w:pStyle w:val="68"/>
                    <w:spacing w:line="240" w:lineRule="auto"/>
                    <w:rPr>
                      <w:b/>
                      <w:bCs/>
                      <w:color w:val="000000"/>
                      <w:sz w:val="21"/>
                    </w:rPr>
                  </w:pPr>
                  <w:r>
                    <w:rPr>
                      <w:b/>
                      <w:bCs/>
                      <w:color w:val="000000"/>
                      <w:sz w:val="21"/>
                    </w:rPr>
                    <w:t>监测频次</w:t>
                  </w:r>
                </w:p>
              </w:tc>
              <w:tc>
                <w:tcPr>
                  <w:tcW w:w="2600" w:type="dxa"/>
                  <w:vAlign w:val="center"/>
                </w:tcPr>
                <w:p w14:paraId="5ADF7643">
                  <w:pPr>
                    <w:pStyle w:val="68"/>
                    <w:spacing w:line="240" w:lineRule="auto"/>
                    <w:rPr>
                      <w:b/>
                      <w:bCs/>
                      <w:color w:val="000000"/>
                      <w:sz w:val="21"/>
                    </w:rPr>
                  </w:pPr>
                  <w:r>
                    <w:rPr>
                      <w:b/>
                      <w:bCs/>
                      <w:color w:val="000000"/>
                      <w:sz w:val="21"/>
                    </w:rPr>
                    <w:t>监测天数</w:t>
                  </w:r>
                </w:p>
              </w:tc>
            </w:tr>
            <w:tr w14:paraId="1D869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46" w:type="dxa"/>
                  <w:vAlign w:val="center"/>
                </w:tcPr>
                <w:p w14:paraId="7DF30F62">
                  <w:pPr>
                    <w:pStyle w:val="68"/>
                    <w:spacing w:line="240" w:lineRule="auto"/>
                    <w:rPr>
                      <w:color w:val="000000"/>
                      <w:sz w:val="21"/>
                    </w:rPr>
                  </w:pPr>
                  <w:r>
                    <w:rPr>
                      <w:color w:val="000000"/>
                      <w:sz w:val="21"/>
                    </w:rPr>
                    <w:t>厂界四周各布设一个噪声监测点</w:t>
                  </w:r>
                </w:p>
              </w:tc>
              <w:tc>
                <w:tcPr>
                  <w:tcW w:w="2040" w:type="dxa"/>
                  <w:vAlign w:val="center"/>
                </w:tcPr>
                <w:p w14:paraId="36C24994">
                  <w:pPr>
                    <w:pStyle w:val="68"/>
                    <w:spacing w:line="240" w:lineRule="auto"/>
                    <w:rPr>
                      <w:color w:val="000000"/>
                      <w:sz w:val="21"/>
                    </w:rPr>
                  </w:pPr>
                  <w:r>
                    <w:rPr>
                      <w:color w:val="000000"/>
                      <w:sz w:val="21"/>
                    </w:rPr>
                    <w:t>连续等效A声级</w:t>
                  </w:r>
                </w:p>
              </w:tc>
              <w:tc>
                <w:tcPr>
                  <w:tcW w:w="1550" w:type="dxa"/>
                  <w:vAlign w:val="center"/>
                </w:tcPr>
                <w:p w14:paraId="2109AA40">
                  <w:pPr>
                    <w:pStyle w:val="68"/>
                    <w:spacing w:line="240" w:lineRule="auto"/>
                    <w:rPr>
                      <w:color w:val="000000"/>
                      <w:sz w:val="21"/>
                    </w:rPr>
                  </w:pPr>
                  <w:r>
                    <w:rPr>
                      <w:color w:val="000000"/>
                      <w:sz w:val="21"/>
                    </w:rPr>
                    <w:t>每季一次</w:t>
                  </w:r>
                </w:p>
              </w:tc>
              <w:tc>
                <w:tcPr>
                  <w:tcW w:w="2600" w:type="dxa"/>
                  <w:vAlign w:val="center"/>
                </w:tcPr>
                <w:p w14:paraId="23EB02D7">
                  <w:pPr>
                    <w:pStyle w:val="68"/>
                    <w:spacing w:line="240" w:lineRule="auto"/>
                    <w:rPr>
                      <w:color w:val="000000"/>
                      <w:sz w:val="21"/>
                    </w:rPr>
                  </w:pPr>
                  <w:r>
                    <w:rPr>
                      <w:color w:val="000000"/>
                      <w:sz w:val="21"/>
                    </w:rPr>
                    <w:t>连续1天，昼夜各一次</w:t>
                  </w:r>
                </w:p>
              </w:tc>
            </w:tr>
          </w:tbl>
          <w:p w14:paraId="428EC460">
            <w:pPr>
              <w:adjustRightInd w:val="0"/>
              <w:snapToGrid w:val="0"/>
              <w:spacing w:before="120" w:beforeLines="50" w:line="360" w:lineRule="auto"/>
            </w:pPr>
            <w:r>
              <w:rPr>
                <w:rFonts w:hint="eastAsia"/>
                <w:b/>
                <w:bCs/>
              </w:rPr>
              <w:t>四、</w:t>
            </w:r>
            <w:r>
              <w:rPr>
                <w:b/>
                <w:bCs/>
              </w:rPr>
              <w:t>固体废物</w:t>
            </w:r>
          </w:p>
          <w:p w14:paraId="282EEF58">
            <w:pPr>
              <w:adjustRightInd w:val="0"/>
              <w:snapToGrid w:val="0"/>
              <w:spacing w:line="360" w:lineRule="auto"/>
              <w:ind w:firstLine="480" w:firstLineChars="200"/>
            </w:pPr>
            <w:r>
              <w:t>本项目运营期间的固体废物主要包括一般</w:t>
            </w:r>
            <w:r>
              <w:rPr>
                <w:rFonts w:hint="eastAsia"/>
              </w:rPr>
              <w:t>工业</w:t>
            </w:r>
            <w:r>
              <w:t>固废</w:t>
            </w:r>
            <w:r>
              <w:rPr>
                <w:rFonts w:hint="eastAsia"/>
              </w:rPr>
              <w:t>、</w:t>
            </w:r>
            <w:r>
              <w:t>危险废物和生活垃圾等。</w:t>
            </w:r>
          </w:p>
          <w:p w14:paraId="6FD3E592">
            <w:pPr>
              <w:adjustRightInd w:val="0"/>
              <w:snapToGrid w:val="0"/>
              <w:spacing w:line="360" w:lineRule="auto"/>
              <w:ind w:firstLine="480" w:firstLineChars="200"/>
            </w:pPr>
            <w:r>
              <w:rPr>
                <w:rFonts w:hint="eastAsia"/>
              </w:rPr>
              <w:t>（1）</w:t>
            </w:r>
            <w:r>
              <w:t>一般</w:t>
            </w:r>
            <w:r>
              <w:rPr>
                <w:rFonts w:hint="eastAsia"/>
              </w:rPr>
              <w:t>工业</w:t>
            </w:r>
            <w:r>
              <w:t>固废</w:t>
            </w:r>
          </w:p>
          <w:p w14:paraId="3B8802B4">
            <w:pPr>
              <w:pStyle w:val="64"/>
              <w:autoSpaceDE w:val="0"/>
              <w:spacing w:line="360" w:lineRule="auto"/>
              <w:ind w:firstLine="480"/>
              <w:rPr>
                <w:rFonts w:hint="default" w:ascii="宋体" w:hAnsi="宋体" w:eastAsia="宋体" w:cs="宋体"/>
                <w:szCs w:val="24"/>
                <w:lang w:val="en-US" w:eastAsia="zh-CN"/>
              </w:rPr>
            </w:pPr>
            <w:r>
              <w:rPr>
                <w:rFonts w:hint="eastAsia" w:ascii="宋体" w:hAnsi="宋体" w:cs="宋体"/>
                <w:szCs w:val="24"/>
                <w:lang w:val="en-US" w:eastAsia="zh-CN"/>
              </w:rPr>
              <w:t>①不合格原料</w:t>
            </w:r>
            <w:r>
              <w:rPr>
                <w:rFonts w:hint="eastAsia" w:ascii="宋体" w:hAnsi="宋体" w:cs="宋体"/>
                <w:szCs w:val="24"/>
              </w:rPr>
              <w:t>：</w:t>
            </w:r>
            <w:r>
              <w:rPr>
                <w:rFonts w:hint="eastAsia" w:ascii="宋体" w:hAnsi="宋体" w:cs="宋体"/>
                <w:szCs w:val="24"/>
                <w:lang w:val="en-US" w:eastAsia="zh-CN"/>
              </w:rPr>
              <w:t>本项目在检验工序会产生不合格原料，根据建设单位提供的资料，产生物质为固态，产生量约为</w:t>
            </w:r>
            <w:r>
              <w:rPr>
                <w:rFonts w:hint="default" w:ascii="Times New Roman" w:hAnsi="Times New Roman" w:eastAsia="宋体" w:cs="Times New Roman"/>
                <w:szCs w:val="24"/>
                <w:lang w:val="en-US" w:eastAsia="zh-CN"/>
              </w:rPr>
              <w:t>5t/a</w:t>
            </w:r>
            <w:r>
              <w:rPr>
                <w:rFonts w:hint="eastAsia" w:ascii="宋体" w:hAnsi="宋体" w:cs="宋体"/>
                <w:szCs w:val="24"/>
                <w:lang w:val="en-US" w:eastAsia="zh-CN"/>
              </w:rPr>
              <w:t>，</w:t>
            </w:r>
            <w:r>
              <w:rPr>
                <w:rFonts w:hint="eastAsia" w:cs="宋体"/>
                <w:kern w:val="0"/>
                <w:sz w:val="24"/>
              </w:rPr>
              <w:t>根据</w:t>
            </w:r>
            <w:r>
              <w:rPr>
                <w:rFonts w:hint="eastAsia" w:cs="宋体"/>
                <w:color w:val="auto"/>
                <w:kern w:val="0"/>
                <w:sz w:val="24"/>
                <w:lang w:val="en-US" w:eastAsia="zh-CN"/>
              </w:rPr>
              <w:t>《固体废物分类与代码目录》（生态环境部办公厅2024年1月22日印发）</w:t>
            </w:r>
            <w:r>
              <w:rPr>
                <w:rFonts w:hint="eastAsia" w:cs="宋体"/>
                <w:kern w:val="0"/>
                <w:sz w:val="24"/>
              </w:rPr>
              <w:t>，</w:t>
            </w:r>
            <w:r>
              <w:rPr>
                <w:rFonts w:hint="eastAsia" w:cs="宋体"/>
                <w:kern w:val="0"/>
                <w:sz w:val="24"/>
                <w:lang w:val="en-US" w:eastAsia="zh-CN"/>
              </w:rPr>
              <w:t>固废类别为SW13，不合格原料</w:t>
            </w:r>
            <w:r>
              <w:rPr>
                <w:rFonts w:hint="eastAsia" w:cs="宋体"/>
                <w:kern w:val="0"/>
                <w:sz w:val="24"/>
              </w:rPr>
              <w:t>固废代码为</w:t>
            </w:r>
            <w:r>
              <w:rPr>
                <w:rFonts w:hint="eastAsia" w:cs="宋体"/>
                <w:kern w:val="0"/>
                <w:sz w:val="24"/>
                <w:lang w:val="en-US" w:eastAsia="zh-CN"/>
              </w:rPr>
              <w:t>900-099-S13</w:t>
            </w:r>
            <w:r>
              <w:rPr>
                <w:rFonts w:hint="eastAsia" w:cs="宋体"/>
                <w:kern w:val="0"/>
                <w:sz w:val="24"/>
              </w:rPr>
              <w:t>，统一收集后</w:t>
            </w:r>
            <w:r>
              <w:rPr>
                <w:rFonts w:hint="eastAsia" w:cs="宋体"/>
                <w:kern w:val="0"/>
                <w:sz w:val="24"/>
                <w:lang w:val="en-US" w:eastAsia="zh-CN"/>
              </w:rPr>
              <w:t>暂存于一般固废暂存处，交由一般固废处理单位处理。</w:t>
            </w:r>
          </w:p>
          <w:p w14:paraId="4B5B3373">
            <w:pPr>
              <w:pStyle w:val="64"/>
              <w:autoSpaceDE w:val="0"/>
              <w:spacing w:line="360" w:lineRule="auto"/>
              <w:ind w:firstLine="480"/>
            </w:pPr>
            <w:r>
              <w:rPr>
                <w:rFonts w:hint="eastAsia"/>
                <w:kern w:val="0"/>
                <w:lang w:val="en-US" w:eastAsia="zh-CN" w:bidi="ar"/>
              </w:rPr>
              <w:t>②</w:t>
            </w:r>
            <w:r>
              <w:rPr>
                <w:rFonts w:hint="eastAsia" w:ascii="宋体" w:hAnsi="宋体" w:cs="宋体"/>
                <w:lang w:val="en-US" w:eastAsia="zh-CN"/>
              </w:rPr>
              <w:t>废包装</w:t>
            </w:r>
            <w:r>
              <w:rPr>
                <w:rFonts w:hint="eastAsia" w:ascii="宋体" w:hAnsi="宋体" w:cs="宋体"/>
              </w:rPr>
              <w:t>：</w:t>
            </w:r>
            <w:r>
              <w:rPr>
                <w:rFonts w:hint="eastAsia"/>
                <w:szCs w:val="24"/>
              </w:rPr>
              <w:t>本项目在</w:t>
            </w:r>
            <w:r>
              <w:rPr>
                <w:rFonts w:hint="eastAsia"/>
                <w:szCs w:val="24"/>
                <w:lang w:val="en-US" w:eastAsia="zh-CN"/>
              </w:rPr>
              <w:t>脱包工序会产生废包装，根据建设单位提供资料，</w:t>
            </w:r>
            <w:r>
              <w:rPr>
                <w:rFonts w:hint="eastAsia" w:ascii="宋体" w:hAnsi="宋体" w:cs="宋体"/>
                <w:szCs w:val="24"/>
                <w:lang w:val="en-US" w:eastAsia="zh-CN"/>
              </w:rPr>
              <w:t>产生物质为固态，产生量约为</w:t>
            </w:r>
            <w:r>
              <w:rPr>
                <w:rFonts w:hint="eastAsia" w:ascii="Times New Roman" w:hAnsi="Times New Roman" w:eastAsia="宋体" w:cs="Times New Roman"/>
                <w:szCs w:val="24"/>
                <w:lang w:val="en-US" w:eastAsia="zh-CN"/>
              </w:rPr>
              <w:t>2</w:t>
            </w:r>
            <w:r>
              <w:rPr>
                <w:rFonts w:hint="default" w:ascii="Times New Roman" w:hAnsi="Times New Roman" w:eastAsia="宋体" w:cs="Times New Roman"/>
                <w:szCs w:val="24"/>
                <w:lang w:val="en-US" w:eastAsia="zh-CN"/>
              </w:rPr>
              <w:t>t/a</w:t>
            </w:r>
            <w:r>
              <w:rPr>
                <w:rFonts w:hint="eastAsia" w:ascii="宋体" w:hAnsi="宋体" w:cs="宋体"/>
                <w:szCs w:val="24"/>
                <w:lang w:val="en-US" w:eastAsia="zh-CN"/>
              </w:rPr>
              <w:t>，</w:t>
            </w:r>
            <w:r>
              <w:rPr>
                <w:rFonts w:hint="eastAsia" w:cs="宋体"/>
                <w:kern w:val="0"/>
                <w:sz w:val="24"/>
              </w:rPr>
              <w:t>根据</w:t>
            </w:r>
            <w:r>
              <w:rPr>
                <w:rFonts w:hint="eastAsia" w:cs="宋体"/>
                <w:color w:val="auto"/>
                <w:kern w:val="0"/>
                <w:sz w:val="24"/>
                <w:lang w:val="en-US" w:eastAsia="zh-CN"/>
              </w:rPr>
              <w:t>《固体废物分类与代码目录》（生态环境部办公厅2024年1月22日印发）</w:t>
            </w:r>
            <w:r>
              <w:rPr>
                <w:rFonts w:hint="eastAsia" w:cs="宋体"/>
                <w:kern w:val="0"/>
                <w:sz w:val="24"/>
              </w:rPr>
              <w:t>，</w:t>
            </w:r>
            <w:r>
              <w:rPr>
                <w:rFonts w:hint="eastAsia" w:cs="宋体"/>
                <w:kern w:val="0"/>
                <w:sz w:val="24"/>
                <w:lang w:val="en-US" w:eastAsia="zh-CN"/>
              </w:rPr>
              <w:t>固废类别为SW59，不合格原料</w:t>
            </w:r>
            <w:r>
              <w:rPr>
                <w:rFonts w:hint="eastAsia" w:cs="宋体"/>
                <w:kern w:val="0"/>
                <w:sz w:val="24"/>
              </w:rPr>
              <w:t>固废代码为</w:t>
            </w:r>
            <w:r>
              <w:rPr>
                <w:rFonts w:hint="eastAsia" w:cs="宋体"/>
                <w:kern w:val="0"/>
                <w:sz w:val="24"/>
                <w:lang w:val="en-US" w:eastAsia="zh-CN"/>
              </w:rPr>
              <w:t>900-099-S59</w:t>
            </w:r>
            <w:r>
              <w:rPr>
                <w:rFonts w:hint="eastAsia" w:cs="宋体"/>
                <w:kern w:val="0"/>
                <w:sz w:val="24"/>
              </w:rPr>
              <w:t>，统一收集后</w:t>
            </w:r>
            <w:r>
              <w:rPr>
                <w:rFonts w:hint="eastAsia" w:cs="宋体"/>
                <w:kern w:val="0"/>
                <w:sz w:val="24"/>
                <w:lang w:val="en-US" w:eastAsia="zh-CN"/>
              </w:rPr>
              <w:t>暂存于一般固废暂存处，交由一般固废处理单位处理</w:t>
            </w:r>
            <w:r>
              <w:rPr>
                <w:color w:val="000000"/>
              </w:rPr>
              <w:t>。</w:t>
            </w:r>
          </w:p>
          <w:p w14:paraId="0F8E7D5C">
            <w:pPr>
              <w:pStyle w:val="64"/>
              <w:autoSpaceDE w:val="0"/>
              <w:spacing w:line="360" w:lineRule="auto"/>
              <w:ind w:firstLine="480"/>
            </w:pPr>
            <w:r>
              <w:rPr>
                <w:rFonts w:hint="eastAsia"/>
                <w:kern w:val="0"/>
                <w:lang w:val="en-US" w:eastAsia="zh-CN" w:bidi="ar"/>
              </w:rPr>
              <w:t>③</w:t>
            </w:r>
            <w:r>
              <w:rPr>
                <w:rFonts w:hint="eastAsia"/>
                <w:kern w:val="0"/>
                <w:lang w:bidi="ar"/>
              </w:rPr>
              <w:t>不合格品：</w:t>
            </w:r>
            <w:r>
              <w:rPr>
                <w:rFonts w:hint="eastAsia"/>
                <w:szCs w:val="24"/>
              </w:rPr>
              <w:t>本项目在</w:t>
            </w:r>
            <w:r>
              <w:rPr>
                <w:rFonts w:hint="eastAsia"/>
                <w:szCs w:val="24"/>
                <w:lang w:val="en-US" w:eastAsia="zh-CN"/>
              </w:rPr>
              <w:t>成品检验工序会产生不合格品，根据建设单位提供资料，</w:t>
            </w:r>
            <w:r>
              <w:rPr>
                <w:rFonts w:hint="eastAsia" w:ascii="宋体" w:hAnsi="宋体" w:cs="宋体"/>
                <w:szCs w:val="24"/>
                <w:lang w:val="en-US" w:eastAsia="zh-CN"/>
              </w:rPr>
              <w:t>产生物质为固态，产生量约为</w:t>
            </w:r>
            <w:r>
              <w:rPr>
                <w:rFonts w:hint="eastAsia" w:ascii="Times New Roman" w:hAnsi="Times New Roman" w:eastAsia="宋体" w:cs="Times New Roman"/>
                <w:szCs w:val="24"/>
                <w:lang w:val="en-US" w:eastAsia="zh-CN"/>
              </w:rPr>
              <w:t>2</w:t>
            </w:r>
            <w:r>
              <w:rPr>
                <w:rFonts w:hint="default" w:ascii="Times New Roman" w:hAnsi="Times New Roman" w:eastAsia="宋体" w:cs="Times New Roman"/>
                <w:szCs w:val="24"/>
                <w:lang w:val="en-US" w:eastAsia="zh-CN"/>
              </w:rPr>
              <w:t>t/a</w:t>
            </w:r>
            <w:r>
              <w:rPr>
                <w:rFonts w:hint="eastAsia" w:ascii="宋体" w:hAnsi="宋体" w:cs="宋体"/>
                <w:szCs w:val="24"/>
                <w:lang w:val="en-US" w:eastAsia="zh-CN"/>
              </w:rPr>
              <w:t>，</w:t>
            </w:r>
            <w:r>
              <w:rPr>
                <w:rFonts w:hint="eastAsia" w:cs="宋体"/>
                <w:kern w:val="0"/>
                <w:sz w:val="24"/>
              </w:rPr>
              <w:t>根据</w:t>
            </w:r>
            <w:r>
              <w:rPr>
                <w:rFonts w:hint="eastAsia" w:cs="宋体"/>
                <w:color w:val="auto"/>
                <w:kern w:val="0"/>
                <w:sz w:val="24"/>
                <w:lang w:val="en-US" w:eastAsia="zh-CN"/>
              </w:rPr>
              <w:t>《固体废物分类与代码目录》（生态环境部办公厅2024年1月22日印发）</w:t>
            </w:r>
            <w:r>
              <w:rPr>
                <w:rFonts w:hint="eastAsia" w:cs="宋体"/>
                <w:kern w:val="0"/>
                <w:sz w:val="24"/>
              </w:rPr>
              <w:t>，</w:t>
            </w:r>
            <w:r>
              <w:rPr>
                <w:rFonts w:hint="eastAsia" w:cs="宋体"/>
                <w:kern w:val="0"/>
                <w:sz w:val="24"/>
                <w:lang w:val="en-US" w:eastAsia="zh-CN"/>
              </w:rPr>
              <w:t>固废类别为SW59，不合格原料</w:t>
            </w:r>
            <w:r>
              <w:rPr>
                <w:rFonts w:hint="eastAsia" w:cs="宋体"/>
                <w:kern w:val="0"/>
                <w:sz w:val="24"/>
              </w:rPr>
              <w:t>固废代码为</w:t>
            </w:r>
            <w:r>
              <w:rPr>
                <w:rFonts w:hint="eastAsia" w:cs="宋体"/>
                <w:kern w:val="0"/>
                <w:sz w:val="24"/>
                <w:lang w:val="en-US" w:eastAsia="zh-CN"/>
              </w:rPr>
              <w:t>900-099-S59</w:t>
            </w:r>
            <w:r>
              <w:rPr>
                <w:rFonts w:hint="eastAsia" w:cs="宋体"/>
                <w:kern w:val="0"/>
                <w:sz w:val="24"/>
              </w:rPr>
              <w:t>，统一收集后</w:t>
            </w:r>
            <w:r>
              <w:rPr>
                <w:rFonts w:hint="eastAsia" w:cs="宋体"/>
                <w:kern w:val="0"/>
                <w:sz w:val="24"/>
                <w:lang w:val="en-US" w:eastAsia="zh-CN"/>
              </w:rPr>
              <w:t>暂存于一般固废暂存处，交由一般固废处理单位处理</w:t>
            </w:r>
            <w:r>
              <w:rPr>
                <w:color w:val="000000"/>
              </w:rPr>
              <w:t>。</w:t>
            </w:r>
          </w:p>
          <w:p w14:paraId="5C016C31">
            <w:pPr>
              <w:adjustRightInd w:val="0"/>
              <w:snapToGrid w:val="0"/>
              <w:spacing w:line="360" w:lineRule="auto"/>
              <w:ind w:firstLine="480" w:firstLineChars="200"/>
              <w:jc w:val="left"/>
            </w:pPr>
            <w:r>
              <w:rPr>
                <w:rFonts w:hint="eastAsia"/>
              </w:rPr>
              <w:t>（</w:t>
            </w:r>
            <w:r>
              <w:rPr>
                <w:rFonts w:hint="eastAsia"/>
                <w:lang w:val="en-US" w:eastAsia="zh-CN"/>
              </w:rPr>
              <w:t>2</w:t>
            </w:r>
            <w:r>
              <w:rPr>
                <w:rFonts w:hint="eastAsia"/>
              </w:rPr>
              <w:t>）生活垃圾</w:t>
            </w:r>
          </w:p>
          <w:p w14:paraId="1105AB79">
            <w:pPr>
              <w:widowControl/>
              <w:snapToGrid w:val="0"/>
              <w:spacing w:line="360" w:lineRule="auto"/>
              <w:ind w:right="113" w:firstLine="480" w:firstLineChars="200"/>
              <w:rPr>
                <w:b/>
                <w:bCs/>
              </w:rPr>
            </w:pPr>
            <w:r>
              <w:rPr>
                <w:rFonts w:hint="eastAsia" w:cs="宋体"/>
                <w:kern w:val="0"/>
                <w:sz w:val="24"/>
              </w:rPr>
              <w:t>项目员工</w:t>
            </w:r>
            <w:r>
              <w:rPr>
                <w:rFonts w:hint="eastAsia" w:cs="宋体"/>
                <w:kern w:val="0"/>
                <w:sz w:val="24"/>
                <w:lang w:val="en-US" w:eastAsia="zh-CN"/>
              </w:rPr>
              <w:t>30</w:t>
            </w:r>
            <w:r>
              <w:rPr>
                <w:rFonts w:hint="eastAsia" w:cs="宋体"/>
                <w:kern w:val="0"/>
                <w:sz w:val="24"/>
              </w:rPr>
              <w:t>人，年工作</w:t>
            </w:r>
            <w:r>
              <w:rPr>
                <w:kern w:val="0"/>
                <w:sz w:val="24"/>
              </w:rPr>
              <w:t>300d</w:t>
            </w:r>
            <w:r>
              <w:rPr>
                <w:rFonts w:hint="eastAsia" w:cs="宋体"/>
                <w:kern w:val="0"/>
                <w:sz w:val="24"/>
              </w:rPr>
              <w:t>，生活垃圾产生量按照</w:t>
            </w:r>
            <w:r>
              <w:rPr>
                <w:kern w:val="0"/>
                <w:sz w:val="24"/>
              </w:rPr>
              <w:t>0.5kg</w:t>
            </w:r>
            <w:r>
              <w:rPr>
                <w:rFonts w:hint="eastAsia" w:cs="宋体"/>
                <w:kern w:val="0"/>
                <w:sz w:val="24"/>
              </w:rPr>
              <w:t>/人·</w:t>
            </w:r>
            <w:r>
              <w:rPr>
                <w:kern w:val="0"/>
                <w:sz w:val="24"/>
              </w:rPr>
              <w:t>d</w:t>
            </w:r>
            <w:r>
              <w:rPr>
                <w:rFonts w:hint="eastAsia" w:cs="宋体"/>
                <w:kern w:val="0"/>
                <w:sz w:val="24"/>
              </w:rPr>
              <w:t>计算，产生生活垃圾量</w:t>
            </w:r>
            <w:r>
              <w:rPr>
                <w:rFonts w:hint="eastAsia"/>
                <w:kern w:val="0"/>
                <w:sz w:val="24"/>
                <w:lang w:val="en-US" w:eastAsia="zh-CN"/>
              </w:rPr>
              <w:t>4.5</w:t>
            </w:r>
            <w:r>
              <w:rPr>
                <w:kern w:val="0"/>
                <w:sz w:val="24"/>
              </w:rPr>
              <w:t>t/a</w:t>
            </w:r>
            <w:r>
              <w:rPr>
                <w:rFonts w:hint="eastAsia" w:cs="宋体"/>
                <w:kern w:val="0"/>
                <w:sz w:val="24"/>
              </w:rPr>
              <w:t>。由环卫部门定期清运处理</w:t>
            </w:r>
            <w:r>
              <w:t>。</w:t>
            </w:r>
          </w:p>
          <w:p w14:paraId="5F44B3FE">
            <w:pPr>
              <w:adjustRightInd w:val="0"/>
              <w:snapToGrid w:val="0"/>
              <w:jc w:val="center"/>
            </w:pPr>
            <w:r>
              <w:rPr>
                <w:b/>
                <w:bCs/>
              </w:rPr>
              <w:t>表4.</w:t>
            </w:r>
            <w:r>
              <w:rPr>
                <w:rFonts w:hint="eastAsia"/>
                <w:b/>
                <w:bCs/>
              </w:rPr>
              <w:t xml:space="preserve">13 </w:t>
            </w:r>
            <w:r>
              <w:rPr>
                <w:b/>
                <w:bCs/>
              </w:rPr>
              <w:t xml:space="preserve"> 项目固体废物产</w:t>
            </w:r>
            <w:r>
              <w:rPr>
                <w:rFonts w:hint="eastAsia"/>
                <w:b/>
                <w:bCs/>
              </w:rPr>
              <w:t>排污</w:t>
            </w:r>
            <w:r>
              <w:rPr>
                <w:b/>
                <w:bCs/>
              </w:rPr>
              <w:t>情况</w:t>
            </w:r>
            <w:r>
              <w:rPr>
                <w:rFonts w:hint="eastAsia"/>
                <w:b/>
                <w:bCs/>
              </w:rPr>
              <w:t>一览</w:t>
            </w:r>
            <w:r>
              <w:rPr>
                <w:b/>
                <w:bCs/>
              </w:rPr>
              <w:t>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1110"/>
              <w:gridCol w:w="1010"/>
              <w:gridCol w:w="1080"/>
              <w:gridCol w:w="730"/>
              <w:gridCol w:w="1020"/>
              <w:gridCol w:w="932"/>
              <w:gridCol w:w="1016"/>
            </w:tblGrid>
            <w:tr w14:paraId="7A0C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7B2FC1A1">
                  <w:pPr>
                    <w:jc w:val="center"/>
                    <w:rPr>
                      <w:b/>
                      <w:sz w:val="21"/>
                      <w:szCs w:val="21"/>
                    </w:rPr>
                  </w:pPr>
                  <w:r>
                    <w:rPr>
                      <w:b/>
                      <w:sz w:val="21"/>
                      <w:szCs w:val="21"/>
                      <w:lang w:bidi="ar"/>
                    </w:rPr>
                    <w:t>名称</w:t>
                  </w:r>
                </w:p>
              </w:tc>
              <w:tc>
                <w:tcPr>
                  <w:tcW w:w="1110" w:type="dxa"/>
                  <w:vAlign w:val="center"/>
                </w:tcPr>
                <w:p w14:paraId="27854D68">
                  <w:pPr>
                    <w:jc w:val="center"/>
                    <w:rPr>
                      <w:b/>
                      <w:sz w:val="21"/>
                      <w:szCs w:val="21"/>
                    </w:rPr>
                  </w:pPr>
                  <w:r>
                    <w:rPr>
                      <w:b/>
                      <w:sz w:val="21"/>
                      <w:szCs w:val="21"/>
                      <w:lang w:bidi="ar"/>
                    </w:rPr>
                    <w:t>类别</w:t>
                  </w:r>
                </w:p>
              </w:tc>
              <w:tc>
                <w:tcPr>
                  <w:tcW w:w="1010" w:type="dxa"/>
                  <w:vAlign w:val="center"/>
                </w:tcPr>
                <w:p w14:paraId="33C3B8A3">
                  <w:pPr>
                    <w:jc w:val="center"/>
                    <w:rPr>
                      <w:b/>
                      <w:sz w:val="21"/>
                      <w:szCs w:val="21"/>
                      <w:lang w:bidi="ar"/>
                    </w:rPr>
                  </w:pPr>
                  <w:r>
                    <w:rPr>
                      <w:b/>
                      <w:sz w:val="21"/>
                      <w:szCs w:val="21"/>
                      <w:lang w:bidi="ar"/>
                    </w:rPr>
                    <w:t>固体废物代码</w:t>
                  </w:r>
                </w:p>
              </w:tc>
              <w:tc>
                <w:tcPr>
                  <w:tcW w:w="1080" w:type="dxa"/>
                  <w:vAlign w:val="center"/>
                </w:tcPr>
                <w:p w14:paraId="0308CDB6">
                  <w:pPr>
                    <w:jc w:val="center"/>
                    <w:rPr>
                      <w:b/>
                      <w:sz w:val="21"/>
                      <w:szCs w:val="21"/>
                      <w:lang w:bidi="ar"/>
                    </w:rPr>
                  </w:pPr>
                  <w:r>
                    <w:rPr>
                      <w:b/>
                      <w:sz w:val="21"/>
                      <w:szCs w:val="21"/>
                      <w:lang w:bidi="ar"/>
                    </w:rPr>
                    <w:t>产生环节</w:t>
                  </w:r>
                </w:p>
              </w:tc>
              <w:tc>
                <w:tcPr>
                  <w:tcW w:w="730" w:type="dxa"/>
                  <w:vAlign w:val="center"/>
                </w:tcPr>
                <w:p w14:paraId="530FEEC8">
                  <w:pPr>
                    <w:jc w:val="center"/>
                    <w:rPr>
                      <w:b/>
                      <w:sz w:val="21"/>
                      <w:szCs w:val="21"/>
                      <w:lang w:bidi="ar"/>
                    </w:rPr>
                  </w:pPr>
                  <w:r>
                    <w:rPr>
                      <w:b/>
                      <w:sz w:val="21"/>
                      <w:szCs w:val="21"/>
                      <w:lang w:bidi="ar"/>
                    </w:rPr>
                    <w:t>状态</w:t>
                  </w:r>
                </w:p>
              </w:tc>
              <w:tc>
                <w:tcPr>
                  <w:tcW w:w="1020" w:type="dxa"/>
                  <w:vAlign w:val="center"/>
                </w:tcPr>
                <w:p w14:paraId="7F51D440">
                  <w:pPr>
                    <w:jc w:val="center"/>
                    <w:rPr>
                      <w:b/>
                      <w:sz w:val="21"/>
                      <w:szCs w:val="21"/>
                    </w:rPr>
                  </w:pPr>
                  <w:r>
                    <w:rPr>
                      <w:b/>
                      <w:sz w:val="21"/>
                      <w:szCs w:val="21"/>
                      <w:lang w:bidi="ar"/>
                    </w:rPr>
                    <w:t>产生量</w:t>
                  </w:r>
                </w:p>
              </w:tc>
              <w:tc>
                <w:tcPr>
                  <w:tcW w:w="932" w:type="dxa"/>
                  <w:vAlign w:val="center"/>
                </w:tcPr>
                <w:p w14:paraId="6AAF5A58">
                  <w:pPr>
                    <w:jc w:val="center"/>
                    <w:rPr>
                      <w:b/>
                      <w:sz w:val="21"/>
                      <w:szCs w:val="21"/>
                    </w:rPr>
                  </w:pPr>
                  <w:r>
                    <w:rPr>
                      <w:b/>
                      <w:sz w:val="21"/>
                      <w:szCs w:val="21"/>
                      <w:lang w:bidi="ar"/>
                    </w:rPr>
                    <w:t>最终去向</w:t>
                  </w:r>
                </w:p>
              </w:tc>
              <w:tc>
                <w:tcPr>
                  <w:tcW w:w="1016" w:type="dxa"/>
                  <w:vAlign w:val="center"/>
                </w:tcPr>
                <w:p w14:paraId="69A01E1B">
                  <w:pPr>
                    <w:jc w:val="center"/>
                    <w:rPr>
                      <w:b/>
                      <w:sz w:val="21"/>
                      <w:szCs w:val="21"/>
                      <w:lang w:bidi="ar"/>
                    </w:rPr>
                  </w:pPr>
                  <w:r>
                    <w:rPr>
                      <w:b/>
                      <w:sz w:val="21"/>
                      <w:szCs w:val="21"/>
                      <w:lang w:bidi="ar"/>
                    </w:rPr>
                    <w:t>排放量（t/a）</w:t>
                  </w:r>
                </w:p>
              </w:tc>
            </w:tr>
            <w:tr w14:paraId="28F0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330FF0CD">
                  <w:pPr>
                    <w:jc w:val="center"/>
                    <w:outlineLvl w:val="0"/>
                    <w:rPr>
                      <w:sz w:val="21"/>
                      <w:szCs w:val="21"/>
                    </w:rPr>
                  </w:pPr>
                  <w:r>
                    <w:rPr>
                      <w:sz w:val="21"/>
                      <w:szCs w:val="21"/>
                      <w:lang w:bidi="ar"/>
                    </w:rPr>
                    <w:t>生活垃圾</w:t>
                  </w:r>
                </w:p>
              </w:tc>
              <w:tc>
                <w:tcPr>
                  <w:tcW w:w="1110" w:type="dxa"/>
                  <w:vAlign w:val="center"/>
                </w:tcPr>
                <w:p w14:paraId="4B20880F">
                  <w:pPr>
                    <w:jc w:val="center"/>
                    <w:rPr>
                      <w:sz w:val="21"/>
                      <w:szCs w:val="21"/>
                    </w:rPr>
                  </w:pPr>
                  <w:r>
                    <w:rPr>
                      <w:sz w:val="21"/>
                      <w:szCs w:val="21"/>
                    </w:rPr>
                    <w:t>/</w:t>
                  </w:r>
                </w:p>
              </w:tc>
              <w:tc>
                <w:tcPr>
                  <w:tcW w:w="1010" w:type="dxa"/>
                  <w:vAlign w:val="center"/>
                </w:tcPr>
                <w:p w14:paraId="5A037E42">
                  <w:pPr>
                    <w:jc w:val="center"/>
                    <w:rPr>
                      <w:sz w:val="21"/>
                      <w:szCs w:val="21"/>
                      <w:lang w:bidi="ar"/>
                    </w:rPr>
                  </w:pPr>
                  <w:r>
                    <w:rPr>
                      <w:rFonts w:hint="eastAsia"/>
                      <w:sz w:val="21"/>
                      <w:szCs w:val="21"/>
                      <w:lang w:bidi="ar"/>
                    </w:rPr>
                    <w:t>/</w:t>
                  </w:r>
                </w:p>
              </w:tc>
              <w:tc>
                <w:tcPr>
                  <w:tcW w:w="1080" w:type="dxa"/>
                  <w:vAlign w:val="center"/>
                </w:tcPr>
                <w:p w14:paraId="5FD1E44E">
                  <w:pPr>
                    <w:jc w:val="center"/>
                    <w:rPr>
                      <w:sz w:val="21"/>
                      <w:szCs w:val="21"/>
                      <w:lang w:bidi="ar"/>
                    </w:rPr>
                  </w:pPr>
                  <w:r>
                    <w:rPr>
                      <w:sz w:val="21"/>
                      <w:szCs w:val="21"/>
                      <w:lang w:bidi="ar"/>
                    </w:rPr>
                    <w:t>生活</w:t>
                  </w:r>
                </w:p>
              </w:tc>
              <w:tc>
                <w:tcPr>
                  <w:tcW w:w="730" w:type="dxa"/>
                  <w:vAlign w:val="center"/>
                </w:tcPr>
                <w:p w14:paraId="353FB6A0">
                  <w:pPr>
                    <w:jc w:val="center"/>
                    <w:rPr>
                      <w:sz w:val="21"/>
                      <w:szCs w:val="21"/>
                      <w:lang w:bidi="ar"/>
                    </w:rPr>
                  </w:pPr>
                  <w:r>
                    <w:rPr>
                      <w:sz w:val="21"/>
                      <w:szCs w:val="21"/>
                      <w:lang w:bidi="ar"/>
                    </w:rPr>
                    <w:t>固态</w:t>
                  </w:r>
                </w:p>
              </w:tc>
              <w:tc>
                <w:tcPr>
                  <w:tcW w:w="1020" w:type="dxa"/>
                  <w:vAlign w:val="center"/>
                </w:tcPr>
                <w:p w14:paraId="00DE63CF">
                  <w:pPr>
                    <w:jc w:val="center"/>
                    <w:rPr>
                      <w:sz w:val="21"/>
                      <w:szCs w:val="21"/>
                    </w:rPr>
                  </w:pPr>
                  <w:r>
                    <w:rPr>
                      <w:rFonts w:hint="eastAsia"/>
                      <w:sz w:val="21"/>
                      <w:szCs w:val="21"/>
                      <w:lang w:val="en-US" w:eastAsia="zh-CN" w:bidi="ar"/>
                    </w:rPr>
                    <w:t>4.5</w:t>
                  </w:r>
                  <w:r>
                    <w:rPr>
                      <w:sz w:val="21"/>
                      <w:szCs w:val="21"/>
                      <w:lang w:bidi="ar"/>
                    </w:rPr>
                    <w:t>t/a</w:t>
                  </w:r>
                </w:p>
              </w:tc>
              <w:tc>
                <w:tcPr>
                  <w:tcW w:w="932" w:type="dxa"/>
                  <w:vAlign w:val="center"/>
                </w:tcPr>
                <w:p w14:paraId="39E628B3">
                  <w:pPr>
                    <w:jc w:val="center"/>
                    <w:rPr>
                      <w:sz w:val="21"/>
                      <w:szCs w:val="21"/>
                    </w:rPr>
                  </w:pPr>
                  <w:r>
                    <w:rPr>
                      <w:sz w:val="21"/>
                      <w:szCs w:val="21"/>
                      <w:lang w:bidi="ar"/>
                    </w:rPr>
                    <w:t>环卫部门清运</w:t>
                  </w:r>
                </w:p>
              </w:tc>
              <w:tc>
                <w:tcPr>
                  <w:tcW w:w="1016" w:type="dxa"/>
                  <w:vAlign w:val="center"/>
                </w:tcPr>
                <w:p w14:paraId="0BC72023">
                  <w:pPr>
                    <w:jc w:val="center"/>
                    <w:rPr>
                      <w:sz w:val="21"/>
                      <w:szCs w:val="21"/>
                      <w:lang w:bidi="ar"/>
                    </w:rPr>
                  </w:pPr>
                  <w:r>
                    <w:rPr>
                      <w:sz w:val="21"/>
                      <w:szCs w:val="21"/>
                      <w:lang w:bidi="ar"/>
                    </w:rPr>
                    <w:t>0</w:t>
                  </w:r>
                </w:p>
              </w:tc>
            </w:tr>
            <w:tr w14:paraId="39698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5A158F49">
                  <w:pPr>
                    <w:jc w:val="center"/>
                    <w:rPr>
                      <w:sz w:val="21"/>
                      <w:szCs w:val="21"/>
                    </w:rPr>
                  </w:pPr>
                  <w:r>
                    <w:rPr>
                      <w:rFonts w:hint="eastAsia"/>
                      <w:bCs/>
                      <w:sz w:val="21"/>
                      <w:szCs w:val="21"/>
                    </w:rPr>
                    <w:t>不合格</w:t>
                  </w:r>
                  <w:r>
                    <w:rPr>
                      <w:rFonts w:hint="eastAsia"/>
                      <w:bCs/>
                      <w:sz w:val="21"/>
                      <w:szCs w:val="21"/>
                      <w:lang w:val="en-US" w:eastAsia="zh-CN"/>
                    </w:rPr>
                    <w:t>原料</w:t>
                  </w:r>
                </w:p>
              </w:tc>
              <w:tc>
                <w:tcPr>
                  <w:tcW w:w="1110" w:type="dxa"/>
                  <w:vAlign w:val="center"/>
                </w:tcPr>
                <w:p w14:paraId="382B6DED">
                  <w:pPr>
                    <w:jc w:val="center"/>
                    <w:rPr>
                      <w:sz w:val="21"/>
                      <w:szCs w:val="21"/>
                    </w:rPr>
                  </w:pPr>
                  <w:r>
                    <w:rPr>
                      <w:sz w:val="21"/>
                      <w:szCs w:val="21"/>
                      <w:lang w:bidi="ar"/>
                    </w:rPr>
                    <w:t>一般固废</w:t>
                  </w:r>
                </w:p>
              </w:tc>
              <w:tc>
                <w:tcPr>
                  <w:tcW w:w="1010" w:type="dxa"/>
                  <w:vAlign w:val="center"/>
                </w:tcPr>
                <w:p w14:paraId="52EA94B9">
                  <w:pPr>
                    <w:jc w:val="center"/>
                    <w:rPr>
                      <w:sz w:val="21"/>
                      <w:szCs w:val="21"/>
                      <w:lang w:bidi="ar"/>
                    </w:rPr>
                  </w:pPr>
                  <w:r>
                    <w:rPr>
                      <w:rFonts w:hint="eastAsia"/>
                      <w:sz w:val="21"/>
                      <w:szCs w:val="21"/>
                      <w:lang w:bidi="ar"/>
                    </w:rPr>
                    <w:t>900-099-S13</w:t>
                  </w:r>
                </w:p>
              </w:tc>
              <w:tc>
                <w:tcPr>
                  <w:tcW w:w="1080" w:type="dxa"/>
                  <w:vAlign w:val="center"/>
                </w:tcPr>
                <w:p w14:paraId="6BBF2D1E">
                  <w:pPr>
                    <w:jc w:val="center"/>
                    <w:rPr>
                      <w:rFonts w:hint="eastAsia" w:eastAsia="宋体"/>
                      <w:sz w:val="21"/>
                      <w:szCs w:val="21"/>
                      <w:lang w:eastAsia="zh-CN" w:bidi="ar"/>
                    </w:rPr>
                  </w:pPr>
                  <w:r>
                    <w:rPr>
                      <w:rFonts w:hint="eastAsia"/>
                      <w:sz w:val="21"/>
                      <w:szCs w:val="21"/>
                      <w:lang w:val="en-US" w:eastAsia="zh-CN" w:bidi="ar"/>
                    </w:rPr>
                    <w:t>检验</w:t>
                  </w:r>
                </w:p>
              </w:tc>
              <w:tc>
                <w:tcPr>
                  <w:tcW w:w="730" w:type="dxa"/>
                  <w:vAlign w:val="center"/>
                </w:tcPr>
                <w:p w14:paraId="70386093">
                  <w:pPr>
                    <w:jc w:val="center"/>
                    <w:rPr>
                      <w:sz w:val="21"/>
                      <w:szCs w:val="21"/>
                      <w:lang w:bidi="ar"/>
                    </w:rPr>
                  </w:pPr>
                  <w:r>
                    <w:rPr>
                      <w:sz w:val="21"/>
                      <w:szCs w:val="21"/>
                      <w:lang w:bidi="ar"/>
                    </w:rPr>
                    <w:t>固态</w:t>
                  </w:r>
                </w:p>
              </w:tc>
              <w:tc>
                <w:tcPr>
                  <w:tcW w:w="1020" w:type="dxa"/>
                  <w:vAlign w:val="center"/>
                </w:tcPr>
                <w:p w14:paraId="35CD21D5">
                  <w:pPr>
                    <w:jc w:val="center"/>
                    <w:rPr>
                      <w:sz w:val="21"/>
                      <w:szCs w:val="21"/>
                    </w:rPr>
                  </w:pPr>
                  <w:r>
                    <w:rPr>
                      <w:rFonts w:hint="eastAsia"/>
                      <w:sz w:val="21"/>
                      <w:szCs w:val="21"/>
                      <w:lang w:bidi="ar"/>
                    </w:rPr>
                    <w:t>5</w:t>
                  </w:r>
                  <w:r>
                    <w:rPr>
                      <w:sz w:val="21"/>
                      <w:szCs w:val="21"/>
                      <w:lang w:bidi="ar"/>
                    </w:rPr>
                    <w:t>t/a</w:t>
                  </w:r>
                </w:p>
              </w:tc>
              <w:tc>
                <w:tcPr>
                  <w:tcW w:w="932" w:type="dxa"/>
                  <w:vAlign w:val="center"/>
                </w:tcPr>
                <w:p w14:paraId="0CF74584">
                  <w:pPr>
                    <w:jc w:val="center"/>
                    <w:rPr>
                      <w:sz w:val="21"/>
                      <w:szCs w:val="21"/>
                    </w:rPr>
                  </w:pPr>
                  <w:r>
                    <w:rPr>
                      <w:rFonts w:hint="eastAsia"/>
                      <w:sz w:val="21"/>
                      <w:szCs w:val="21"/>
                    </w:rPr>
                    <w:t>外售处理</w:t>
                  </w:r>
                </w:p>
              </w:tc>
              <w:tc>
                <w:tcPr>
                  <w:tcW w:w="1016" w:type="dxa"/>
                  <w:vAlign w:val="center"/>
                </w:tcPr>
                <w:p w14:paraId="125A3BBA">
                  <w:pPr>
                    <w:jc w:val="center"/>
                    <w:rPr>
                      <w:sz w:val="21"/>
                      <w:szCs w:val="21"/>
                      <w:lang w:bidi="ar"/>
                    </w:rPr>
                  </w:pPr>
                  <w:r>
                    <w:rPr>
                      <w:sz w:val="21"/>
                      <w:szCs w:val="21"/>
                      <w:lang w:bidi="ar"/>
                    </w:rPr>
                    <w:t>0</w:t>
                  </w:r>
                </w:p>
              </w:tc>
            </w:tr>
            <w:tr w14:paraId="4D6F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6BA4DB5C">
                  <w:pPr>
                    <w:jc w:val="center"/>
                    <w:rPr>
                      <w:sz w:val="21"/>
                      <w:szCs w:val="21"/>
                    </w:rPr>
                  </w:pPr>
                  <w:r>
                    <w:rPr>
                      <w:rFonts w:hint="eastAsia"/>
                      <w:bCs/>
                      <w:sz w:val="21"/>
                      <w:szCs w:val="21"/>
                      <w:lang w:val="en-US" w:eastAsia="zh-CN"/>
                    </w:rPr>
                    <w:t>废包装</w:t>
                  </w:r>
                </w:p>
              </w:tc>
              <w:tc>
                <w:tcPr>
                  <w:tcW w:w="1110" w:type="dxa"/>
                  <w:vAlign w:val="center"/>
                </w:tcPr>
                <w:p w14:paraId="0B1C0069">
                  <w:pPr>
                    <w:jc w:val="center"/>
                    <w:rPr>
                      <w:sz w:val="21"/>
                      <w:szCs w:val="21"/>
                      <w:lang w:bidi="ar"/>
                    </w:rPr>
                  </w:pPr>
                  <w:r>
                    <w:rPr>
                      <w:sz w:val="21"/>
                      <w:szCs w:val="21"/>
                      <w:lang w:bidi="ar"/>
                    </w:rPr>
                    <w:t>一般固废</w:t>
                  </w:r>
                </w:p>
              </w:tc>
              <w:tc>
                <w:tcPr>
                  <w:tcW w:w="1010" w:type="dxa"/>
                  <w:vAlign w:val="center"/>
                </w:tcPr>
                <w:p w14:paraId="4663843F">
                  <w:pPr>
                    <w:jc w:val="center"/>
                    <w:rPr>
                      <w:sz w:val="21"/>
                      <w:szCs w:val="21"/>
                      <w:lang w:bidi="ar"/>
                    </w:rPr>
                  </w:pPr>
                  <w:r>
                    <w:rPr>
                      <w:rFonts w:hint="eastAsia" w:cs="宋体"/>
                      <w:kern w:val="0"/>
                      <w:sz w:val="21"/>
                      <w:szCs w:val="21"/>
                      <w:lang w:val="en-US" w:eastAsia="zh-CN"/>
                    </w:rPr>
                    <w:t>900-099-S59</w:t>
                  </w:r>
                </w:p>
              </w:tc>
              <w:tc>
                <w:tcPr>
                  <w:tcW w:w="1080" w:type="dxa"/>
                  <w:vAlign w:val="center"/>
                </w:tcPr>
                <w:p w14:paraId="7701C07D">
                  <w:pPr>
                    <w:jc w:val="center"/>
                    <w:rPr>
                      <w:rFonts w:hint="eastAsia" w:eastAsia="宋体"/>
                      <w:sz w:val="21"/>
                      <w:szCs w:val="21"/>
                      <w:lang w:val="en-US" w:eastAsia="zh-CN" w:bidi="ar"/>
                    </w:rPr>
                  </w:pPr>
                  <w:r>
                    <w:rPr>
                      <w:rFonts w:hint="eastAsia"/>
                      <w:sz w:val="21"/>
                      <w:szCs w:val="21"/>
                      <w:lang w:val="en-US" w:eastAsia="zh-CN" w:bidi="ar"/>
                    </w:rPr>
                    <w:t>脱包</w:t>
                  </w:r>
                </w:p>
              </w:tc>
              <w:tc>
                <w:tcPr>
                  <w:tcW w:w="730" w:type="dxa"/>
                  <w:vAlign w:val="center"/>
                </w:tcPr>
                <w:p w14:paraId="21DEE3E8">
                  <w:pPr>
                    <w:jc w:val="center"/>
                    <w:rPr>
                      <w:sz w:val="21"/>
                      <w:szCs w:val="21"/>
                      <w:lang w:bidi="ar"/>
                    </w:rPr>
                  </w:pPr>
                  <w:r>
                    <w:rPr>
                      <w:sz w:val="21"/>
                      <w:szCs w:val="21"/>
                      <w:lang w:bidi="ar"/>
                    </w:rPr>
                    <w:t>固态</w:t>
                  </w:r>
                </w:p>
              </w:tc>
              <w:tc>
                <w:tcPr>
                  <w:tcW w:w="1020" w:type="dxa"/>
                  <w:vAlign w:val="center"/>
                </w:tcPr>
                <w:p w14:paraId="04A97B21">
                  <w:pPr>
                    <w:jc w:val="center"/>
                    <w:rPr>
                      <w:sz w:val="21"/>
                      <w:szCs w:val="21"/>
                      <w:lang w:bidi="ar"/>
                    </w:rPr>
                  </w:pPr>
                  <w:r>
                    <w:rPr>
                      <w:rFonts w:hint="eastAsia"/>
                      <w:sz w:val="21"/>
                      <w:szCs w:val="21"/>
                      <w:lang w:val="en-US" w:eastAsia="zh-CN" w:bidi="ar"/>
                    </w:rPr>
                    <w:t>2</w:t>
                  </w:r>
                  <w:r>
                    <w:rPr>
                      <w:sz w:val="21"/>
                      <w:szCs w:val="21"/>
                      <w:lang w:bidi="ar"/>
                    </w:rPr>
                    <w:t>t/a</w:t>
                  </w:r>
                </w:p>
              </w:tc>
              <w:tc>
                <w:tcPr>
                  <w:tcW w:w="932" w:type="dxa"/>
                  <w:vAlign w:val="center"/>
                </w:tcPr>
                <w:p w14:paraId="16DD1EAA">
                  <w:pPr>
                    <w:jc w:val="center"/>
                    <w:rPr>
                      <w:sz w:val="21"/>
                      <w:szCs w:val="21"/>
                      <w:lang w:bidi="ar"/>
                    </w:rPr>
                  </w:pPr>
                  <w:r>
                    <w:rPr>
                      <w:rFonts w:hint="eastAsia"/>
                      <w:sz w:val="21"/>
                      <w:szCs w:val="21"/>
                    </w:rPr>
                    <w:t>外售处理</w:t>
                  </w:r>
                </w:p>
              </w:tc>
              <w:tc>
                <w:tcPr>
                  <w:tcW w:w="1016" w:type="dxa"/>
                  <w:vAlign w:val="center"/>
                </w:tcPr>
                <w:p w14:paraId="21686EE1">
                  <w:pPr>
                    <w:jc w:val="center"/>
                    <w:rPr>
                      <w:sz w:val="21"/>
                      <w:szCs w:val="21"/>
                      <w:lang w:bidi="ar"/>
                    </w:rPr>
                  </w:pPr>
                  <w:r>
                    <w:rPr>
                      <w:rFonts w:hint="eastAsia"/>
                      <w:sz w:val="21"/>
                      <w:szCs w:val="21"/>
                      <w:lang w:bidi="ar"/>
                    </w:rPr>
                    <w:t>0</w:t>
                  </w:r>
                </w:p>
              </w:tc>
            </w:tr>
            <w:tr w14:paraId="4EE1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6" w:type="dxa"/>
                  <w:vAlign w:val="center"/>
                </w:tcPr>
                <w:p w14:paraId="292E984C">
                  <w:pPr>
                    <w:jc w:val="center"/>
                    <w:rPr>
                      <w:sz w:val="21"/>
                      <w:szCs w:val="21"/>
                    </w:rPr>
                  </w:pPr>
                  <w:r>
                    <w:rPr>
                      <w:rFonts w:hint="eastAsia"/>
                      <w:bCs/>
                      <w:sz w:val="21"/>
                      <w:szCs w:val="21"/>
                      <w:lang w:val="en-US" w:eastAsia="zh-CN"/>
                    </w:rPr>
                    <w:t>不合格品</w:t>
                  </w:r>
                </w:p>
              </w:tc>
              <w:tc>
                <w:tcPr>
                  <w:tcW w:w="1110" w:type="dxa"/>
                  <w:vAlign w:val="center"/>
                </w:tcPr>
                <w:p w14:paraId="3727DC32">
                  <w:pPr>
                    <w:jc w:val="center"/>
                    <w:rPr>
                      <w:sz w:val="21"/>
                      <w:szCs w:val="21"/>
                      <w:lang w:bidi="ar"/>
                    </w:rPr>
                  </w:pPr>
                  <w:r>
                    <w:rPr>
                      <w:sz w:val="21"/>
                      <w:szCs w:val="21"/>
                      <w:lang w:bidi="ar"/>
                    </w:rPr>
                    <w:t>一般固废</w:t>
                  </w:r>
                </w:p>
              </w:tc>
              <w:tc>
                <w:tcPr>
                  <w:tcW w:w="1010" w:type="dxa"/>
                  <w:vAlign w:val="center"/>
                </w:tcPr>
                <w:p w14:paraId="3BC9A879">
                  <w:pPr>
                    <w:jc w:val="center"/>
                    <w:rPr>
                      <w:sz w:val="21"/>
                      <w:szCs w:val="21"/>
                      <w:lang w:bidi="ar"/>
                    </w:rPr>
                  </w:pPr>
                  <w:r>
                    <w:rPr>
                      <w:rFonts w:hint="eastAsia" w:cs="宋体"/>
                      <w:kern w:val="0"/>
                      <w:sz w:val="21"/>
                      <w:szCs w:val="21"/>
                      <w:lang w:val="en-US" w:eastAsia="zh-CN"/>
                    </w:rPr>
                    <w:t>900-099-S59</w:t>
                  </w:r>
                </w:p>
              </w:tc>
              <w:tc>
                <w:tcPr>
                  <w:tcW w:w="1080" w:type="dxa"/>
                  <w:vAlign w:val="center"/>
                </w:tcPr>
                <w:p w14:paraId="6AC1C9D4">
                  <w:pPr>
                    <w:jc w:val="center"/>
                    <w:rPr>
                      <w:rFonts w:hint="default" w:eastAsia="宋体"/>
                      <w:sz w:val="21"/>
                      <w:szCs w:val="21"/>
                      <w:lang w:val="en-US" w:eastAsia="zh-CN" w:bidi="ar"/>
                    </w:rPr>
                  </w:pPr>
                  <w:r>
                    <w:rPr>
                      <w:rFonts w:hint="eastAsia"/>
                      <w:sz w:val="21"/>
                      <w:szCs w:val="21"/>
                      <w:lang w:val="en-US" w:eastAsia="zh-CN" w:bidi="ar"/>
                    </w:rPr>
                    <w:t>成品检验</w:t>
                  </w:r>
                </w:p>
              </w:tc>
              <w:tc>
                <w:tcPr>
                  <w:tcW w:w="730" w:type="dxa"/>
                  <w:vAlign w:val="center"/>
                </w:tcPr>
                <w:p w14:paraId="47FAB273">
                  <w:pPr>
                    <w:jc w:val="center"/>
                    <w:rPr>
                      <w:sz w:val="21"/>
                      <w:szCs w:val="21"/>
                      <w:lang w:bidi="ar"/>
                    </w:rPr>
                  </w:pPr>
                  <w:r>
                    <w:rPr>
                      <w:sz w:val="21"/>
                      <w:szCs w:val="21"/>
                      <w:lang w:bidi="ar"/>
                    </w:rPr>
                    <w:t>固态</w:t>
                  </w:r>
                </w:p>
              </w:tc>
              <w:tc>
                <w:tcPr>
                  <w:tcW w:w="1020" w:type="dxa"/>
                  <w:vAlign w:val="center"/>
                </w:tcPr>
                <w:p w14:paraId="11F1EC57">
                  <w:pPr>
                    <w:jc w:val="center"/>
                    <w:rPr>
                      <w:sz w:val="21"/>
                      <w:szCs w:val="21"/>
                      <w:lang w:bidi="ar"/>
                    </w:rPr>
                  </w:pPr>
                  <w:r>
                    <w:rPr>
                      <w:rFonts w:hint="eastAsia"/>
                      <w:sz w:val="21"/>
                      <w:szCs w:val="21"/>
                      <w:lang w:bidi="ar"/>
                    </w:rPr>
                    <w:t>2</w:t>
                  </w:r>
                  <w:r>
                    <w:rPr>
                      <w:sz w:val="21"/>
                      <w:szCs w:val="21"/>
                      <w:lang w:bidi="ar"/>
                    </w:rPr>
                    <w:t>t/a</w:t>
                  </w:r>
                </w:p>
              </w:tc>
              <w:tc>
                <w:tcPr>
                  <w:tcW w:w="932" w:type="dxa"/>
                  <w:vAlign w:val="center"/>
                </w:tcPr>
                <w:p w14:paraId="35A79A63">
                  <w:pPr>
                    <w:jc w:val="center"/>
                    <w:rPr>
                      <w:sz w:val="21"/>
                      <w:szCs w:val="21"/>
                      <w:lang w:bidi="ar"/>
                    </w:rPr>
                  </w:pPr>
                  <w:r>
                    <w:rPr>
                      <w:rFonts w:hint="eastAsia"/>
                      <w:sz w:val="21"/>
                      <w:szCs w:val="21"/>
                    </w:rPr>
                    <w:t>外售处理</w:t>
                  </w:r>
                </w:p>
              </w:tc>
              <w:tc>
                <w:tcPr>
                  <w:tcW w:w="1016" w:type="dxa"/>
                  <w:vAlign w:val="center"/>
                </w:tcPr>
                <w:p w14:paraId="23539382">
                  <w:pPr>
                    <w:jc w:val="center"/>
                    <w:rPr>
                      <w:sz w:val="21"/>
                      <w:szCs w:val="21"/>
                      <w:lang w:bidi="ar"/>
                    </w:rPr>
                  </w:pPr>
                  <w:r>
                    <w:rPr>
                      <w:rFonts w:hint="eastAsia"/>
                      <w:sz w:val="21"/>
                      <w:szCs w:val="21"/>
                      <w:lang w:bidi="ar"/>
                    </w:rPr>
                    <w:t>0</w:t>
                  </w:r>
                </w:p>
              </w:tc>
            </w:tr>
          </w:tbl>
          <w:p w14:paraId="10A76FA2">
            <w:pPr>
              <w:widowControl/>
              <w:wordWrap w:val="0"/>
              <w:adjustRightInd w:val="0"/>
              <w:snapToGrid w:val="0"/>
              <w:spacing w:before="120" w:beforeLines="50" w:line="360" w:lineRule="auto"/>
              <w:ind w:firstLine="482" w:firstLineChars="200"/>
              <w:rPr>
                <w:b/>
                <w:bCs/>
                <w:kern w:val="0"/>
                <w:lang w:bidi="ar"/>
              </w:rPr>
            </w:pPr>
            <w:r>
              <w:rPr>
                <w:b/>
                <w:bCs/>
                <w:kern w:val="0"/>
                <w:lang w:bidi="ar"/>
              </w:rPr>
              <w:t>环境管理要求：</w:t>
            </w:r>
          </w:p>
          <w:p w14:paraId="547AD1D8">
            <w:pPr>
              <w:widowControl/>
              <w:wordWrap w:val="0"/>
              <w:adjustRightInd w:val="0"/>
              <w:snapToGrid w:val="0"/>
              <w:spacing w:line="360" w:lineRule="auto"/>
              <w:ind w:firstLine="480" w:firstLineChars="200"/>
              <w:rPr>
                <w:kern w:val="0"/>
                <w:lang w:bidi="ar"/>
              </w:rPr>
            </w:pPr>
            <w:r>
              <w:rPr>
                <w:kern w:val="0"/>
                <w:lang w:bidi="ar"/>
              </w:rPr>
              <w:t>项目一般固体废物存放一般固废暂存间，暂存场地的设置应符合《</w:t>
            </w:r>
            <w:r>
              <w:t>一般工业固体废物贮存和填埋污染控制标准</w:t>
            </w:r>
            <w:r>
              <w:rPr>
                <w:kern w:val="0"/>
                <w:lang w:bidi="ar"/>
              </w:rPr>
              <w:t>》（GB18599--2020）中的规定。一般固废暂存间设置要求做到以下几点：</w:t>
            </w:r>
          </w:p>
          <w:p w14:paraId="4CF02A68">
            <w:pPr>
              <w:widowControl/>
              <w:wordWrap w:val="0"/>
              <w:adjustRightInd w:val="0"/>
              <w:snapToGrid w:val="0"/>
              <w:spacing w:line="360" w:lineRule="auto"/>
              <w:ind w:firstLine="480" w:firstLineChars="200"/>
              <w:rPr>
                <w:kern w:val="0"/>
                <w:lang w:bidi="ar"/>
              </w:rPr>
            </w:pPr>
            <w:r>
              <w:rPr>
                <w:kern w:val="0"/>
                <w:lang w:bidi="ar"/>
              </w:rPr>
              <w:t>（1）应选在满足承载力要求的地基上，以避免地基下沉的影响，特别是不均匀或局部下沉的影响。</w:t>
            </w:r>
          </w:p>
          <w:p w14:paraId="469BF002">
            <w:pPr>
              <w:widowControl/>
              <w:wordWrap w:val="0"/>
              <w:adjustRightInd w:val="0"/>
              <w:snapToGrid w:val="0"/>
              <w:spacing w:line="360" w:lineRule="auto"/>
              <w:ind w:firstLine="480" w:firstLineChars="200"/>
              <w:rPr>
                <w:kern w:val="0"/>
                <w:lang w:bidi="ar"/>
              </w:rPr>
            </w:pPr>
            <w:r>
              <w:rPr>
                <w:kern w:val="0"/>
                <w:lang w:bidi="ar"/>
              </w:rPr>
              <w:t>（2）为防止雨水径流进入贮存、</w:t>
            </w:r>
            <w:r>
              <w:rPr>
                <w:color w:val="auto"/>
                <w:kern w:val="0"/>
                <w:lang w:bidi="ar"/>
              </w:rPr>
              <w:t>处</w:t>
            </w:r>
            <w:r>
              <w:rPr>
                <w:rFonts w:hint="eastAsia"/>
                <w:color w:val="auto"/>
                <w:kern w:val="0"/>
                <w:lang w:bidi="ar"/>
              </w:rPr>
              <w:t>置</w:t>
            </w:r>
            <w:r>
              <w:rPr>
                <w:color w:val="auto"/>
                <w:kern w:val="0"/>
                <w:lang w:bidi="ar"/>
              </w:rPr>
              <w:t>场</w:t>
            </w:r>
            <w:r>
              <w:rPr>
                <w:kern w:val="0"/>
                <w:lang w:bidi="ar"/>
              </w:rPr>
              <w:t>内，避免渗滤液量增加和滑坡，贮存、</w:t>
            </w:r>
            <w:r>
              <w:rPr>
                <w:color w:val="auto"/>
                <w:kern w:val="0"/>
                <w:lang w:bidi="ar"/>
              </w:rPr>
              <w:t>处</w:t>
            </w:r>
            <w:r>
              <w:rPr>
                <w:rFonts w:hint="eastAsia"/>
                <w:color w:val="auto"/>
                <w:kern w:val="0"/>
                <w:lang w:bidi="ar"/>
              </w:rPr>
              <w:t>置</w:t>
            </w:r>
            <w:r>
              <w:rPr>
                <w:color w:val="auto"/>
                <w:kern w:val="0"/>
                <w:lang w:bidi="ar"/>
              </w:rPr>
              <w:t>场</w:t>
            </w:r>
            <w:r>
              <w:rPr>
                <w:kern w:val="0"/>
                <w:lang w:bidi="ar"/>
              </w:rPr>
              <w:t>周边应设</w:t>
            </w:r>
            <w:r>
              <w:rPr>
                <w:rFonts w:hint="eastAsia"/>
                <w:kern w:val="0"/>
                <w:lang w:bidi="ar"/>
              </w:rPr>
              <w:t>置</w:t>
            </w:r>
            <w:r>
              <w:rPr>
                <w:kern w:val="0"/>
                <w:lang w:bidi="ar"/>
              </w:rPr>
              <w:t>导流渠。</w:t>
            </w:r>
          </w:p>
          <w:p w14:paraId="7F5273A6">
            <w:pPr>
              <w:widowControl/>
              <w:wordWrap w:val="0"/>
              <w:adjustRightInd w:val="0"/>
              <w:snapToGrid w:val="0"/>
              <w:spacing w:line="360" w:lineRule="auto"/>
              <w:ind w:firstLine="480" w:firstLineChars="200"/>
              <w:rPr>
                <w:kern w:val="0"/>
                <w:lang w:bidi="ar"/>
              </w:rPr>
            </w:pPr>
            <w:r>
              <w:rPr>
                <w:kern w:val="0"/>
                <w:lang w:bidi="ar"/>
              </w:rPr>
              <w:t>（3）一般工业固体废物贮存、</w:t>
            </w:r>
            <w:r>
              <w:rPr>
                <w:color w:val="auto"/>
                <w:kern w:val="0"/>
                <w:lang w:bidi="ar"/>
              </w:rPr>
              <w:t>处</w:t>
            </w:r>
            <w:r>
              <w:rPr>
                <w:rFonts w:hint="eastAsia"/>
                <w:color w:val="auto"/>
                <w:kern w:val="0"/>
                <w:lang w:bidi="ar"/>
              </w:rPr>
              <w:t>置</w:t>
            </w:r>
            <w:r>
              <w:rPr>
                <w:color w:val="auto"/>
                <w:kern w:val="0"/>
                <w:lang w:bidi="ar"/>
              </w:rPr>
              <w:t>场</w:t>
            </w:r>
            <w:r>
              <w:rPr>
                <w:kern w:val="0"/>
                <w:lang w:bidi="ar"/>
              </w:rPr>
              <w:t>，禁止危险废物和生活垃圾混入。</w:t>
            </w:r>
          </w:p>
          <w:p w14:paraId="3729D87A">
            <w:pPr>
              <w:widowControl/>
              <w:wordWrap w:val="0"/>
              <w:adjustRightInd w:val="0"/>
              <w:snapToGrid w:val="0"/>
              <w:spacing w:line="360" w:lineRule="auto"/>
              <w:ind w:firstLine="480" w:firstLineChars="200"/>
              <w:rPr>
                <w:rFonts w:hint="eastAsia"/>
                <w:b w:val="0"/>
                <w:bCs w:val="0"/>
                <w:color w:val="auto"/>
              </w:rPr>
            </w:pPr>
            <w:r>
              <w:rPr>
                <w:color w:val="auto"/>
                <w:kern w:val="0"/>
                <w:lang w:bidi="ar"/>
              </w:rPr>
              <w:t>（4）贮存、处</w:t>
            </w:r>
            <w:r>
              <w:rPr>
                <w:rFonts w:hint="eastAsia"/>
                <w:color w:val="auto"/>
                <w:kern w:val="0"/>
                <w:lang w:bidi="ar"/>
              </w:rPr>
              <w:t>置</w:t>
            </w:r>
            <w:r>
              <w:rPr>
                <w:color w:val="auto"/>
                <w:kern w:val="0"/>
                <w:lang w:bidi="ar"/>
              </w:rPr>
              <w:t>场的环境保护图形标志，应按</w:t>
            </w:r>
            <w:r>
              <w:rPr>
                <w:rFonts w:hint="eastAsia"/>
                <w:color w:val="auto"/>
                <w:kern w:val="0"/>
                <w:lang w:eastAsia="zh-CN" w:bidi="ar"/>
              </w:rPr>
              <w:t>《</w:t>
            </w:r>
            <w:r>
              <w:rPr>
                <w:rFonts w:hint="eastAsia"/>
                <w:color w:val="auto"/>
                <w:kern w:val="0"/>
                <w:lang w:bidi="ar"/>
              </w:rPr>
              <w:t>危险废物识别标志设置技术规范（H</w:t>
            </w:r>
            <w:r>
              <w:rPr>
                <w:color w:val="auto"/>
                <w:kern w:val="0"/>
                <w:lang w:bidi="ar"/>
              </w:rPr>
              <w:t>J1276-2022</w:t>
            </w:r>
            <w:r>
              <w:rPr>
                <w:rFonts w:hint="eastAsia"/>
                <w:color w:val="auto"/>
                <w:kern w:val="0"/>
                <w:lang w:bidi="ar"/>
              </w:rPr>
              <w:t>）</w:t>
            </w:r>
            <w:r>
              <w:rPr>
                <w:rFonts w:hint="eastAsia"/>
                <w:color w:val="auto"/>
                <w:kern w:val="0"/>
                <w:lang w:eastAsia="zh-CN" w:bidi="ar"/>
              </w:rPr>
              <w:t>》</w:t>
            </w:r>
            <w:r>
              <w:rPr>
                <w:color w:val="auto"/>
                <w:kern w:val="0"/>
                <w:lang w:bidi="ar"/>
              </w:rPr>
              <w:t>规定进行检查和维护。</w:t>
            </w:r>
          </w:p>
          <w:p w14:paraId="5DBB42A5">
            <w:pPr>
              <w:pStyle w:val="35"/>
              <w:snapToGrid w:val="0"/>
              <w:spacing w:line="360" w:lineRule="auto"/>
              <w:ind w:firstLine="480" w:firstLineChars="200"/>
              <w:rPr>
                <w:rFonts w:hint="default" w:eastAsia="宋体"/>
                <w:b/>
                <w:bCs/>
                <w:color w:val="auto"/>
                <w:lang w:val="en-US" w:eastAsia="zh-CN"/>
              </w:rPr>
            </w:pPr>
            <w:r>
              <w:rPr>
                <w:rFonts w:hint="eastAsia"/>
                <w:b w:val="0"/>
                <w:bCs w:val="0"/>
                <w:color w:val="auto"/>
              </w:rPr>
              <w:t>拟建项目建成运行后，生活垃圾由环卫部门收集清运，全厂的危险废物均得到妥善处理处置，不外排，对周边外环境的不利影响较小。项目固体废弃物按其特性、组成采取相应的处理或处置方案，其处理率可达</w:t>
            </w:r>
            <w:r>
              <w:rPr>
                <w:rFonts w:hint="default" w:ascii="Times New Roman" w:hAnsi="Times New Roman" w:cs="Times New Roman"/>
                <w:b w:val="0"/>
                <w:bCs w:val="0"/>
                <w:color w:val="auto"/>
              </w:rPr>
              <w:t>100%</w:t>
            </w:r>
            <w:r>
              <w:rPr>
                <w:rFonts w:hint="eastAsia"/>
                <w:b w:val="0"/>
                <w:bCs w:val="0"/>
                <w:color w:val="auto"/>
              </w:rPr>
              <w:t>，能满足固体废物环保控制要求。固体废弃物经过处理和处置后不会对环境产生不利影响</w:t>
            </w:r>
            <w:r>
              <w:rPr>
                <w:rFonts w:hint="eastAsia"/>
                <w:b w:val="0"/>
                <w:bCs w:val="0"/>
                <w:color w:val="auto"/>
                <w:lang w:eastAsia="zh-CN"/>
              </w:rPr>
              <w:t>，</w:t>
            </w:r>
            <w:r>
              <w:rPr>
                <w:rFonts w:hint="eastAsia"/>
                <w:b w:val="0"/>
                <w:bCs w:val="0"/>
                <w:color w:val="auto"/>
                <w:lang w:val="en-US" w:eastAsia="zh-CN"/>
              </w:rPr>
              <w:t>综上所述，项目产生的</w:t>
            </w:r>
            <w:r>
              <w:rPr>
                <w:rFonts w:hint="eastAsia"/>
                <w:b w:val="0"/>
                <w:bCs w:val="0"/>
                <w:color w:val="auto"/>
              </w:rPr>
              <w:t>固体废弃物</w:t>
            </w:r>
            <w:r>
              <w:rPr>
                <w:rFonts w:hint="eastAsia"/>
                <w:b w:val="0"/>
                <w:bCs w:val="0"/>
                <w:color w:val="auto"/>
                <w:lang w:val="en-US" w:eastAsia="zh-CN"/>
              </w:rPr>
              <w:t>处置方式合理。</w:t>
            </w:r>
          </w:p>
          <w:p w14:paraId="2DA808AB">
            <w:pPr>
              <w:pStyle w:val="35"/>
              <w:snapToGrid w:val="0"/>
              <w:spacing w:line="360" w:lineRule="auto"/>
              <w:rPr>
                <w:b/>
                <w:bCs/>
                <w:color w:val="auto"/>
              </w:rPr>
            </w:pPr>
            <w:r>
              <w:rPr>
                <w:rFonts w:hint="eastAsia"/>
                <w:b/>
                <w:bCs/>
                <w:color w:val="auto"/>
              </w:rPr>
              <w:t>五、地下水、土壤环境</w:t>
            </w:r>
          </w:p>
          <w:p w14:paraId="2C741416">
            <w:pPr>
              <w:adjustRightInd w:val="0"/>
              <w:snapToGrid w:val="0"/>
              <w:spacing w:line="360" w:lineRule="auto"/>
              <w:ind w:firstLine="480" w:firstLineChars="200"/>
              <w:rPr>
                <w:bCs/>
                <w:color w:val="auto"/>
                <w:sz w:val="24"/>
              </w:rPr>
            </w:pPr>
            <w:r>
              <w:rPr>
                <w:bCs/>
                <w:color w:val="auto"/>
                <w:sz w:val="24"/>
              </w:rPr>
              <w:t>厂区内</w:t>
            </w:r>
            <w:r>
              <w:rPr>
                <w:rFonts w:hint="eastAsia"/>
                <w:bCs/>
                <w:color w:val="auto"/>
                <w:sz w:val="24"/>
              </w:rPr>
              <w:t>生产</w:t>
            </w:r>
            <w:r>
              <w:rPr>
                <w:bCs/>
                <w:color w:val="auto"/>
                <w:sz w:val="24"/>
              </w:rPr>
              <w:t>车间等若如防渗措施不到位，会有废水下渗污染地下水、土壤。本项目租赁已建成标准化厂房，地面已做硬化处置，建设过程中对厂房部分区域划分重点防渗区域和一般防渗区域，具体如下：</w:t>
            </w:r>
          </w:p>
          <w:p w14:paraId="11DD2CE9">
            <w:pPr>
              <w:adjustRightInd w:val="0"/>
              <w:snapToGrid w:val="0"/>
              <w:spacing w:line="360" w:lineRule="auto"/>
              <w:ind w:firstLine="480" w:firstLineChars="200"/>
              <w:rPr>
                <w:rFonts w:hint="default" w:ascii="Times New Roman" w:hAnsi="Times New Roman" w:cs="Times New Roman"/>
                <w:color w:val="auto"/>
                <w:sz w:val="24"/>
                <w:szCs w:val="24"/>
                <w:lang w:val="en-US" w:eastAsia="zh-CN"/>
              </w:rPr>
            </w:pPr>
            <w:r>
              <w:rPr>
                <w:rFonts w:ascii="Times New Roman" w:hAnsi="Times New Roman" w:cs="Times New Roman"/>
                <w:snapToGrid w:val="0"/>
                <w:color w:val="auto"/>
                <w:sz w:val="24"/>
              </w:rPr>
              <w:t>项目在建设过程中</w:t>
            </w:r>
            <w:r>
              <w:rPr>
                <w:rFonts w:hint="eastAsia" w:ascii="Times New Roman" w:hAnsi="Times New Roman" w:cs="Times New Roman"/>
                <w:snapToGrid w:val="0"/>
                <w:color w:val="auto"/>
                <w:sz w:val="24"/>
                <w:lang w:eastAsia="zh-CN"/>
              </w:rPr>
              <w:t>，</w:t>
            </w:r>
            <w:r>
              <w:rPr>
                <w:rFonts w:hint="default" w:ascii="Times New Roman" w:hAnsi="Times New Roman" w:cs="Times New Roman"/>
                <w:color w:val="auto"/>
                <w:sz w:val="24"/>
                <w:szCs w:val="24"/>
                <w:lang w:val="en-US" w:eastAsia="zh-CN"/>
              </w:rPr>
              <w:t>生产车间、一般固废暂存间进行一般防渗：等效黏土防渗层Mb≥1.5m，K≤1.0×10</w:t>
            </w:r>
            <w:r>
              <w:rPr>
                <w:rFonts w:hint="default" w:ascii="Times New Roman" w:hAnsi="Times New Roman" w:cs="Times New Roman"/>
                <w:color w:val="auto"/>
                <w:sz w:val="24"/>
                <w:szCs w:val="24"/>
                <w:vertAlign w:val="superscript"/>
                <w:lang w:val="en-US" w:eastAsia="zh-CN"/>
              </w:rPr>
              <w:t>-7</w:t>
            </w:r>
            <w:r>
              <w:rPr>
                <w:rFonts w:hint="default" w:ascii="Times New Roman" w:hAnsi="Times New Roman" w:cs="Times New Roman"/>
                <w:color w:val="auto"/>
                <w:sz w:val="24"/>
                <w:szCs w:val="24"/>
                <w:lang w:val="en-US" w:eastAsia="zh-CN"/>
              </w:rPr>
              <w:t>cm/s。</w:t>
            </w:r>
          </w:p>
          <w:p w14:paraId="001B48EB">
            <w:pPr>
              <w:pStyle w:val="15"/>
              <w:keepNext w:val="0"/>
              <w:keepLines w:val="0"/>
              <w:pageBreakBefore w:val="0"/>
              <w:widowControl w:val="0"/>
              <w:kinsoku/>
              <w:wordWrap/>
              <w:overflowPunct/>
              <w:topLinePunct w:val="0"/>
              <w:autoSpaceDE/>
              <w:autoSpaceDN/>
              <w:bidi w:val="0"/>
              <w:adjustRightInd/>
              <w:snapToGrid/>
              <w:spacing w:after="0" w:line="360" w:lineRule="auto"/>
              <w:ind w:left="0" w:leftChars="0"/>
              <w:jc w:val="both"/>
              <w:textAlignment w:val="auto"/>
              <w:rPr>
                <w:rFonts w:hint="eastAsia"/>
                <w:color w:val="auto"/>
                <w:sz w:val="24"/>
                <w:szCs w:val="24"/>
                <w:lang w:val="en-US" w:eastAsia="zh-CN"/>
              </w:rPr>
            </w:pPr>
            <w:r>
              <w:rPr>
                <w:rFonts w:hint="eastAsia"/>
                <w:color w:val="auto"/>
                <w:sz w:val="24"/>
                <w:szCs w:val="24"/>
                <w:lang w:val="en-US" w:eastAsia="zh-CN"/>
              </w:rPr>
              <w:t>办公区域简单防渗：一般地面硬化。</w:t>
            </w:r>
          </w:p>
          <w:p w14:paraId="6FBEBD60">
            <w:pPr>
              <w:adjustRightInd w:val="0"/>
              <w:snapToGrid w:val="0"/>
              <w:spacing w:line="360" w:lineRule="auto"/>
              <w:ind w:firstLine="480" w:firstLineChars="200"/>
              <w:jc w:val="left"/>
              <w:rPr>
                <w:rFonts w:cs="宋体"/>
                <w:color w:val="auto"/>
                <w:sz w:val="24"/>
              </w:rPr>
            </w:pPr>
            <w:r>
              <w:rPr>
                <w:rFonts w:hint="eastAsia" w:cs="宋体"/>
                <w:color w:val="auto"/>
                <w:sz w:val="24"/>
              </w:rPr>
              <w:t>根据以上分区情况，对本项目场区防渗分区见下表。</w:t>
            </w:r>
          </w:p>
          <w:p w14:paraId="7236BCB0">
            <w:pPr>
              <w:jc w:val="center"/>
              <w:rPr>
                <w:rFonts w:hint="eastAsia" w:cs="宋体"/>
                <w:b/>
                <w:bCs/>
                <w:color w:val="auto"/>
                <w:sz w:val="24"/>
              </w:rPr>
            </w:pPr>
            <w:r>
              <w:rPr>
                <w:rFonts w:hint="eastAsia" w:cs="宋体"/>
                <w:b/>
                <w:bCs/>
                <w:color w:val="auto"/>
                <w:sz w:val="24"/>
              </w:rPr>
              <w:t>表4.</w:t>
            </w:r>
            <w:r>
              <w:rPr>
                <w:rFonts w:cs="宋体"/>
                <w:b/>
                <w:bCs/>
                <w:color w:val="auto"/>
                <w:sz w:val="24"/>
              </w:rPr>
              <w:t>1</w:t>
            </w:r>
            <w:r>
              <w:rPr>
                <w:rFonts w:hint="eastAsia" w:cs="宋体"/>
                <w:b/>
                <w:bCs/>
                <w:color w:val="auto"/>
                <w:sz w:val="24"/>
                <w:lang w:val="en-US" w:eastAsia="zh-CN"/>
              </w:rPr>
              <w:t xml:space="preserve">9  </w:t>
            </w:r>
            <w:r>
              <w:rPr>
                <w:rFonts w:hint="eastAsia" w:cs="宋体"/>
                <w:b/>
                <w:bCs/>
                <w:color w:val="auto"/>
                <w:sz w:val="24"/>
              </w:rPr>
              <w:t>厂区各工作区防渗要求</w:t>
            </w:r>
          </w:p>
          <w:tbl>
            <w:tblPr>
              <w:tblStyle w:val="28"/>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916"/>
              <w:gridCol w:w="1338"/>
              <w:gridCol w:w="4634"/>
            </w:tblGrid>
            <w:tr w14:paraId="1E02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noWrap w:val="0"/>
                  <w:vAlign w:val="center"/>
                </w:tcPr>
                <w:p w14:paraId="1D2A0A99">
                  <w:pPr>
                    <w:pStyle w:val="63"/>
                    <w:spacing w:line="240" w:lineRule="auto"/>
                    <w:ind w:firstLine="0" w:firstLineChars="0"/>
                    <w:jc w:val="center"/>
                    <w:rPr>
                      <w:rFonts w:hint="eastAsia" w:eastAsia="宋体"/>
                      <w:b/>
                      <w:bCs/>
                      <w:color w:val="auto"/>
                      <w:sz w:val="21"/>
                      <w:szCs w:val="21"/>
                      <w:lang w:eastAsia="zh-CN"/>
                    </w:rPr>
                  </w:pPr>
                  <w:r>
                    <w:rPr>
                      <w:rFonts w:hint="eastAsia"/>
                      <w:b/>
                      <w:bCs/>
                      <w:color w:val="auto"/>
                      <w:sz w:val="21"/>
                      <w:szCs w:val="21"/>
                    </w:rPr>
                    <w:t>防渗</w:t>
                  </w:r>
                  <w:r>
                    <w:rPr>
                      <w:rFonts w:hint="eastAsia"/>
                      <w:b/>
                      <w:bCs/>
                      <w:color w:val="auto"/>
                      <w:sz w:val="21"/>
                      <w:szCs w:val="21"/>
                      <w:lang w:val="en-US" w:eastAsia="zh-CN"/>
                    </w:rPr>
                    <w:t>分区</w:t>
                  </w:r>
                </w:p>
              </w:tc>
              <w:tc>
                <w:tcPr>
                  <w:tcW w:w="916" w:type="dxa"/>
                  <w:noWrap w:val="0"/>
                  <w:vAlign w:val="center"/>
                </w:tcPr>
                <w:p w14:paraId="5A12092A">
                  <w:pPr>
                    <w:pStyle w:val="63"/>
                    <w:spacing w:line="240" w:lineRule="auto"/>
                    <w:ind w:firstLine="0" w:firstLineChars="0"/>
                    <w:jc w:val="center"/>
                    <w:rPr>
                      <w:rFonts w:hint="eastAsia" w:eastAsia="宋体"/>
                      <w:b/>
                      <w:bCs/>
                      <w:color w:val="auto"/>
                      <w:sz w:val="21"/>
                      <w:szCs w:val="21"/>
                      <w:lang w:val="en-US" w:eastAsia="zh-CN"/>
                    </w:rPr>
                  </w:pPr>
                  <w:r>
                    <w:rPr>
                      <w:rFonts w:hint="eastAsia"/>
                      <w:b/>
                      <w:bCs/>
                      <w:color w:val="auto"/>
                      <w:sz w:val="21"/>
                      <w:szCs w:val="21"/>
                      <w:lang w:val="en-US" w:eastAsia="zh-CN"/>
                    </w:rPr>
                    <w:t>污染控制难易程度</w:t>
                  </w:r>
                </w:p>
              </w:tc>
              <w:tc>
                <w:tcPr>
                  <w:tcW w:w="1338" w:type="dxa"/>
                  <w:noWrap w:val="0"/>
                  <w:vAlign w:val="center"/>
                </w:tcPr>
                <w:p w14:paraId="24D4F1BF">
                  <w:pPr>
                    <w:pStyle w:val="63"/>
                    <w:spacing w:line="240" w:lineRule="auto"/>
                    <w:ind w:firstLine="0" w:firstLineChars="0"/>
                    <w:jc w:val="center"/>
                    <w:rPr>
                      <w:rFonts w:hint="eastAsia"/>
                      <w:b/>
                      <w:bCs/>
                      <w:color w:val="auto"/>
                      <w:sz w:val="21"/>
                      <w:szCs w:val="21"/>
                    </w:rPr>
                  </w:pPr>
                  <w:r>
                    <w:rPr>
                      <w:b/>
                      <w:bCs/>
                      <w:color w:val="auto"/>
                      <w:sz w:val="21"/>
                      <w:szCs w:val="21"/>
                    </w:rPr>
                    <w:t>建构筑物</w:t>
                  </w:r>
                </w:p>
              </w:tc>
              <w:tc>
                <w:tcPr>
                  <w:tcW w:w="4634" w:type="dxa"/>
                  <w:noWrap w:val="0"/>
                  <w:vAlign w:val="center"/>
                </w:tcPr>
                <w:p w14:paraId="2F30F795">
                  <w:pPr>
                    <w:pStyle w:val="63"/>
                    <w:spacing w:line="240" w:lineRule="auto"/>
                    <w:ind w:firstLine="0" w:firstLineChars="0"/>
                    <w:jc w:val="center"/>
                    <w:rPr>
                      <w:b/>
                      <w:bCs/>
                      <w:color w:val="auto"/>
                      <w:sz w:val="21"/>
                      <w:szCs w:val="21"/>
                    </w:rPr>
                  </w:pPr>
                  <w:r>
                    <w:rPr>
                      <w:rFonts w:hint="eastAsia"/>
                      <w:b/>
                      <w:bCs/>
                      <w:color w:val="auto"/>
                      <w:sz w:val="21"/>
                      <w:szCs w:val="21"/>
                    </w:rPr>
                    <w:t>防渗要求</w:t>
                  </w:r>
                </w:p>
              </w:tc>
            </w:tr>
            <w:tr w14:paraId="6EAF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noWrap w:val="0"/>
                  <w:vAlign w:val="center"/>
                </w:tcPr>
                <w:p w14:paraId="1F1888E3">
                  <w:pPr>
                    <w:pStyle w:val="63"/>
                    <w:spacing w:line="240" w:lineRule="auto"/>
                    <w:ind w:firstLine="0" w:firstLineChars="0"/>
                    <w:jc w:val="center"/>
                    <w:rPr>
                      <w:color w:val="auto"/>
                      <w:sz w:val="21"/>
                      <w:szCs w:val="21"/>
                    </w:rPr>
                  </w:pPr>
                  <w:r>
                    <w:rPr>
                      <w:rFonts w:hint="eastAsia"/>
                      <w:color w:val="auto"/>
                      <w:sz w:val="21"/>
                      <w:szCs w:val="21"/>
                    </w:rPr>
                    <w:t>一般防渗</w:t>
                  </w:r>
                </w:p>
              </w:tc>
              <w:tc>
                <w:tcPr>
                  <w:tcW w:w="916" w:type="dxa"/>
                  <w:noWrap w:val="0"/>
                  <w:vAlign w:val="center"/>
                </w:tcPr>
                <w:p w14:paraId="4468E23C">
                  <w:pPr>
                    <w:pStyle w:val="63"/>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难</w:t>
                  </w:r>
                </w:p>
              </w:tc>
              <w:tc>
                <w:tcPr>
                  <w:tcW w:w="1338" w:type="dxa"/>
                  <w:noWrap w:val="0"/>
                  <w:vAlign w:val="center"/>
                </w:tcPr>
                <w:p w14:paraId="58411811">
                  <w:pPr>
                    <w:pStyle w:val="63"/>
                    <w:spacing w:line="240" w:lineRule="auto"/>
                    <w:ind w:firstLine="0" w:firstLineChars="0"/>
                    <w:jc w:val="center"/>
                    <w:rPr>
                      <w:rFonts w:hint="default" w:eastAsia="宋体"/>
                      <w:color w:val="auto"/>
                      <w:sz w:val="21"/>
                      <w:szCs w:val="21"/>
                      <w:lang w:val="en-US" w:eastAsia="zh-CN"/>
                    </w:rPr>
                  </w:pPr>
                  <w:r>
                    <w:rPr>
                      <w:color w:val="auto"/>
                      <w:sz w:val="21"/>
                      <w:szCs w:val="21"/>
                    </w:rPr>
                    <w:t>生产车间</w:t>
                  </w:r>
                  <w:r>
                    <w:rPr>
                      <w:rFonts w:hint="eastAsia"/>
                      <w:color w:val="auto"/>
                      <w:sz w:val="21"/>
                      <w:szCs w:val="21"/>
                      <w:lang w:eastAsia="zh-CN"/>
                    </w:rPr>
                    <w:t>、</w:t>
                  </w:r>
                  <w:r>
                    <w:rPr>
                      <w:rFonts w:hint="eastAsia"/>
                      <w:color w:val="auto"/>
                      <w:sz w:val="21"/>
                      <w:szCs w:val="21"/>
                      <w:lang w:val="en-US" w:eastAsia="zh-CN"/>
                    </w:rPr>
                    <w:t>一般固废间</w:t>
                  </w:r>
                </w:p>
              </w:tc>
              <w:tc>
                <w:tcPr>
                  <w:tcW w:w="4634" w:type="dxa"/>
                  <w:noWrap w:val="0"/>
                  <w:vAlign w:val="center"/>
                </w:tcPr>
                <w:p w14:paraId="55142768">
                  <w:pPr>
                    <w:pStyle w:val="63"/>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等效黏土防水层Mb≥1.5m，K≤1.0×10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或参照GB 1</w:t>
                  </w:r>
                  <w:r>
                    <w:rPr>
                      <w:rFonts w:hint="default" w:ascii="Times New Roman" w:hAnsi="Times New Roman" w:cs="Times New Roman"/>
                      <w:color w:val="auto"/>
                      <w:sz w:val="21"/>
                      <w:szCs w:val="21"/>
                      <w:lang w:val="en-US" w:eastAsia="zh-CN"/>
                    </w:rPr>
                    <w:t>6889</w:t>
                  </w:r>
                  <w:r>
                    <w:rPr>
                      <w:rFonts w:hint="default" w:ascii="Times New Roman" w:hAnsi="Times New Roman" w:cs="Times New Roman"/>
                      <w:color w:val="auto"/>
                      <w:sz w:val="21"/>
                      <w:szCs w:val="21"/>
                    </w:rPr>
                    <w:t>执行</w:t>
                  </w:r>
                </w:p>
              </w:tc>
            </w:tr>
            <w:tr w14:paraId="6533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noWrap w:val="0"/>
                  <w:vAlign w:val="center"/>
                </w:tcPr>
                <w:p w14:paraId="34494DA6">
                  <w:pPr>
                    <w:pStyle w:val="63"/>
                    <w:spacing w:line="240" w:lineRule="auto"/>
                    <w:ind w:firstLine="0" w:firstLineChars="0"/>
                    <w:jc w:val="center"/>
                    <w:rPr>
                      <w:color w:val="auto"/>
                      <w:sz w:val="21"/>
                      <w:szCs w:val="21"/>
                    </w:rPr>
                  </w:pPr>
                  <w:r>
                    <w:rPr>
                      <w:color w:val="auto"/>
                      <w:sz w:val="21"/>
                      <w:szCs w:val="21"/>
                    </w:rPr>
                    <w:t>简单防渗</w:t>
                  </w:r>
                </w:p>
              </w:tc>
              <w:tc>
                <w:tcPr>
                  <w:tcW w:w="916" w:type="dxa"/>
                  <w:noWrap w:val="0"/>
                  <w:vAlign w:val="center"/>
                </w:tcPr>
                <w:p w14:paraId="48BAECD3">
                  <w:pPr>
                    <w:pStyle w:val="63"/>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易</w:t>
                  </w:r>
                </w:p>
              </w:tc>
              <w:tc>
                <w:tcPr>
                  <w:tcW w:w="1338" w:type="dxa"/>
                  <w:noWrap w:val="0"/>
                  <w:vAlign w:val="center"/>
                </w:tcPr>
                <w:p w14:paraId="405D153D">
                  <w:pPr>
                    <w:pStyle w:val="63"/>
                    <w:spacing w:line="240" w:lineRule="auto"/>
                    <w:ind w:firstLine="0" w:firstLineChars="0"/>
                    <w:jc w:val="center"/>
                    <w:rPr>
                      <w:color w:val="auto"/>
                      <w:sz w:val="21"/>
                      <w:szCs w:val="21"/>
                    </w:rPr>
                  </w:pPr>
                  <w:r>
                    <w:rPr>
                      <w:color w:val="auto"/>
                      <w:sz w:val="21"/>
                      <w:szCs w:val="21"/>
                    </w:rPr>
                    <w:t>办公区域</w:t>
                  </w:r>
                </w:p>
              </w:tc>
              <w:tc>
                <w:tcPr>
                  <w:tcW w:w="4634" w:type="dxa"/>
                  <w:noWrap w:val="0"/>
                  <w:vAlign w:val="center"/>
                </w:tcPr>
                <w:p w14:paraId="65D3F9C9">
                  <w:pPr>
                    <w:pStyle w:val="63"/>
                    <w:spacing w:line="240" w:lineRule="auto"/>
                    <w:ind w:firstLine="0" w:firstLineChars="0"/>
                    <w:jc w:val="center"/>
                    <w:rPr>
                      <w:color w:val="auto"/>
                      <w:sz w:val="21"/>
                      <w:szCs w:val="21"/>
                    </w:rPr>
                  </w:pPr>
                  <w:r>
                    <w:rPr>
                      <w:color w:val="auto"/>
                      <w:sz w:val="21"/>
                      <w:szCs w:val="21"/>
                    </w:rPr>
                    <w:t>一般地面硬化</w:t>
                  </w:r>
                </w:p>
              </w:tc>
            </w:tr>
          </w:tbl>
          <w:p w14:paraId="11FE2861">
            <w:pPr>
              <w:pStyle w:val="8"/>
              <w:adjustRightInd w:val="0"/>
              <w:snapToGrid w:val="0"/>
              <w:spacing w:before="120" w:beforeLines="50" w:line="360" w:lineRule="auto"/>
              <w:ind w:firstLine="0" w:firstLineChars="0"/>
              <w:rPr>
                <w:b/>
                <w:bCs/>
                <w:sz w:val="24"/>
              </w:rPr>
            </w:pPr>
            <w:r>
              <w:rPr>
                <w:rFonts w:hint="eastAsia"/>
                <w:b/>
                <w:bCs/>
                <w:sz w:val="24"/>
              </w:rPr>
              <w:t>六、环境生态</w:t>
            </w:r>
          </w:p>
          <w:p w14:paraId="43B143D0">
            <w:pPr>
              <w:adjustRightInd w:val="0"/>
              <w:snapToGrid w:val="0"/>
              <w:spacing w:line="360" w:lineRule="auto"/>
              <w:ind w:firstLine="480" w:firstLineChars="200"/>
            </w:pPr>
            <w:r>
              <w:t>项目位于</w:t>
            </w:r>
            <w:r>
              <w:rPr>
                <w:rFonts w:hint="eastAsia"/>
                <w:lang w:eastAsia="zh-CN"/>
              </w:rPr>
              <w:t>安徽省宿州市高新技术产业开发区双创产业园4#楼</w:t>
            </w:r>
            <w:r>
              <w:t>，用地范围内不含生态环境保护目标，故不对生态环境进行影响分析。</w:t>
            </w:r>
          </w:p>
          <w:p w14:paraId="7A37502E">
            <w:pPr>
              <w:adjustRightInd w:val="0"/>
              <w:snapToGrid w:val="0"/>
              <w:spacing w:line="360" w:lineRule="auto"/>
              <w:rPr>
                <w:b/>
                <w:bCs/>
                <w:spacing w:val="-10"/>
              </w:rPr>
            </w:pPr>
            <w:r>
              <w:rPr>
                <w:rFonts w:hint="eastAsia"/>
                <w:b/>
                <w:bCs/>
                <w:spacing w:val="-10"/>
                <w:lang w:val="en-US" w:eastAsia="zh-CN"/>
              </w:rPr>
              <w:t>7</w:t>
            </w:r>
            <w:r>
              <w:rPr>
                <w:b/>
                <w:bCs/>
                <w:spacing w:val="-10"/>
              </w:rPr>
              <w:t>、电磁辐射</w:t>
            </w:r>
          </w:p>
          <w:p w14:paraId="70E85946">
            <w:pPr>
              <w:snapToGrid w:val="0"/>
              <w:spacing w:line="360" w:lineRule="auto"/>
              <w:ind w:firstLine="480" w:firstLineChars="200"/>
              <w:rPr>
                <w:b/>
                <w:bCs/>
              </w:rPr>
            </w:pPr>
            <w:r>
              <w:t>本项目不涉及电磁辐射，故不对该部分内容进行分析。</w:t>
            </w:r>
          </w:p>
          <w:p w14:paraId="667C34D6">
            <w:pPr>
              <w:snapToGrid w:val="0"/>
              <w:spacing w:line="360" w:lineRule="auto"/>
              <w:rPr>
                <w:b/>
                <w:bCs/>
              </w:rPr>
            </w:pPr>
            <w:r>
              <w:rPr>
                <w:rFonts w:hint="eastAsia"/>
                <w:b/>
                <w:bCs/>
                <w:lang w:val="en-US" w:eastAsia="zh-CN"/>
              </w:rPr>
              <w:t>8</w:t>
            </w:r>
            <w:r>
              <w:rPr>
                <w:rFonts w:hint="eastAsia"/>
                <w:b/>
                <w:bCs/>
              </w:rPr>
              <w:t>、</w:t>
            </w:r>
            <w:r>
              <w:rPr>
                <w:b/>
                <w:bCs/>
              </w:rPr>
              <w:t>环保投资估算</w:t>
            </w:r>
          </w:p>
          <w:p w14:paraId="206DD91A">
            <w:pPr>
              <w:snapToGrid w:val="0"/>
              <w:spacing w:line="360" w:lineRule="auto"/>
              <w:ind w:firstLine="480" w:firstLineChars="200"/>
              <w:rPr>
                <w:b/>
                <w:lang w:val="zh-CN"/>
              </w:rPr>
            </w:pPr>
            <w:r>
              <w:rPr>
                <w:bCs/>
              </w:rPr>
              <w:t>项目总投资</w:t>
            </w:r>
            <w:r>
              <w:rPr>
                <w:rFonts w:hint="eastAsia"/>
                <w:bCs/>
                <w:lang w:val="en-US" w:eastAsia="zh-CN"/>
              </w:rPr>
              <w:t>30100</w:t>
            </w:r>
            <w:r>
              <w:rPr>
                <w:bCs/>
              </w:rPr>
              <w:t>万元，其中环保投资</w:t>
            </w:r>
            <w:r>
              <w:rPr>
                <w:rFonts w:hint="eastAsia"/>
                <w:bCs/>
              </w:rPr>
              <w:t>40</w:t>
            </w:r>
            <w:r>
              <w:rPr>
                <w:bCs/>
              </w:rPr>
              <w:t>万元，约占总投资</w:t>
            </w:r>
            <w:r>
              <w:rPr>
                <w:rFonts w:hint="eastAsia"/>
                <w:bCs/>
                <w:lang w:val="en-US" w:eastAsia="zh-CN"/>
              </w:rPr>
              <w:t>0.11</w:t>
            </w:r>
            <w:r>
              <w:rPr>
                <w:bCs/>
              </w:rPr>
              <w:t>%，主要用于废水、废气、固体废物和噪声污染的治理。</w:t>
            </w:r>
          </w:p>
          <w:p w14:paraId="6C34EA05">
            <w:pPr>
              <w:autoSpaceDE w:val="0"/>
              <w:autoSpaceDN w:val="0"/>
              <w:adjustRightInd w:val="0"/>
              <w:snapToGrid w:val="0"/>
              <w:jc w:val="center"/>
              <w:rPr>
                <w:b/>
                <w:lang w:val="zh-CN"/>
              </w:rPr>
            </w:pPr>
            <w:r>
              <w:rPr>
                <w:b/>
                <w:lang w:val="zh-CN"/>
              </w:rPr>
              <w:t>表</w:t>
            </w:r>
            <w:r>
              <w:rPr>
                <w:rFonts w:hint="eastAsia"/>
                <w:b/>
              </w:rPr>
              <w:t>4.20</w:t>
            </w:r>
            <w:r>
              <w:rPr>
                <w:b/>
              </w:rPr>
              <w:t xml:space="preserve">  </w:t>
            </w:r>
            <w:r>
              <w:rPr>
                <w:b/>
                <w:lang w:val="zh-CN"/>
              </w:rPr>
              <w:t>项目环保防治措施及投资估算表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1935"/>
              <w:gridCol w:w="3318"/>
              <w:gridCol w:w="1125"/>
            </w:tblGrid>
            <w:tr w14:paraId="0611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6" w:type="dxa"/>
                  <w:vAlign w:val="center"/>
                </w:tcPr>
                <w:p w14:paraId="50401328">
                  <w:pPr>
                    <w:adjustRightInd w:val="0"/>
                    <w:snapToGrid w:val="0"/>
                    <w:jc w:val="center"/>
                    <w:rPr>
                      <w:b/>
                      <w:bCs/>
                      <w:sz w:val="21"/>
                      <w:szCs w:val="21"/>
                    </w:rPr>
                  </w:pPr>
                  <w:r>
                    <w:rPr>
                      <w:b/>
                      <w:bCs/>
                      <w:sz w:val="21"/>
                      <w:szCs w:val="21"/>
                    </w:rPr>
                    <w:t>污染类别</w:t>
                  </w:r>
                </w:p>
              </w:tc>
              <w:tc>
                <w:tcPr>
                  <w:tcW w:w="1935" w:type="dxa"/>
                  <w:vAlign w:val="center"/>
                </w:tcPr>
                <w:p w14:paraId="021924FD">
                  <w:pPr>
                    <w:adjustRightInd w:val="0"/>
                    <w:snapToGrid w:val="0"/>
                    <w:jc w:val="center"/>
                    <w:rPr>
                      <w:b/>
                      <w:bCs/>
                      <w:sz w:val="21"/>
                      <w:szCs w:val="21"/>
                    </w:rPr>
                  </w:pPr>
                  <w:r>
                    <w:rPr>
                      <w:b/>
                      <w:bCs/>
                      <w:sz w:val="21"/>
                      <w:szCs w:val="21"/>
                    </w:rPr>
                    <w:t>污染防治对象</w:t>
                  </w:r>
                </w:p>
              </w:tc>
              <w:tc>
                <w:tcPr>
                  <w:tcW w:w="3318" w:type="dxa"/>
                  <w:vAlign w:val="center"/>
                </w:tcPr>
                <w:p w14:paraId="7A40698A">
                  <w:pPr>
                    <w:adjustRightInd w:val="0"/>
                    <w:snapToGrid w:val="0"/>
                    <w:jc w:val="center"/>
                    <w:rPr>
                      <w:b/>
                      <w:bCs/>
                      <w:sz w:val="21"/>
                      <w:szCs w:val="21"/>
                    </w:rPr>
                  </w:pPr>
                  <w:r>
                    <w:rPr>
                      <w:b/>
                      <w:bCs/>
                      <w:sz w:val="21"/>
                      <w:szCs w:val="21"/>
                    </w:rPr>
                    <w:t>治理措施</w:t>
                  </w:r>
                </w:p>
              </w:tc>
              <w:tc>
                <w:tcPr>
                  <w:tcW w:w="1125" w:type="dxa"/>
                  <w:vAlign w:val="center"/>
                </w:tcPr>
                <w:p w14:paraId="6E6A7224">
                  <w:pPr>
                    <w:adjustRightInd w:val="0"/>
                    <w:snapToGrid w:val="0"/>
                    <w:jc w:val="center"/>
                    <w:rPr>
                      <w:b/>
                      <w:bCs/>
                      <w:sz w:val="21"/>
                      <w:szCs w:val="21"/>
                    </w:rPr>
                  </w:pPr>
                  <w:r>
                    <w:rPr>
                      <w:b/>
                      <w:bCs/>
                      <w:sz w:val="21"/>
                      <w:szCs w:val="21"/>
                    </w:rPr>
                    <w:t>投资估算（万元）</w:t>
                  </w:r>
                </w:p>
              </w:tc>
            </w:tr>
            <w:tr w14:paraId="7797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6" w:type="dxa"/>
                  <w:vAlign w:val="center"/>
                </w:tcPr>
                <w:p w14:paraId="79D06BFA">
                  <w:pPr>
                    <w:adjustRightInd w:val="0"/>
                    <w:snapToGrid w:val="0"/>
                    <w:jc w:val="center"/>
                    <w:rPr>
                      <w:sz w:val="21"/>
                      <w:szCs w:val="21"/>
                    </w:rPr>
                  </w:pPr>
                  <w:r>
                    <w:rPr>
                      <w:rFonts w:hint="eastAsia"/>
                      <w:sz w:val="21"/>
                      <w:szCs w:val="21"/>
                    </w:rPr>
                    <w:t>废水</w:t>
                  </w:r>
                </w:p>
              </w:tc>
              <w:tc>
                <w:tcPr>
                  <w:tcW w:w="1935" w:type="dxa"/>
                  <w:vAlign w:val="center"/>
                </w:tcPr>
                <w:p w14:paraId="78EBEEB2">
                  <w:pPr>
                    <w:pStyle w:val="35"/>
                    <w:ind w:firstLine="0"/>
                    <w:jc w:val="center"/>
                    <w:rPr>
                      <w:color w:val="auto"/>
                      <w:sz w:val="21"/>
                      <w:szCs w:val="21"/>
                    </w:rPr>
                  </w:pPr>
                  <w:r>
                    <w:rPr>
                      <w:color w:val="auto"/>
                      <w:sz w:val="21"/>
                      <w:szCs w:val="21"/>
                    </w:rPr>
                    <w:t>生活污水</w:t>
                  </w:r>
                </w:p>
              </w:tc>
              <w:tc>
                <w:tcPr>
                  <w:tcW w:w="3318" w:type="dxa"/>
                  <w:vAlign w:val="center"/>
                </w:tcPr>
                <w:p w14:paraId="155FF9D9">
                  <w:pPr>
                    <w:jc w:val="center"/>
                    <w:rPr>
                      <w:sz w:val="21"/>
                      <w:szCs w:val="21"/>
                    </w:rPr>
                  </w:pPr>
                  <w:r>
                    <w:rPr>
                      <w:rFonts w:hint="eastAsia"/>
                      <w:sz w:val="21"/>
                      <w:szCs w:val="21"/>
                    </w:rPr>
                    <w:t>化粪池</w:t>
                  </w:r>
                </w:p>
              </w:tc>
              <w:tc>
                <w:tcPr>
                  <w:tcW w:w="1125" w:type="dxa"/>
                  <w:vAlign w:val="center"/>
                </w:tcPr>
                <w:p w14:paraId="086430E2">
                  <w:pPr>
                    <w:adjustRightInd w:val="0"/>
                    <w:snapToGrid w:val="0"/>
                    <w:jc w:val="center"/>
                    <w:rPr>
                      <w:rFonts w:hint="default" w:eastAsia="宋体"/>
                      <w:sz w:val="21"/>
                      <w:szCs w:val="21"/>
                      <w:lang w:val="en-US" w:eastAsia="zh-CN"/>
                    </w:rPr>
                  </w:pPr>
                  <w:r>
                    <w:rPr>
                      <w:rFonts w:hint="eastAsia"/>
                      <w:sz w:val="21"/>
                      <w:szCs w:val="21"/>
                      <w:lang w:val="en-US" w:eastAsia="zh-CN"/>
                    </w:rPr>
                    <w:t>10</w:t>
                  </w:r>
                </w:p>
              </w:tc>
            </w:tr>
            <w:tr w14:paraId="4ADC6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6" w:type="dxa"/>
                  <w:vAlign w:val="center"/>
                </w:tcPr>
                <w:p w14:paraId="0F290B36">
                  <w:pPr>
                    <w:pStyle w:val="35"/>
                    <w:jc w:val="center"/>
                    <w:rPr>
                      <w:color w:val="auto"/>
                      <w:sz w:val="21"/>
                      <w:szCs w:val="21"/>
                    </w:rPr>
                  </w:pPr>
                  <w:r>
                    <w:rPr>
                      <w:color w:val="auto"/>
                      <w:sz w:val="21"/>
                      <w:szCs w:val="21"/>
                    </w:rPr>
                    <w:t>噪声</w:t>
                  </w:r>
                </w:p>
              </w:tc>
              <w:tc>
                <w:tcPr>
                  <w:tcW w:w="1935" w:type="dxa"/>
                  <w:vAlign w:val="center"/>
                </w:tcPr>
                <w:p w14:paraId="2CB4458C">
                  <w:pPr>
                    <w:pStyle w:val="35"/>
                    <w:ind w:firstLine="0"/>
                    <w:jc w:val="center"/>
                    <w:rPr>
                      <w:color w:val="auto"/>
                      <w:sz w:val="21"/>
                      <w:szCs w:val="21"/>
                    </w:rPr>
                  </w:pPr>
                  <w:r>
                    <w:rPr>
                      <w:color w:val="auto"/>
                      <w:sz w:val="21"/>
                      <w:szCs w:val="21"/>
                    </w:rPr>
                    <w:t>设备噪声等</w:t>
                  </w:r>
                </w:p>
              </w:tc>
              <w:tc>
                <w:tcPr>
                  <w:tcW w:w="3318" w:type="dxa"/>
                  <w:vAlign w:val="center"/>
                </w:tcPr>
                <w:p w14:paraId="15FB6DD4">
                  <w:pPr>
                    <w:jc w:val="center"/>
                    <w:rPr>
                      <w:sz w:val="21"/>
                      <w:szCs w:val="21"/>
                    </w:rPr>
                  </w:pPr>
                  <w:r>
                    <w:rPr>
                      <w:sz w:val="21"/>
                      <w:szCs w:val="21"/>
                    </w:rPr>
                    <w:t>消声、减振、密闭隔声、设备保养等</w:t>
                  </w:r>
                </w:p>
              </w:tc>
              <w:tc>
                <w:tcPr>
                  <w:tcW w:w="1125" w:type="dxa"/>
                  <w:vAlign w:val="center"/>
                </w:tcPr>
                <w:p w14:paraId="49A55C16">
                  <w:pPr>
                    <w:adjustRightInd w:val="0"/>
                    <w:snapToGrid w:val="0"/>
                    <w:jc w:val="center"/>
                  </w:pPr>
                  <w:r>
                    <w:rPr>
                      <w:rFonts w:hint="eastAsia"/>
                      <w:sz w:val="21"/>
                      <w:szCs w:val="21"/>
                    </w:rPr>
                    <w:t>6</w:t>
                  </w:r>
                </w:p>
              </w:tc>
            </w:tr>
            <w:tr w14:paraId="5440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6" w:type="dxa"/>
                  <w:vMerge w:val="restart"/>
                  <w:vAlign w:val="center"/>
                </w:tcPr>
                <w:p w14:paraId="54FD7A6E">
                  <w:pPr>
                    <w:pStyle w:val="35"/>
                    <w:jc w:val="center"/>
                    <w:rPr>
                      <w:color w:val="auto"/>
                      <w:sz w:val="21"/>
                      <w:szCs w:val="21"/>
                    </w:rPr>
                  </w:pPr>
                  <w:r>
                    <w:rPr>
                      <w:color w:val="auto"/>
                      <w:sz w:val="21"/>
                      <w:szCs w:val="21"/>
                    </w:rPr>
                    <w:t>固废</w:t>
                  </w:r>
                </w:p>
              </w:tc>
              <w:tc>
                <w:tcPr>
                  <w:tcW w:w="1935" w:type="dxa"/>
                  <w:vAlign w:val="center"/>
                </w:tcPr>
                <w:p w14:paraId="34CF60BC">
                  <w:pPr>
                    <w:pStyle w:val="35"/>
                    <w:ind w:firstLine="0"/>
                    <w:jc w:val="center"/>
                    <w:rPr>
                      <w:color w:val="auto"/>
                      <w:sz w:val="21"/>
                      <w:szCs w:val="21"/>
                    </w:rPr>
                  </w:pPr>
                  <w:r>
                    <w:rPr>
                      <w:color w:val="auto"/>
                      <w:sz w:val="21"/>
                      <w:szCs w:val="21"/>
                    </w:rPr>
                    <w:t>生活垃圾</w:t>
                  </w:r>
                </w:p>
              </w:tc>
              <w:tc>
                <w:tcPr>
                  <w:tcW w:w="3318" w:type="dxa"/>
                  <w:vAlign w:val="center"/>
                </w:tcPr>
                <w:p w14:paraId="1021099E">
                  <w:pPr>
                    <w:jc w:val="center"/>
                    <w:rPr>
                      <w:sz w:val="21"/>
                      <w:szCs w:val="21"/>
                    </w:rPr>
                  </w:pPr>
                  <w:r>
                    <w:rPr>
                      <w:sz w:val="21"/>
                      <w:szCs w:val="21"/>
                    </w:rPr>
                    <w:t>垃圾桶等</w:t>
                  </w:r>
                </w:p>
              </w:tc>
              <w:tc>
                <w:tcPr>
                  <w:tcW w:w="1125" w:type="dxa"/>
                  <w:vAlign w:val="center"/>
                </w:tcPr>
                <w:p w14:paraId="0C2B31C0">
                  <w:pPr>
                    <w:adjustRightInd w:val="0"/>
                    <w:snapToGrid w:val="0"/>
                    <w:jc w:val="center"/>
                    <w:rPr>
                      <w:sz w:val="21"/>
                      <w:szCs w:val="21"/>
                    </w:rPr>
                  </w:pPr>
                  <w:r>
                    <w:rPr>
                      <w:rFonts w:hint="eastAsia"/>
                      <w:sz w:val="21"/>
                      <w:szCs w:val="21"/>
                    </w:rPr>
                    <w:t>1</w:t>
                  </w:r>
                </w:p>
              </w:tc>
            </w:tr>
            <w:tr w14:paraId="5111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6" w:type="dxa"/>
                  <w:vMerge w:val="continue"/>
                  <w:vAlign w:val="center"/>
                </w:tcPr>
                <w:p w14:paraId="44A0AAC4">
                  <w:pPr>
                    <w:pStyle w:val="35"/>
                    <w:jc w:val="center"/>
                    <w:rPr>
                      <w:color w:val="auto"/>
                      <w:sz w:val="21"/>
                      <w:szCs w:val="21"/>
                    </w:rPr>
                  </w:pPr>
                </w:p>
              </w:tc>
              <w:tc>
                <w:tcPr>
                  <w:tcW w:w="1935" w:type="dxa"/>
                  <w:vAlign w:val="center"/>
                </w:tcPr>
                <w:p w14:paraId="7D1BA8E7">
                  <w:pPr>
                    <w:pStyle w:val="35"/>
                    <w:ind w:firstLine="0"/>
                    <w:jc w:val="center"/>
                    <w:rPr>
                      <w:color w:val="auto"/>
                      <w:sz w:val="21"/>
                      <w:szCs w:val="21"/>
                    </w:rPr>
                  </w:pPr>
                  <w:r>
                    <w:rPr>
                      <w:color w:val="auto"/>
                      <w:sz w:val="21"/>
                      <w:szCs w:val="21"/>
                    </w:rPr>
                    <w:t>一般工业固体废物</w:t>
                  </w:r>
                </w:p>
              </w:tc>
              <w:tc>
                <w:tcPr>
                  <w:tcW w:w="3318" w:type="dxa"/>
                  <w:vAlign w:val="center"/>
                </w:tcPr>
                <w:p w14:paraId="49E4B218">
                  <w:pPr>
                    <w:jc w:val="center"/>
                    <w:rPr>
                      <w:sz w:val="21"/>
                      <w:szCs w:val="21"/>
                    </w:rPr>
                  </w:pPr>
                  <w:r>
                    <w:rPr>
                      <w:sz w:val="21"/>
                      <w:szCs w:val="21"/>
                    </w:rPr>
                    <w:t>一般工业固体废物暂存间</w:t>
                  </w:r>
                </w:p>
              </w:tc>
              <w:tc>
                <w:tcPr>
                  <w:tcW w:w="1125" w:type="dxa"/>
                  <w:vAlign w:val="center"/>
                </w:tcPr>
                <w:p w14:paraId="3F1C5C04">
                  <w:pPr>
                    <w:adjustRightInd w:val="0"/>
                    <w:snapToGrid w:val="0"/>
                    <w:jc w:val="center"/>
                    <w:rPr>
                      <w:sz w:val="21"/>
                      <w:szCs w:val="21"/>
                    </w:rPr>
                  </w:pPr>
                  <w:r>
                    <w:rPr>
                      <w:rFonts w:hint="eastAsia"/>
                      <w:sz w:val="21"/>
                      <w:szCs w:val="21"/>
                    </w:rPr>
                    <w:t>2</w:t>
                  </w:r>
                </w:p>
              </w:tc>
            </w:tr>
            <w:tr w14:paraId="7764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1" w:type="dxa"/>
                  <w:gridSpan w:val="2"/>
                  <w:vAlign w:val="center"/>
                </w:tcPr>
                <w:p w14:paraId="59A3607A">
                  <w:pPr>
                    <w:spacing w:line="240" w:lineRule="atLeast"/>
                    <w:jc w:val="center"/>
                    <w:rPr>
                      <w:sz w:val="21"/>
                      <w:szCs w:val="21"/>
                    </w:rPr>
                  </w:pPr>
                  <w:r>
                    <w:rPr>
                      <w:rFonts w:hint="eastAsia"/>
                      <w:sz w:val="21"/>
                      <w:szCs w:val="21"/>
                    </w:rPr>
                    <w:t>地下水、土壤</w:t>
                  </w:r>
                </w:p>
              </w:tc>
              <w:tc>
                <w:tcPr>
                  <w:tcW w:w="3318" w:type="dxa"/>
                  <w:vAlign w:val="center"/>
                </w:tcPr>
                <w:p w14:paraId="125B4181">
                  <w:pPr>
                    <w:adjustRightInd w:val="0"/>
                    <w:snapToGrid w:val="0"/>
                    <w:spacing w:before="48" w:beforeLines="20"/>
                    <w:jc w:val="center"/>
                    <w:rPr>
                      <w:rFonts w:hint="default" w:eastAsia="宋体"/>
                      <w:bCs/>
                      <w:sz w:val="21"/>
                      <w:szCs w:val="21"/>
                      <w:lang w:val="en-US" w:eastAsia="zh-CN"/>
                    </w:rPr>
                  </w:pPr>
                  <w:r>
                    <w:rPr>
                      <w:rFonts w:hint="eastAsia"/>
                      <w:color w:val="000000"/>
                      <w:sz w:val="21"/>
                      <w:szCs w:val="21"/>
                    </w:rPr>
                    <w:t>一般防渗</w:t>
                  </w:r>
                  <w:r>
                    <w:rPr>
                      <w:rFonts w:hint="eastAsia"/>
                      <w:color w:val="000000"/>
                      <w:sz w:val="21"/>
                      <w:szCs w:val="21"/>
                      <w:lang w:eastAsia="zh-CN"/>
                    </w:rPr>
                    <w:t>、</w:t>
                  </w:r>
                  <w:r>
                    <w:rPr>
                      <w:rFonts w:hint="eastAsia"/>
                      <w:color w:val="000000"/>
                      <w:sz w:val="21"/>
                      <w:szCs w:val="21"/>
                      <w:lang w:val="en-US" w:eastAsia="zh-CN"/>
                    </w:rPr>
                    <w:t>简单防渗</w:t>
                  </w:r>
                </w:p>
              </w:tc>
              <w:tc>
                <w:tcPr>
                  <w:tcW w:w="1125" w:type="dxa"/>
                  <w:vAlign w:val="center"/>
                </w:tcPr>
                <w:p w14:paraId="1FF01D60">
                  <w:pPr>
                    <w:adjustRightInd w:val="0"/>
                    <w:snapToGrid w:val="0"/>
                    <w:jc w:val="center"/>
                    <w:rPr>
                      <w:rFonts w:hint="eastAsia" w:eastAsia="宋体"/>
                      <w:sz w:val="21"/>
                      <w:szCs w:val="21"/>
                      <w:lang w:val="en-US" w:eastAsia="zh-CN"/>
                    </w:rPr>
                  </w:pPr>
                  <w:r>
                    <w:rPr>
                      <w:rFonts w:hint="eastAsia"/>
                      <w:sz w:val="21"/>
                      <w:szCs w:val="21"/>
                      <w:lang w:val="en-US" w:eastAsia="zh-CN"/>
                    </w:rPr>
                    <w:t>4</w:t>
                  </w:r>
                </w:p>
              </w:tc>
            </w:tr>
            <w:tr w14:paraId="57617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541" w:type="dxa"/>
                  <w:gridSpan w:val="2"/>
                  <w:vAlign w:val="center"/>
                </w:tcPr>
                <w:p w14:paraId="0428D127">
                  <w:pPr>
                    <w:spacing w:line="240" w:lineRule="atLeast"/>
                    <w:jc w:val="center"/>
                    <w:rPr>
                      <w:sz w:val="21"/>
                      <w:szCs w:val="21"/>
                    </w:rPr>
                  </w:pPr>
                  <w:r>
                    <w:rPr>
                      <w:rFonts w:hint="eastAsia"/>
                      <w:sz w:val="21"/>
                      <w:szCs w:val="21"/>
                    </w:rPr>
                    <w:t>风险</w:t>
                  </w:r>
                </w:p>
              </w:tc>
              <w:tc>
                <w:tcPr>
                  <w:tcW w:w="3318" w:type="dxa"/>
                  <w:vAlign w:val="center"/>
                </w:tcPr>
                <w:p w14:paraId="0FAADE3A">
                  <w:pPr>
                    <w:jc w:val="center"/>
                    <w:rPr>
                      <w:sz w:val="21"/>
                      <w:szCs w:val="21"/>
                    </w:rPr>
                  </w:pPr>
                  <w:r>
                    <w:rPr>
                      <w:rFonts w:hint="eastAsia"/>
                      <w:color w:val="000000"/>
                      <w:sz w:val="21"/>
                      <w:szCs w:val="21"/>
                    </w:rPr>
                    <w:t>原辅料按相关要求贮存，明确贮存注意事项并要求专人负责看管</w:t>
                  </w:r>
                  <w:r>
                    <w:rPr>
                      <w:color w:val="000000"/>
                      <w:sz w:val="21"/>
                      <w:szCs w:val="21"/>
                    </w:rPr>
                    <w:t>。定期对生产设施、包装设施以及相应环保设施等进行安全状况检查，车间内配置相应的消防设备、设施、防毒、灭火物资等消防、安全设施；制定严格的运行操作规章制度，发生火灾、爆炸事故后，灭火的同时疏散周边无关人员</w:t>
                  </w:r>
                </w:p>
              </w:tc>
              <w:tc>
                <w:tcPr>
                  <w:tcW w:w="1125" w:type="dxa"/>
                  <w:vAlign w:val="center"/>
                </w:tcPr>
                <w:p w14:paraId="7BB13A0E">
                  <w:pPr>
                    <w:adjustRightInd w:val="0"/>
                    <w:snapToGrid w:val="0"/>
                    <w:jc w:val="center"/>
                    <w:rPr>
                      <w:rFonts w:hint="default" w:eastAsia="宋体"/>
                      <w:sz w:val="21"/>
                      <w:szCs w:val="21"/>
                      <w:lang w:val="en-US" w:eastAsia="zh-CN"/>
                    </w:rPr>
                  </w:pPr>
                  <w:r>
                    <w:rPr>
                      <w:rFonts w:hint="eastAsia"/>
                      <w:sz w:val="21"/>
                      <w:szCs w:val="21"/>
                      <w:lang w:val="en-US" w:eastAsia="zh-CN"/>
                    </w:rPr>
                    <w:t>10</w:t>
                  </w:r>
                </w:p>
              </w:tc>
            </w:tr>
            <w:tr w14:paraId="7795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59" w:type="dxa"/>
                  <w:gridSpan w:val="3"/>
                  <w:vAlign w:val="center"/>
                </w:tcPr>
                <w:p w14:paraId="5959F026">
                  <w:pPr>
                    <w:adjustRightInd w:val="0"/>
                    <w:snapToGrid w:val="0"/>
                    <w:jc w:val="center"/>
                    <w:rPr>
                      <w:sz w:val="21"/>
                      <w:szCs w:val="21"/>
                    </w:rPr>
                  </w:pPr>
                  <w:r>
                    <w:rPr>
                      <w:sz w:val="21"/>
                      <w:szCs w:val="21"/>
                    </w:rPr>
                    <w:t>合计</w:t>
                  </w:r>
                </w:p>
              </w:tc>
              <w:tc>
                <w:tcPr>
                  <w:tcW w:w="1125" w:type="dxa"/>
                  <w:vAlign w:val="center"/>
                </w:tcPr>
                <w:p w14:paraId="4BBF4806">
                  <w:pPr>
                    <w:adjustRightInd w:val="0"/>
                    <w:snapToGrid w:val="0"/>
                    <w:jc w:val="center"/>
                    <w:rPr>
                      <w:sz w:val="21"/>
                      <w:szCs w:val="21"/>
                    </w:rPr>
                  </w:pPr>
                  <w:r>
                    <w:rPr>
                      <w:rFonts w:hint="eastAsia"/>
                      <w:sz w:val="21"/>
                      <w:szCs w:val="21"/>
                    </w:rPr>
                    <w:t>40</w:t>
                  </w:r>
                </w:p>
              </w:tc>
            </w:tr>
          </w:tbl>
          <w:p w14:paraId="441649BB">
            <w:pPr>
              <w:adjustRightInd w:val="0"/>
              <w:snapToGrid w:val="0"/>
              <w:spacing w:line="360" w:lineRule="auto"/>
              <w:rPr>
                <w:szCs w:val="32"/>
                <w:lang w:bidi="ar"/>
              </w:rPr>
            </w:pPr>
          </w:p>
        </w:tc>
      </w:tr>
    </w:tbl>
    <w:p w14:paraId="40CE3E13">
      <w:pPr>
        <w:pStyle w:val="39"/>
        <w:sectPr>
          <w:pgSz w:w="11907" w:h="16840"/>
          <w:pgMar w:top="1701" w:right="1531" w:bottom="2127" w:left="1531" w:header="851" w:footer="851" w:gutter="0"/>
          <w:cols w:space="720" w:num="1"/>
          <w:docGrid w:linePitch="312" w:charSpace="0"/>
        </w:sectPr>
      </w:pPr>
    </w:p>
    <w:p w14:paraId="6B23A7BE">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5" w:name="_Hlk54167917"/>
      <w:r>
        <w:rPr>
          <w:rFonts w:hint="eastAsia" w:ascii="黑体" w:hAnsi="黑体" w:eastAsia="黑体"/>
          <w:snapToGrid w:val="0"/>
          <w:sz w:val="30"/>
          <w:szCs w:val="30"/>
        </w:rPr>
        <w:t>环境保护措施监督检查清单</w:t>
      </w:r>
      <w:bookmarkEnd w:id="5"/>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877"/>
        <w:gridCol w:w="1498"/>
        <w:gridCol w:w="2085"/>
        <w:gridCol w:w="1828"/>
      </w:tblGrid>
      <w:tr w14:paraId="402BD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1772" w:type="dxa"/>
            <w:tcBorders>
              <w:tl2br w:val="single" w:color="auto" w:sz="4" w:space="0"/>
            </w:tcBorders>
            <w:vAlign w:val="center"/>
          </w:tcPr>
          <w:p w14:paraId="25370B4D">
            <w:pPr>
              <w:adjustRightInd w:val="0"/>
              <w:snapToGrid w:val="0"/>
              <w:ind w:firstLine="840"/>
              <w:rPr>
                <w:rFonts w:ascii="宋体" w:hAnsi="宋体" w:cs="宋体"/>
              </w:rPr>
            </w:pPr>
            <w:r>
              <w:rPr>
                <w:rFonts w:hint="eastAsia" w:ascii="宋体" w:hAnsi="宋体" w:cs="宋体"/>
              </w:rPr>
              <w:t>内容</w:t>
            </w:r>
          </w:p>
          <w:p w14:paraId="5416055A">
            <w:pPr>
              <w:adjustRightInd w:val="0"/>
              <w:snapToGrid w:val="0"/>
              <w:rPr>
                <w:rFonts w:ascii="宋体" w:hAnsi="宋体" w:cs="宋体"/>
              </w:rPr>
            </w:pPr>
            <w:r>
              <w:rPr>
                <w:rFonts w:hint="eastAsia" w:ascii="宋体" w:hAnsi="宋体" w:cs="宋体"/>
              </w:rPr>
              <w:t>要素</w:t>
            </w:r>
          </w:p>
        </w:tc>
        <w:tc>
          <w:tcPr>
            <w:tcW w:w="1877" w:type="dxa"/>
            <w:vAlign w:val="center"/>
          </w:tcPr>
          <w:p w14:paraId="75E7422C">
            <w:pPr>
              <w:adjustRightInd w:val="0"/>
              <w:snapToGrid w:val="0"/>
              <w:jc w:val="center"/>
              <w:rPr>
                <w:rFonts w:ascii="宋体" w:hAnsi="宋体" w:cs="宋体"/>
              </w:rPr>
            </w:pPr>
            <w:r>
              <w:rPr>
                <w:rFonts w:hint="eastAsia" w:ascii="宋体" w:hAnsi="宋体" w:cs="宋体"/>
              </w:rPr>
              <w:t>排放口(编号、</w:t>
            </w:r>
          </w:p>
          <w:p w14:paraId="642C47C0">
            <w:pPr>
              <w:adjustRightInd w:val="0"/>
              <w:snapToGrid w:val="0"/>
              <w:jc w:val="center"/>
              <w:rPr>
                <w:rFonts w:ascii="宋体" w:hAnsi="宋体" w:cs="宋体"/>
              </w:rPr>
            </w:pPr>
            <w:r>
              <w:rPr>
                <w:rFonts w:hint="eastAsia" w:ascii="宋体" w:hAnsi="宋体" w:cs="宋体"/>
              </w:rPr>
              <w:t>名称)/污染源</w:t>
            </w:r>
          </w:p>
        </w:tc>
        <w:tc>
          <w:tcPr>
            <w:tcW w:w="1498" w:type="dxa"/>
            <w:vAlign w:val="center"/>
          </w:tcPr>
          <w:p w14:paraId="0DE97EE6">
            <w:pPr>
              <w:adjustRightInd w:val="0"/>
              <w:snapToGrid w:val="0"/>
              <w:jc w:val="center"/>
              <w:rPr>
                <w:rFonts w:ascii="宋体" w:hAnsi="宋体" w:cs="宋体"/>
              </w:rPr>
            </w:pPr>
            <w:r>
              <w:rPr>
                <w:rFonts w:hint="eastAsia" w:ascii="宋体" w:hAnsi="宋体" w:cs="宋体"/>
              </w:rPr>
              <w:t>污染物项目</w:t>
            </w:r>
          </w:p>
        </w:tc>
        <w:tc>
          <w:tcPr>
            <w:tcW w:w="2085" w:type="dxa"/>
            <w:vAlign w:val="center"/>
          </w:tcPr>
          <w:p w14:paraId="740553BF">
            <w:pPr>
              <w:adjustRightInd w:val="0"/>
              <w:snapToGrid w:val="0"/>
              <w:jc w:val="center"/>
              <w:rPr>
                <w:rFonts w:ascii="宋体" w:hAnsi="宋体" w:cs="宋体"/>
              </w:rPr>
            </w:pPr>
            <w:r>
              <w:rPr>
                <w:rFonts w:hint="eastAsia" w:ascii="宋体" w:hAnsi="宋体" w:cs="宋体"/>
              </w:rPr>
              <w:t>环境保护措施</w:t>
            </w:r>
          </w:p>
        </w:tc>
        <w:tc>
          <w:tcPr>
            <w:tcW w:w="1828" w:type="dxa"/>
            <w:vAlign w:val="center"/>
          </w:tcPr>
          <w:p w14:paraId="1C143AFB">
            <w:pPr>
              <w:adjustRightInd w:val="0"/>
              <w:snapToGrid w:val="0"/>
              <w:jc w:val="center"/>
              <w:rPr>
                <w:rFonts w:ascii="宋体" w:hAnsi="宋体" w:cs="宋体"/>
              </w:rPr>
            </w:pPr>
            <w:r>
              <w:rPr>
                <w:rFonts w:hint="eastAsia" w:ascii="宋体" w:hAnsi="宋体" w:cs="宋体"/>
              </w:rPr>
              <w:t>执行标准</w:t>
            </w:r>
          </w:p>
        </w:tc>
      </w:tr>
      <w:tr w14:paraId="7C881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772" w:type="dxa"/>
            <w:vMerge w:val="restart"/>
            <w:vAlign w:val="center"/>
          </w:tcPr>
          <w:p w14:paraId="53E3C4A7">
            <w:pPr>
              <w:adjustRightInd w:val="0"/>
              <w:snapToGrid w:val="0"/>
              <w:jc w:val="center"/>
              <w:rPr>
                <w:rFonts w:ascii="宋体" w:hAnsi="宋体" w:cs="宋体"/>
              </w:rPr>
            </w:pPr>
            <w:r>
              <w:rPr>
                <w:rFonts w:hint="eastAsia" w:ascii="宋体" w:hAnsi="宋体" w:cs="宋体"/>
              </w:rPr>
              <w:t>大气环境</w:t>
            </w:r>
          </w:p>
        </w:tc>
        <w:tc>
          <w:tcPr>
            <w:tcW w:w="1877" w:type="dxa"/>
            <w:vAlign w:val="center"/>
          </w:tcPr>
          <w:p w14:paraId="79AD7F11">
            <w:pPr>
              <w:adjustRightInd w:val="0"/>
              <w:snapToGrid w:val="0"/>
              <w:jc w:val="center"/>
              <w:rPr>
                <w:rFonts w:hint="default" w:ascii="宋体" w:hAnsi="宋体" w:eastAsia="宋体" w:cs="宋体"/>
                <w:lang w:val="en-US" w:eastAsia="zh-CN"/>
              </w:rPr>
            </w:pPr>
            <w:r>
              <w:rPr>
                <w:rFonts w:hint="eastAsia"/>
                <w:lang w:val="en-US" w:eastAsia="zh-CN"/>
              </w:rPr>
              <w:t>脱包、筛分</w:t>
            </w:r>
          </w:p>
        </w:tc>
        <w:tc>
          <w:tcPr>
            <w:tcW w:w="1498" w:type="dxa"/>
            <w:vAlign w:val="center"/>
          </w:tcPr>
          <w:p w14:paraId="36788190">
            <w:pPr>
              <w:adjustRightInd w:val="0"/>
              <w:snapToGrid w:val="0"/>
              <w:jc w:val="center"/>
              <w:rPr>
                <w:rFonts w:hint="eastAsia" w:eastAsia="宋体"/>
                <w:lang w:val="en-US" w:eastAsia="zh-CN"/>
              </w:rPr>
            </w:pPr>
            <w:r>
              <w:rPr>
                <w:rFonts w:hint="eastAsia"/>
                <w:lang w:val="en-US" w:eastAsia="zh-CN"/>
              </w:rPr>
              <w:t>颗粒物</w:t>
            </w:r>
          </w:p>
        </w:tc>
        <w:tc>
          <w:tcPr>
            <w:tcW w:w="2085" w:type="dxa"/>
            <w:vAlign w:val="center"/>
          </w:tcPr>
          <w:p w14:paraId="5EB2B9BE">
            <w:pPr>
              <w:adjustRightInd w:val="0"/>
              <w:snapToGrid w:val="0"/>
              <w:jc w:val="center"/>
            </w:pPr>
            <w:r>
              <w:rPr>
                <w:rFonts w:hint="eastAsia"/>
              </w:rPr>
              <w:t>加强通风</w:t>
            </w:r>
          </w:p>
        </w:tc>
        <w:tc>
          <w:tcPr>
            <w:tcW w:w="1828" w:type="dxa"/>
            <w:vMerge w:val="restart"/>
            <w:vAlign w:val="center"/>
          </w:tcPr>
          <w:p w14:paraId="31B49A1F">
            <w:pPr>
              <w:adjustRightInd w:val="0"/>
              <w:snapToGrid w:val="0"/>
              <w:jc w:val="center"/>
            </w:pPr>
            <w:r>
              <w:t>《大气污染物综合排放标准》</w:t>
            </w:r>
          </w:p>
          <w:p w14:paraId="732AF910">
            <w:pPr>
              <w:adjustRightInd w:val="0"/>
              <w:snapToGrid w:val="0"/>
              <w:jc w:val="center"/>
              <w:rPr>
                <w:rFonts w:ascii="宋体" w:hAnsi="宋体" w:cs="宋体"/>
              </w:rPr>
            </w:pPr>
            <w:r>
              <w:t>（GB16297－1996）</w:t>
            </w:r>
          </w:p>
        </w:tc>
      </w:tr>
      <w:tr w14:paraId="43AAEA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Merge w:val="continue"/>
            <w:vAlign w:val="center"/>
          </w:tcPr>
          <w:p w14:paraId="511893DC">
            <w:pPr>
              <w:adjustRightInd w:val="0"/>
              <w:snapToGrid w:val="0"/>
              <w:jc w:val="center"/>
              <w:rPr>
                <w:rFonts w:ascii="宋体" w:hAnsi="宋体" w:cs="宋体"/>
              </w:rPr>
            </w:pPr>
          </w:p>
        </w:tc>
        <w:tc>
          <w:tcPr>
            <w:tcW w:w="1877" w:type="dxa"/>
            <w:vAlign w:val="center"/>
          </w:tcPr>
          <w:p w14:paraId="3066B1A5">
            <w:pPr>
              <w:adjustRightInd w:val="0"/>
              <w:snapToGrid w:val="0"/>
              <w:jc w:val="center"/>
              <w:rPr>
                <w:rFonts w:hint="default" w:ascii="宋体" w:hAnsi="宋体" w:eastAsia="宋体" w:cs="宋体"/>
                <w:lang w:val="en-US" w:eastAsia="zh-CN"/>
              </w:rPr>
            </w:pPr>
            <w:r>
              <w:rPr>
                <w:rFonts w:hint="eastAsia"/>
                <w:lang w:val="en-US" w:eastAsia="zh-CN"/>
              </w:rPr>
              <w:t>装盒、封盒</w:t>
            </w:r>
          </w:p>
        </w:tc>
        <w:tc>
          <w:tcPr>
            <w:tcW w:w="1498" w:type="dxa"/>
            <w:vAlign w:val="center"/>
          </w:tcPr>
          <w:p w14:paraId="70AF8B57">
            <w:pPr>
              <w:adjustRightInd w:val="0"/>
              <w:snapToGrid w:val="0"/>
              <w:jc w:val="center"/>
            </w:pPr>
            <w:r>
              <w:rPr>
                <w:rFonts w:hint="eastAsia"/>
              </w:rPr>
              <w:t>非甲烷总烃</w:t>
            </w:r>
          </w:p>
        </w:tc>
        <w:tc>
          <w:tcPr>
            <w:tcW w:w="2085" w:type="dxa"/>
            <w:vAlign w:val="center"/>
          </w:tcPr>
          <w:p w14:paraId="32F5E1F8">
            <w:pPr>
              <w:adjustRightInd w:val="0"/>
              <w:snapToGrid w:val="0"/>
              <w:jc w:val="center"/>
            </w:pPr>
            <w:r>
              <w:rPr>
                <w:rFonts w:hint="eastAsia"/>
              </w:rPr>
              <w:t>加强通风</w:t>
            </w:r>
          </w:p>
        </w:tc>
        <w:tc>
          <w:tcPr>
            <w:tcW w:w="1828" w:type="dxa"/>
            <w:vMerge w:val="continue"/>
            <w:vAlign w:val="center"/>
          </w:tcPr>
          <w:p w14:paraId="4AFEA944">
            <w:pPr>
              <w:adjustRightInd w:val="0"/>
              <w:snapToGrid w:val="0"/>
              <w:jc w:val="center"/>
              <w:rPr>
                <w:bCs/>
              </w:rPr>
            </w:pPr>
          </w:p>
        </w:tc>
      </w:tr>
      <w:tr w14:paraId="29D0DE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350F03D7">
            <w:pPr>
              <w:adjustRightInd w:val="0"/>
              <w:snapToGrid w:val="0"/>
              <w:jc w:val="center"/>
              <w:rPr>
                <w:rFonts w:ascii="宋体" w:hAnsi="宋体" w:cs="宋体"/>
              </w:rPr>
            </w:pPr>
            <w:r>
              <w:rPr>
                <w:rFonts w:hint="eastAsia" w:ascii="宋体" w:hAnsi="宋体" w:cs="宋体"/>
              </w:rPr>
              <w:t>地表水环境</w:t>
            </w:r>
          </w:p>
        </w:tc>
        <w:tc>
          <w:tcPr>
            <w:tcW w:w="1877" w:type="dxa"/>
            <w:vAlign w:val="center"/>
          </w:tcPr>
          <w:p w14:paraId="50BAABEF">
            <w:pPr>
              <w:adjustRightInd w:val="0"/>
              <w:snapToGrid w:val="0"/>
              <w:jc w:val="center"/>
              <w:rPr>
                <w:rFonts w:ascii="宋体" w:hAnsi="宋体" w:cs="宋体"/>
              </w:rPr>
            </w:pPr>
            <w:r>
              <w:rPr>
                <w:rFonts w:hint="eastAsia" w:ascii="宋体" w:hAnsi="宋体" w:cs="宋体"/>
              </w:rPr>
              <w:t>一般排放口/生活污水</w:t>
            </w:r>
          </w:p>
        </w:tc>
        <w:tc>
          <w:tcPr>
            <w:tcW w:w="1498" w:type="dxa"/>
            <w:vAlign w:val="center"/>
          </w:tcPr>
          <w:p w14:paraId="366179CE">
            <w:pPr>
              <w:adjustRightInd w:val="0"/>
              <w:snapToGrid w:val="0"/>
              <w:jc w:val="center"/>
            </w:pPr>
            <w:r>
              <w:t>COD、pH、BOD</w:t>
            </w:r>
            <w:r>
              <w:rPr>
                <w:vertAlign w:val="subscript"/>
              </w:rPr>
              <w:t>5</w:t>
            </w:r>
            <w:r>
              <w:t>、SS、氨氮</w:t>
            </w:r>
          </w:p>
        </w:tc>
        <w:tc>
          <w:tcPr>
            <w:tcW w:w="2085" w:type="dxa"/>
            <w:vAlign w:val="center"/>
          </w:tcPr>
          <w:p w14:paraId="05B9B512">
            <w:pPr>
              <w:adjustRightInd w:val="0"/>
              <w:snapToGrid w:val="0"/>
              <w:jc w:val="center"/>
              <w:rPr>
                <w:rFonts w:ascii="宋体" w:hAnsi="宋体" w:cs="宋体"/>
              </w:rPr>
            </w:pPr>
            <w:r>
              <w:t>化粪池预处理后排入</w:t>
            </w:r>
            <w:r>
              <w:rPr>
                <w:rFonts w:hint="eastAsia"/>
              </w:rPr>
              <w:t>汴北污水处理厂</w:t>
            </w:r>
          </w:p>
        </w:tc>
        <w:tc>
          <w:tcPr>
            <w:tcW w:w="1828" w:type="dxa"/>
            <w:vAlign w:val="center"/>
          </w:tcPr>
          <w:p w14:paraId="3952F321">
            <w:pPr>
              <w:adjustRightInd w:val="0"/>
              <w:snapToGrid w:val="0"/>
              <w:jc w:val="center"/>
              <w:rPr>
                <w:rFonts w:ascii="宋体" w:hAnsi="宋体" w:cs="宋体"/>
              </w:rPr>
            </w:pPr>
            <w:r>
              <w:rPr>
                <w:lang w:bidi="ar"/>
              </w:rPr>
              <w:t>《污水综合排放标准》（GB8978-1996）中的三级排放标准并满足污水处理厂接管要求</w:t>
            </w:r>
          </w:p>
        </w:tc>
      </w:tr>
      <w:tr w14:paraId="733623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2F060D11">
            <w:pPr>
              <w:adjustRightInd w:val="0"/>
              <w:snapToGrid w:val="0"/>
              <w:jc w:val="center"/>
              <w:rPr>
                <w:rFonts w:ascii="宋体" w:hAnsi="宋体" w:cs="宋体"/>
              </w:rPr>
            </w:pPr>
            <w:r>
              <w:rPr>
                <w:rFonts w:hint="eastAsia" w:ascii="宋体" w:hAnsi="宋体" w:cs="宋体"/>
              </w:rPr>
              <w:t>声环境</w:t>
            </w:r>
          </w:p>
        </w:tc>
        <w:tc>
          <w:tcPr>
            <w:tcW w:w="1877" w:type="dxa"/>
            <w:vAlign w:val="center"/>
          </w:tcPr>
          <w:p w14:paraId="3E501916">
            <w:pPr>
              <w:jc w:val="center"/>
              <w:outlineLvl w:val="0"/>
              <w:rPr>
                <w:rFonts w:ascii="宋体" w:hAnsi="宋体" w:cs="宋体"/>
              </w:rPr>
            </w:pPr>
            <w:r>
              <w:rPr>
                <w:rFonts w:hint="eastAsia"/>
              </w:rPr>
              <w:t>生产设备</w:t>
            </w:r>
          </w:p>
        </w:tc>
        <w:tc>
          <w:tcPr>
            <w:tcW w:w="1498" w:type="dxa"/>
            <w:vAlign w:val="center"/>
          </w:tcPr>
          <w:p w14:paraId="04CDE15D">
            <w:pPr>
              <w:jc w:val="center"/>
              <w:outlineLvl w:val="0"/>
              <w:rPr>
                <w:rFonts w:ascii="宋体" w:hAnsi="宋体" w:cs="宋体"/>
              </w:rPr>
            </w:pPr>
            <w:r>
              <w:rPr>
                <w:rFonts w:hint="eastAsia" w:ascii="宋体" w:hAnsi="宋体" w:cs="宋体"/>
              </w:rPr>
              <w:t>设备噪声</w:t>
            </w:r>
          </w:p>
        </w:tc>
        <w:tc>
          <w:tcPr>
            <w:tcW w:w="2085" w:type="dxa"/>
            <w:vAlign w:val="center"/>
          </w:tcPr>
          <w:p w14:paraId="395D3C3D">
            <w:pPr>
              <w:adjustRightInd w:val="0"/>
              <w:snapToGrid w:val="0"/>
              <w:jc w:val="center"/>
              <w:rPr>
                <w:rFonts w:ascii="宋体" w:hAnsi="宋体" w:cs="宋体"/>
              </w:rPr>
            </w:pPr>
            <w:r>
              <w:t>厂房隔声，使用低噪设备，合理安排工作时间等</w:t>
            </w:r>
          </w:p>
        </w:tc>
        <w:tc>
          <w:tcPr>
            <w:tcW w:w="1828" w:type="dxa"/>
            <w:vAlign w:val="center"/>
          </w:tcPr>
          <w:p w14:paraId="0A981876">
            <w:pPr>
              <w:adjustRightInd w:val="0"/>
              <w:snapToGrid w:val="0"/>
              <w:jc w:val="center"/>
              <w:rPr>
                <w:rFonts w:ascii="宋体" w:hAnsi="宋体" w:cs="宋体"/>
              </w:rPr>
            </w:pPr>
            <w:r>
              <w:rPr>
                <w:rFonts w:hint="eastAsia"/>
              </w:rPr>
              <w:t>《工业企业厂界环境噪声排放标准》（GB12348-2008）中的3类标准</w:t>
            </w:r>
          </w:p>
        </w:tc>
      </w:tr>
      <w:tr w14:paraId="5F8722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4FC266D7">
            <w:pPr>
              <w:adjustRightInd w:val="0"/>
              <w:snapToGrid w:val="0"/>
              <w:jc w:val="center"/>
              <w:rPr>
                <w:rFonts w:ascii="宋体" w:hAnsi="宋体" w:cs="宋体"/>
              </w:rPr>
            </w:pPr>
            <w:r>
              <w:rPr>
                <w:rFonts w:hint="eastAsia" w:ascii="宋体" w:hAnsi="宋体" w:cs="宋体"/>
              </w:rPr>
              <w:t>电磁辐射</w:t>
            </w:r>
          </w:p>
        </w:tc>
        <w:tc>
          <w:tcPr>
            <w:tcW w:w="7288" w:type="dxa"/>
            <w:gridSpan w:val="4"/>
            <w:vAlign w:val="center"/>
          </w:tcPr>
          <w:p w14:paraId="58F3A443">
            <w:pPr>
              <w:adjustRightInd w:val="0"/>
              <w:snapToGrid w:val="0"/>
              <w:jc w:val="center"/>
              <w:rPr>
                <w:rFonts w:ascii="宋体" w:hAnsi="宋体" w:cs="宋体"/>
              </w:rPr>
            </w:pPr>
            <w:r>
              <w:rPr>
                <w:rFonts w:hint="eastAsia" w:ascii="宋体" w:hAnsi="宋体" w:cs="宋体"/>
              </w:rPr>
              <w:t>无</w:t>
            </w:r>
          </w:p>
        </w:tc>
      </w:tr>
      <w:tr w14:paraId="476D1C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3D500C47">
            <w:pPr>
              <w:adjustRightInd w:val="0"/>
              <w:snapToGrid w:val="0"/>
              <w:jc w:val="center"/>
              <w:rPr>
                <w:rFonts w:ascii="宋体" w:hAnsi="宋体" w:cs="宋体"/>
              </w:rPr>
            </w:pPr>
            <w:r>
              <w:rPr>
                <w:rFonts w:hint="eastAsia" w:ascii="宋体" w:hAnsi="宋体" w:cs="宋体"/>
              </w:rPr>
              <w:t>固体废物</w:t>
            </w:r>
          </w:p>
        </w:tc>
        <w:tc>
          <w:tcPr>
            <w:tcW w:w="7288" w:type="dxa"/>
            <w:gridSpan w:val="4"/>
            <w:vAlign w:val="center"/>
          </w:tcPr>
          <w:p w14:paraId="7E3DD4C9">
            <w:pPr>
              <w:adjustRightInd w:val="0"/>
              <w:snapToGrid w:val="0"/>
              <w:rPr>
                <w:rFonts w:ascii="宋体" w:hAnsi="宋体" w:cs="宋体"/>
              </w:rPr>
            </w:pPr>
            <w:r>
              <w:t>项目产生的一般固废暂存在一般固废暂存间，分类收集；分类处置；一般工业固体废物暂存间建设满足《一般工业固体废物贮存和填埋场污染控制标准》（GB18599-2020）</w:t>
            </w:r>
          </w:p>
        </w:tc>
      </w:tr>
      <w:tr w14:paraId="5FBE6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40C8912A">
            <w:pPr>
              <w:adjustRightInd w:val="0"/>
              <w:snapToGrid w:val="0"/>
              <w:jc w:val="center"/>
              <w:rPr>
                <w:rFonts w:ascii="宋体" w:hAnsi="宋体" w:cs="宋体"/>
              </w:rPr>
            </w:pPr>
            <w:r>
              <w:rPr>
                <w:rFonts w:hint="eastAsia" w:ascii="宋体" w:hAnsi="宋体" w:cs="宋体"/>
              </w:rPr>
              <w:t>土壤及地下水</w:t>
            </w:r>
          </w:p>
          <w:p w14:paraId="71CFFF70">
            <w:pPr>
              <w:adjustRightInd w:val="0"/>
              <w:snapToGrid w:val="0"/>
              <w:jc w:val="center"/>
              <w:rPr>
                <w:rFonts w:ascii="宋体" w:hAnsi="宋体" w:cs="宋体"/>
              </w:rPr>
            </w:pPr>
            <w:r>
              <w:rPr>
                <w:rFonts w:hint="eastAsia" w:ascii="宋体" w:hAnsi="宋体" w:cs="宋体"/>
              </w:rPr>
              <w:t>污染防治措施</w:t>
            </w:r>
          </w:p>
        </w:tc>
        <w:tc>
          <w:tcPr>
            <w:tcW w:w="7288" w:type="dxa"/>
            <w:gridSpan w:val="4"/>
            <w:vAlign w:val="center"/>
          </w:tcPr>
          <w:p w14:paraId="2CC1B6A3">
            <w:r>
              <w:t>（1）生产车间</w:t>
            </w:r>
            <w:r>
              <w:rPr>
                <w:rFonts w:hint="eastAsia"/>
              </w:rPr>
              <w:t>等</w:t>
            </w:r>
            <w:r>
              <w:t>一般防渗：防渗层为</w:t>
            </w:r>
            <w:r>
              <w:rPr>
                <w:rFonts w:hint="eastAsia"/>
              </w:rPr>
              <w:t>等效黏土防渗层Mb</w:t>
            </w:r>
            <w:r>
              <w:rPr>
                <w:rFonts w:ascii="Arial" w:hAnsi="Arial" w:cs="Arial"/>
              </w:rPr>
              <w:t>≥</w:t>
            </w:r>
            <w:r>
              <w:rPr>
                <w:rFonts w:hint="eastAsia"/>
              </w:rPr>
              <w:t>1.5m，K</w:t>
            </w:r>
            <w:r>
              <w:rPr>
                <w:rFonts w:hint="eastAsia" w:ascii="微软雅黑" w:hAnsi="微软雅黑" w:eastAsia="微软雅黑" w:cs="微软雅黑"/>
              </w:rPr>
              <w:t>≤</w:t>
            </w:r>
            <w:r>
              <w:rPr>
                <w:rFonts w:hint="eastAsia"/>
              </w:rPr>
              <w:t>1.0</w:t>
            </w:r>
            <w:r>
              <w:rPr>
                <w:rFonts w:ascii="Arial" w:hAnsi="Arial" w:cs="Arial"/>
              </w:rPr>
              <w:t>×</w:t>
            </w:r>
            <w:r>
              <w:rPr>
                <w:rFonts w:hint="eastAsia"/>
              </w:rPr>
              <w:t>10</w:t>
            </w:r>
            <w:r>
              <w:rPr>
                <w:rFonts w:hint="eastAsia"/>
                <w:vertAlign w:val="superscript"/>
              </w:rPr>
              <w:t>-7</w:t>
            </w:r>
            <w:r>
              <w:rPr>
                <w:rFonts w:hint="eastAsia"/>
              </w:rPr>
              <w:t>cm/s，具体操作为：15cm抗渗混凝土</w:t>
            </w:r>
          </w:p>
          <w:p w14:paraId="01D492C8">
            <w:pPr>
              <w:adjustRightInd w:val="0"/>
              <w:snapToGrid w:val="0"/>
            </w:pPr>
            <w:r>
              <w:t>（</w:t>
            </w:r>
            <w:r>
              <w:rPr>
                <w:rFonts w:hint="eastAsia"/>
                <w:lang w:val="en-US" w:eastAsia="zh-CN"/>
              </w:rPr>
              <w:t>2</w:t>
            </w:r>
            <w:r>
              <w:t>）办公区域简单防渗：一般地面硬化</w:t>
            </w:r>
          </w:p>
        </w:tc>
      </w:tr>
      <w:tr w14:paraId="51897A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7AA0B2DB">
            <w:pPr>
              <w:adjustRightInd w:val="0"/>
              <w:snapToGrid w:val="0"/>
              <w:jc w:val="center"/>
              <w:rPr>
                <w:rFonts w:ascii="宋体" w:hAnsi="宋体" w:cs="宋体"/>
              </w:rPr>
            </w:pPr>
            <w:r>
              <w:rPr>
                <w:rFonts w:hint="eastAsia" w:ascii="宋体" w:hAnsi="宋体" w:cs="宋体"/>
              </w:rPr>
              <w:t>生态保护措施</w:t>
            </w:r>
          </w:p>
        </w:tc>
        <w:tc>
          <w:tcPr>
            <w:tcW w:w="7288" w:type="dxa"/>
            <w:gridSpan w:val="4"/>
            <w:vAlign w:val="center"/>
          </w:tcPr>
          <w:p w14:paraId="4EEA95F3">
            <w:pPr>
              <w:adjustRightInd w:val="0"/>
              <w:snapToGrid w:val="0"/>
              <w:jc w:val="center"/>
              <w:rPr>
                <w:rFonts w:ascii="宋体" w:hAnsi="宋体" w:cs="宋体"/>
              </w:rPr>
            </w:pPr>
            <w:r>
              <w:t>项目区域附近无自然保护区，人文景观和名胜古迹等环境敏感点，周围没有需要特殊保护的生态环境。项目建设不会对周围生态环境造成影响</w:t>
            </w:r>
          </w:p>
        </w:tc>
      </w:tr>
      <w:tr w14:paraId="1D3C3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1133C18F">
            <w:pPr>
              <w:adjustRightInd w:val="0"/>
              <w:snapToGrid w:val="0"/>
              <w:jc w:val="center"/>
              <w:rPr>
                <w:rFonts w:ascii="宋体" w:hAnsi="宋体" w:cs="宋体"/>
              </w:rPr>
            </w:pPr>
            <w:r>
              <w:rPr>
                <w:rFonts w:hint="eastAsia" w:ascii="宋体" w:hAnsi="宋体" w:cs="宋体"/>
              </w:rPr>
              <w:t>环境风险</w:t>
            </w:r>
          </w:p>
          <w:p w14:paraId="35BA321A">
            <w:pPr>
              <w:adjustRightInd w:val="0"/>
              <w:snapToGrid w:val="0"/>
              <w:jc w:val="center"/>
              <w:rPr>
                <w:rFonts w:ascii="宋体" w:hAnsi="宋体" w:cs="宋体"/>
              </w:rPr>
            </w:pPr>
            <w:r>
              <w:rPr>
                <w:rFonts w:hint="eastAsia" w:ascii="宋体" w:hAnsi="宋体" w:cs="宋体"/>
              </w:rPr>
              <w:t>防范措施</w:t>
            </w:r>
          </w:p>
        </w:tc>
        <w:tc>
          <w:tcPr>
            <w:tcW w:w="7288" w:type="dxa"/>
            <w:gridSpan w:val="4"/>
            <w:vAlign w:val="center"/>
          </w:tcPr>
          <w:p w14:paraId="50901412">
            <w:pPr>
              <w:jc w:val="center"/>
            </w:pPr>
            <w:r>
              <w:rPr>
                <w:rFonts w:hint="eastAsia"/>
                <w:color w:val="000000"/>
              </w:rPr>
              <w:t>原辅料按相关要求贮存，明确贮存注意事项并要求专人负责看管</w:t>
            </w:r>
            <w:r>
              <w:rPr>
                <w:color w:val="000000"/>
              </w:rPr>
              <w:t>。定期对生产设施、包装设施以及相应环保设施等进行安全状况检查，车间内配置相应的消防设备、设施、防毒、灭火物资等消防、安全设施；制定严格的运行操作规章制度，发生火灾、爆炸事故后，灭火的同时疏散周边无关人员</w:t>
            </w:r>
          </w:p>
        </w:tc>
      </w:tr>
      <w:tr w14:paraId="12CDB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72" w:type="dxa"/>
            <w:vAlign w:val="center"/>
          </w:tcPr>
          <w:p w14:paraId="4ED09A70">
            <w:pPr>
              <w:adjustRightInd w:val="0"/>
              <w:snapToGrid w:val="0"/>
              <w:jc w:val="center"/>
              <w:rPr>
                <w:rFonts w:ascii="宋体" w:hAnsi="宋体" w:cs="宋体"/>
              </w:rPr>
            </w:pPr>
            <w:r>
              <w:rPr>
                <w:rFonts w:hint="eastAsia" w:ascii="宋体" w:hAnsi="宋体" w:cs="宋体"/>
              </w:rPr>
              <w:t>其他环境</w:t>
            </w:r>
          </w:p>
          <w:p w14:paraId="00A42DD8">
            <w:pPr>
              <w:adjustRightInd w:val="0"/>
              <w:snapToGrid w:val="0"/>
              <w:jc w:val="center"/>
              <w:rPr>
                <w:rFonts w:ascii="宋体" w:hAnsi="宋体" w:cs="宋体"/>
              </w:rPr>
            </w:pPr>
            <w:r>
              <w:rPr>
                <w:rFonts w:hint="eastAsia" w:ascii="宋体" w:hAnsi="宋体" w:cs="宋体"/>
              </w:rPr>
              <w:t>管理要求</w:t>
            </w:r>
          </w:p>
        </w:tc>
        <w:tc>
          <w:tcPr>
            <w:tcW w:w="7288" w:type="dxa"/>
            <w:gridSpan w:val="4"/>
            <w:vAlign w:val="center"/>
          </w:tcPr>
          <w:p w14:paraId="45C7C1D9">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pPr>
            <w:r>
              <w:t>1、坚持</w:t>
            </w:r>
            <w:r>
              <w:rPr>
                <w:rFonts w:hint="eastAsia"/>
              </w:rPr>
              <w:t>“</w:t>
            </w:r>
            <w:r>
              <w:t>三同时</w:t>
            </w:r>
            <w:r>
              <w:rPr>
                <w:rFonts w:hint="eastAsia"/>
              </w:rPr>
              <w:t>”</w:t>
            </w:r>
            <w:r>
              <w:t>原则，保障环保设施的设计、施工、运行与主体工程同时进行；</w:t>
            </w:r>
          </w:p>
          <w:p w14:paraId="1C1059D8">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pPr>
            <w:r>
              <w:t>2、排污口规范化设置；</w:t>
            </w:r>
          </w:p>
          <w:p w14:paraId="066C6764">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pPr>
            <w:r>
              <w:t>3、按照监测计划按时进行监测；</w:t>
            </w:r>
          </w:p>
          <w:p w14:paraId="5EE1EAED">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ascii="宋体" w:hAnsi="宋体" w:cs="宋体"/>
              </w:rPr>
            </w:pPr>
            <w:r>
              <w:t>4、按照《排污许可管理条例》完成排污许可申请。</w:t>
            </w:r>
          </w:p>
        </w:tc>
      </w:tr>
    </w:tbl>
    <w:p w14:paraId="7B945304">
      <w:pPr>
        <w:pStyle w:val="25"/>
        <w:jc w:val="center"/>
        <w:outlineLvl w:val="0"/>
        <w:rPr>
          <w:rFonts w:ascii="黑体" w:hAnsi="黑体" w:eastAsia="黑体"/>
          <w:snapToGrid w:val="0"/>
          <w:sz w:val="30"/>
          <w:szCs w:val="30"/>
        </w:rPr>
      </w:pPr>
      <w:r>
        <w:rPr>
          <w:rFonts w:hint="eastAsia" w:ascii="黑体" w:hAnsi="黑体" w:eastAsia="黑体"/>
          <w:snapToGrid w:val="0"/>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4FDF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3578CA26">
            <w:pPr>
              <w:adjustRightInd w:val="0"/>
              <w:snapToGrid w:val="0"/>
              <w:spacing w:before="120" w:beforeLines="50" w:line="360" w:lineRule="auto"/>
              <w:ind w:firstLine="480" w:firstLineChars="200"/>
              <w:jc w:val="left"/>
            </w:pPr>
            <w:r>
              <w:rPr>
                <w:rFonts w:hint="eastAsia"/>
              </w:rPr>
              <w:t>本项目的建设符合国家和地方产业政策要求，项目选址符合当地规划要求。项目运行期产生的污染物在采取了本报告表提出的防治措施并严格落实后，可保证污染物稳定达标排放。因此，从环境保护的角度分析，本项目的建设是可行的。</w:t>
            </w:r>
          </w:p>
          <w:p w14:paraId="244B421F">
            <w:pPr>
              <w:adjustRightInd w:val="0"/>
              <w:snapToGrid w:val="0"/>
              <w:spacing w:before="120" w:beforeLines="50" w:line="360" w:lineRule="auto"/>
              <w:ind w:firstLine="480" w:firstLineChars="200"/>
              <w:jc w:val="left"/>
            </w:pPr>
          </w:p>
          <w:p w14:paraId="3AE748F2">
            <w:pPr>
              <w:adjustRightInd w:val="0"/>
              <w:snapToGrid w:val="0"/>
              <w:spacing w:before="120" w:beforeLines="50" w:line="360" w:lineRule="auto"/>
              <w:ind w:firstLine="480" w:firstLineChars="200"/>
              <w:jc w:val="left"/>
            </w:pPr>
          </w:p>
          <w:p w14:paraId="776306E7">
            <w:pPr>
              <w:adjustRightInd w:val="0"/>
              <w:snapToGrid w:val="0"/>
              <w:spacing w:before="120" w:beforeLines="50" w:line="360" w:lineRule="auto"/>
              <w:ind w:firstLine="480" w:firstLineChars="200"/>
              <w:jc w:val="left"/>
            </w:pPr>
          </w:p>
          <w:p w14:paraId="1876651B">
            <w:pPr>
              <w:adjustRightInd w:val="0"/>
              <w:snapToGrid w:val="0"/>
              <w:spacing w:before="120" w:beforeLines="50" w:line="360" w:lineRule="auto"/>
              <w:ind w:firstLine="480" w:firstLineChars="200"/>
              <w:jc w:val="left"/>
            </w:pPr>
          </w:p>
          <w:p w14:paraId="3B3C0EF8">
            <w:pPr>
              <w:adjustRightInd w:val="0"/>
              <w:snapToGrid w:val="0"/>
              <w:spacing w:before="120" w:beforeLines="50" w:line="360" w:lineRule="auto"/>
              <w:ind w:firstLine="480" w:firstLineChars="200"/>
              <w:jc w:val="left"/>
            </w:pPr>
          </w:p>
          <w:p w14:paraId="3A3BBA45">
            <w:pPr>
              <w:adjustRightInd w:val="0"/>
              <w:snapToGrid w:val="0"/>
              <w:spacing w:before="120" w:beforeLines="50" w:line="360" w:lineRule="auto"/>
              <w:ind w:firstLine="480" w:firstLineChars="200"/>
              <w:jc w:val="left"/>
            </w:pPr>
          </w:p>
          <w:p w14:paraId="517F9338">
            <w:pPr>
              <w:adjustRightInd w:val="0"/>
              <w:snapToGrid w:val="0"/>
              <w:spacing w:before="120" w:beforeLines="50" w:line="360" w:lineRule="auto"/>
              <w:ind w:firstLine="480" w:firstLineChars="200"/>
              <w:jc w:val="left"/>
            </w:pPr>
          </w:p>
          <w:p w14:paraId="0C87242C">
            <w:pPr>
              <w:adjustRightInd w:val="0"/>
              <w:snapToGrid w:val="0"/>
              <w:spacing w:before="120" w:beforeLines="50" w:line="360" w:lineRule="auto"/>
              <w:ind w:firstLine="480" w:firstLineChars="200"/>
              <w:jc w:val="left"/>
            </w:pPr>
          </w:p>
          <w:p w14:paraId="491A1B76">
            <w:pPr>
              <w:adjustRightInd w:val="0"/>
              <w:snapToGrid w:val="0"/>
              <w:spacing w:before="120" w:beforeLines="50" w:line="360" w:lineRule="auto"/>
              <w:ind w:firstLine="480" w:firstLineChars="200"/>
              <w:jc w:val="left"/>
            </w:pPr>
          </w:p>
          <w:p w14:paraId="0D879300">
            <w:pPr>
              <w:adjustRightInd w:val="0"/>
              <w:snapToGrid w:val="0"/>
              <w:spacing w:before="120" w:beforeLines="50" w:line="360" w:lineRule="auto"/>
              <w:ind w:firstLine="480" w:firstLineChars="200"/>
              <w:jc w:val="left"/>
            </w:pPr>
          </w:p>
          <w:p w14:paraId="4362B2BD">
            <w:pPr>
              <w:adjustRightInd w:val="0"/>
              <w:snapToGrid w:val="0"/>
              <w:spacing w:before="120" w:beforeLines="50" w:line="360" w:lineRule="auto"/>
              <w:ind w:firstLine="480" w:firstLineChars="200"/>
              <w:jc w:val="left"/>
            </w:pPr>
          </w:p>
          <w:p w14:paraId="279833ED">
            <w:pPr>
              <w:adjustRightInd w:val="0"/>
              <w:snapToGrid w:val="0"/>
              <w:spacing w:before="120" w:beforeLines="50" w:line="360" w:lineRule="auto"/>
              <w:ind w:firstLine="480" w:firstLineChars="200"/>
              <w:jc w:val="left"/>
            </w:pPr>
          </w:p>
          <w:p w14:paraId="30778898">
            <w:pPr>
              <w:adjustRightInd w:val="0"/>
              <w:snapToGrid w:val="0"/>
              <w:spacing w:before="120" w:beforeLines="50" w:line="360" w:lineRule="auto"/>
              <w:ind w:firstLine="480" w:firstLineChars="200"/>
              <w:jc w:val="left"/>
            </w:pPr>
          </w:p>
          <w:p w14:paraId="6FEC465C">
            <w:pPr>
              <w:adjustRightInd w:val="0"/>
              <w:snapToGrid w:val="0"/>
              <w:spacing w:before="120" w:beforeLines="50" w:line="360" w:lineRule="auto"/>
              <w:ind w:firstLine="480" w:firstLineChars="200"/>
              <w:jc w:val="left"/>
            </w:pPr>
          </w:p>
          <w:p w14:paraId="0A3820D6">
            <w:pPr>
              <w:adjustRightInd w:val="0"/>
              <w:snapToGrid w:val="0"/>
              <w:spacing w:before="120" w:beforeLines="50" w:line="360" w:lineRule="auto"/>
              <w:ind w:firstLine="480" w:firstLineChars="200"/>
              <w:jc w:val="left"/>
            </w:pPr>
          </w:p>
          <w:p w14:paraId="49F6BED9">
            <w:pPr>
              <w:adjustRightInd w:val="0"/>
              <w:snapToGrid w:val="0"/>
              <w:spacing w:before="120" w:beforeLines="50" w:line="360" w:lineRule="auto"/>
              <w:ind w:firstLine="480" w:firstLineChars="200"/>
              <w:jc w:val="left"/>
            </w:pPr>
          </w:p>
          <w:p w14:paraId="794A0A7A">
            <w:pPr>
              <w:adjustRightInd w:val="0"/>
              <w:snapToGrid w:val="0"/>
              <w:spacing w:before="120" w:beforeLines="50" w:line="360" w:lineRule="auto"/>
              <w:ind w:firstLine="480" w:firstLineChars="200"/>
              <w:jc w:val="left"/>
            </w:pPr>
          </w:p>
          <w:p w14:paraId="570E9CAC">
            <w:pPr>
              <w:adjustRightInd w:val="0"/>
              <w:snapToGrid w:val="0"/>
              <w:spacing w:before="120" w:beforeLines="50" w:line="360" w:lineRule="auto"/>
              <w:ind w:firstLine="480" w:firstLineChars="200"/>
              <w:jc w:val="left"/>
            </w:pPr>
          </w:p>
          <w:p w14:paraId="54A183F0">
            <w:pPr>
              <w:adjustRightInd w:val="0"/>
              <w:snapToGrid w:val="0"/>
              <w:spacing w:before="120" w:beforeLines="50" w:line="360" w:lineRule="auto"/>
              <w:jc w:val="left"/>
            </w:pPr>
          </w:p>
        </w:tc>
      </w:tr>
    </w:tbl>
    <w:p w14:paraId="057E2F6A">
      <w:pPr>
        <w:rPr>
          <w:rFonts w:ascii="宋体"/>
        </w:rPr>
        <w:sectPr>
          <w:pgSz w:w="11906" w:h="16838"/>
          <w:pgMar w:top="1701" w:right="1531" w:bottom="1701" w:left="1531" w:header="851" w:footer="851" w:gutter="0"/>
          <w:cols w:space="720" w:num="1"/>
          <w:docGrid w:linePitch="312" w:charSpace="0"/>
        </w:sectPr>
      </w:pPr>
    </w:p>
    <w:p w14:paraId="0E4B8846">
      <w:pPr>
        <w:pStyle w:val="25"/>
        <w:adjustRightInd w:val="0"/>
        <w:snapToGrid w:val="0"/>
        <w:spacing w:before="0" w:beforeAutospacing="0" w:after="0" w:afterAutospacing="0" w:line="648" w:lineRule="auto"/>
        <w:rPr>
          <w:rFonts w:ascii="黑体" w:hAnsi="黑体" w:eastAsia="黑体"/>
          <w:snapToGrid w:val="0"/>
          <w:sz w:val="32"/>
          <w:szCs w:val="32"/>
        </w:rPr>
      </w:pPr>
      <w:r>
        <w:rPr>
          <w:rFonts w:hint="eastAsia" w:ascii="黑体" w:hAnsi="黑体" w:eastAsia="黑体"/>
          <w:snapToGrid w:val="0"/>
          <w:sz w:val="32"/>
          <w:szCs w:val="32"/>
        </w:rPr>
        <w:t>附表</w:t>
      </w:r>
    </w:p>
    <w:p w14:paraId="6BE8D373">
      <w:pPr>
        <w:pStyle w:val="25"/>
        <w:adjustRightInd w:val="0"/>
        <w:snapToGrid w:val="0"/>
        <w:spacing w:before="0" w:beforeAutospacing="0" w:after="0" w:afterAutospacing="0"/>
        <w:jc w:val="center"/>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1506"/>
        <w:gridCol w:w="1664"/>
        <w:gridCol w:w="1250"/>
        <w:gridCol w:w="1664"/>
        <w:gridCol w:w="1525"/>
        <w:gridCol w:w="1578"/>
        <w:gridCol w:w="1629"/>
        <w:gridCol w:w="1242"/>
      </w:tblGrid>
      <w:tr w14:paraId="58FFD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tcBorders>
              <w:tl2br w:val="single" w:color="auto" w:sz="4" w:space="0"/>
            </w:tcBorders>
            <w:tcMar>
              <w:left w:w="28" w:type="dxa"/>
              <w:right w:w="28" w:type="dxa"/>
            </w:tcMar>
            <w:vAlign w:val="center"/>
          </w:tcPr>
          <w:p w14:paraId="5F073651">
            <w:pPr>
              <w:pStyle w:val="56"/>
              <w:keepNext w:val="0"/>
              <w:keepLines w:val="0"/>
              <w:pageBreakBefore w:val="0"/>
              <w:kinsoku/>
              <w:wordWrap/>
              <w:overflowPunct/>
              <w:topLinePunct w:val="0"/>
              <w:autoSpaceDE/>
              <w:autoSpaceDN/>
              <w:bidi w:val="0"/>
              <w:spacing w:beforeLines="0" w:afterLines="0" w:line="240" w:lineRule="auto"/>
              <w:ind w:left="887" w:leftChars="287" w:hanging="198" w:hangingChars="100"/>
              <w:jc w:val="both"/>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项目</w:t>
            </w:r>
          </w:p>
          <w:p w14:paraId="4A78D305">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spacing w:val="-6"/>
                <w:kern w:val="21"/>
                <w:sz w:val="21"/>
                <w:szCs w:val="21"/>
              </w:rPr>
            </w:pPr>
          </w:p>
          <w:p w14:paraId="7BBF30B7">
            <w:pPr>
              <w:pStyle w:val="56"/>
              <w:keepNext w:val="0"/>
              <w:keepLines w:val="0"/>
              <w:pageBreakBefore w:val="0"/>
              <w:kinsoku/>
              <w:wordWrap/>
              <w:overflowPunct/>
              <w:topLinePunct w:val="0"/>
              <w:autoSpaceDE/>
              <w:autoSpaceDN/>
              <w:bidi w:val="0"/>
              <w:spacing w:beforeLines="0" w:afterLines="0" w:line="240" w:lineRule="auto"/>
              <w:ind w:left="0" w:leftChars="0" w:firstLine="198" w:firstLineChars="100"/>
              <w:jc w:val="both"/>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分类</w:t>
            </w:r>
          </w:p>
        </w:tc>
        <w:tc>
          <w:tcPr>
            <w:tcW w:w="1506" w:type="dxa"/>
            <w:tcMar>
              <w:left w:w="28" w:type="dxa"/>
              <w:right w:w="28" w:type="dxa"/>
            </w:tcMar>
            <w:vAlign w:val="center"/>
          </w:tcPr>
          <w:p w14:paraId="4427268E">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污染物名称</w:t>
            </w:r>
          </w:p>
        </w:tc>
        <w:tc>
          <w:tcPr>
            <w:tcW w:w="1664" w:type="dxa"/>
            <w:tcMar>
              <w:left w:w="28" w:type="dxa"/>
              <w:right w:w="28" w:type="dxa"/>
            </w:tcMar>
            <w:vAlign w:val="center"/>
          </w:tcPr>
          <w:p w14:paraId="2E40D6B2">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现有工程排放量（固体废物产生量）</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1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kern w:val="2"/>
                <w:sz w:val="21"/>
                <w:szCs w:val="21"/>
              </w:rPr>
              <w:t>①</w:t>
            </w:r>
            <w:r>
              <w:rPr>
                <w:rFonts w:hint="default" w:ascii="Times New Roman" w:hAnsi="Times New Roman" w:eastAsia="宋体" w:cs="Times New Roman"/>
                <w:snapToGrid w:val="0"/>
                <w:spacing w:val="-6"/>
                <w:kern w:val="21"/>
                <w:sz w:val="21"/>
                <w:szCs w:val="21"/>
              </w:rPr>
              <w:fldChar w:fldCharType="end"/>
            </w:r>
          </w:p>
        </w:tc>
        <w:tc>
          <w:tcPr>
            <w:tcW w:w="1250" w:type="dxa"/>
            <w:tcMar>
              <w:left w:w="28" w:type="dxa"/>
              <w:right w:w="28" w:type="dxa"/>
            </w:tcMar>
            <w:vAlign w:val="center"/>
          </w:tcPr>
          <w:p w14:paraId="441AF9E8">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现有工程许可排放量</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2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snapToGrid w:val="0"/>
                <w:spacing w:val="-6"/>
                <w:kern w:val="21"/>
                <w:sz w:val="21"/>
                <w:szCs w:val="21"/>
              </w:rPr>
              <w:t>②</w:t>
            </w:r>
            <w:r>
              <w:rPr>
                <w:rFonts w:hint="default" w:ascii="Times New Roman" w:hAnsi="Times New Roman" w:eastAsia="宋体" w:cs="Times New Roman"/>
                <w:snapToGrid w:val="0"/>
                <w:spacing w:val="-6"/>
                <w:kern w:val="21"/>
                <w:sz w:val="21"/>
                <w:szCs w:val="21"/>
              </w:rPr>
              <w:fldChar w:fldCharType="end"/>
            </w:r>
          </w:p>
        </w:tc>
        <w:tc>
          <w:tcPr>
            <w:tcW w:w="1664" w:type="dxa"/>
            <w:tcMar>
              <w:left w:w="28" w:type="dxa"/>
              <w:right w:w="28" w:type="dxa"/>
            </w:tcMar>
            <w:vAlign w:val="center"/>
          </w:tcPr>
          <w:p w14:paraId="04254331">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在建工程排放量（固体废物产生量）</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3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kern w:val="2"/>
                <w:sz w:val="21"/>
                <w:szCs w:val="21"/>
              </w:rPr>
              <w:t>③</w:t>
            </w:r>
            <w:r>
              <w:rPr>
                <w:rFonts w:hint="default" w:ascii="Times New Roman" w:hAnsi="Times New Roman" w:eastAsia="宋体" w:cs="Times New Roman"/>
                <w:snapToGrid w:val="0"/>
                <w:spacing w:val="-6"/>
                <w:kern w:val="21"/>
                <w:sz w:val="21"/>
                <w:szCs w:val="21"/>
              </w:rPr>
              <w:fldChar w:fldCharType="end"/>
            </w:r>
          </w:p>
        </w:tc>
        <w:tc>
          <w:tcPr>
            <w:tcW w:w="1525" w:type="dxa"/>
            <w:tcMar>
              <w:left w:w="28" w:type="dxa"/>
              <w:right w:w="28" w:type="dxa"/>
            </w:tcMar>
            <w:vAlign w:val="center"/>
          </w:tcPr>
          <w:p w14:paraId="0D6D8F16">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本项目排放量（固体废物产生量）</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4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kern w:val="2"/>
                <w:sz w:val="21"/>
                <w:szCs w:val="21"/>
              </w:rPr>
              <w:t>④</w:t>
            </w:r>
            <w:r>
              <w:rPr>
                <w:rFonts w:hint="default" w:ascii="Times New Roman" w:hAnsi="Times New Roman" w:eastAsia="宋体" w:cs="Times New Roman"/>
                <w:snapToGrid w:val="0"/>
                <w:spacing w:val="-6"/>
                <w:kern w:val="21"/>
                <w:sz w:val="21"/>
                <w:szCs w:val="21"/>
              </w:rPr>
              <w:fldChar w:fldCharType="end"/>
            </w:r>
          </w:p>
        </w:tc>
        <w:tc>
          <w:tcPr>
            <w:tcW w:w="1578" w:type="dxa"/>
            <w:tcMar>
              <w:left w:w="28" w:type="dxa"/>
              <w:right w:w="28" w:type="dxa"/>
            </w:tcMar>
            <w:vAlign w:val="center"/>
          </w:tcPr>
          <w:p w14:paraId="49000AFD">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16"/>
                <w:kern w:val="21"/>
                <w:sz w:val="21"/>
                <w:szCs w:val="21"/>
              </w:rPr>
            </w:pPr>
            <w:r>
              <w:rPr>
                <w:rFonts w:hint="default" w:ascii="Times New Roman" w:hAnsi="Times New Roman" w:eastAsia="宋体" w:cs="Times New Roman"/>
                <w:snapToGrid w:val="0"/>
                <w:spacing w:val="-16"/>
                <w:kern w:val="21"/>
                <w:sz w:val="21"/>
                <w:szCs w:val="21"/>
              </w:rPr>
              <w:t>以新带老削减量（新建项目不填）</w:t>
            </w:r>
            <w:r>
              <w:rPr>
                <w:rFonts w:hint="default" w:ascii="Times New Roman" w:hAnsi="Times New Roman" w:eastAsia="宋体" w:cs="Times New Roman"/>
                <w:snapToGrid w:val="0"/>
                <w:spacing w:val="-16"/>
                <w:kern w:val="21"/>
                <w:sz w:val="21"/>
                <w:szCs w:val="21"/>
              </w:rPr>
              <w:fldChar w:fldCharType="begin"/>
            </w:r>
            <w:r>
              <w:rPr>
                <w:rFonts w:hint="default" w:ascii="Times New Roman" w:hAnsi="Times New Roman" w:eastAsia="宋体" w:cs="Times New Roman"/>
                <w:snapToGrid w:val="0"/>
                <w:spacing w:val="-16"/>
                <w:kern w:val="21"/>
                <w:sz w:val="21"/>
                <w:szCs w:val="21"/>
              </w:rPr>
              <w:instrText xml:space="preserve"> = 5 \* GB3 \* MERGEFORMAT </w:instrText>
            </w:r>
            <w:r>
              <w:rPr>
                <w:rFonts w:hint="default" w:ascii="Times New Roman" w:hAnsi="Times New Roman" w:eastAsia="宋体" w:cs="Times New Roman"/>
                <w:snapToGrid w:val="0"/>
                <w:spacing w:val="-16"/>
                <w:kern w:val="21"/>
                <w:sz w:val="21"/>
                <w:szCs w:val="21"/>
              </w:rPr>
              <w:fldChar w:fldCharType="separate"/>
            </w:r>
            <w:r>
              <w:rPr>
                <w:rFonts w:hint="default" w:ascii="Times New Roman" w:hAnsi="Times New Roman" w:eastAsia="宋体" w:cs="Times New Roman"/>
                <w:kern w:val="2"/>
                <w:sz w:val="21"/>
                <w:szCs w:val="21"/>
              </w:rPr>
              <w:t>⑤</w:t>
            </w:r>
            <w:r>
              <w:rPr>
                <w:rFonts w:hint="default" w:ascii="Times New Roman" w:hAnsi="Times New Roman" w:eastAsia="宋体" w:cs="Times New Roman"/>
                <w:snapToGrid w:val="0"/>
                <w:spacing w:val="-16"/>
                <w:kern w:val="21"/>
                <w:sz w:val="21"/>
                <w:szCs w:val="21"/>
              </w:rPr>
              <w:fldChar w:fldCharType="end"/>
            </w:r>
          </w:p>
        </w:tc>
        <w:tc>
          <w:tcPr>
            <w:tcW w:w="1629" w:type="dxa"/>
            <w:tcMar>
              <w:left w:w="28" w:type="dxa"/>
              <w:right w:w="28" w:type="dxa"/>
            </w:tcMar>
            <w:vAlign w:val="center"/>
          </w:tcPr>
          <w:p w14:paraId="333516C4">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16"/>
                <w:kern w:val="21"/>
                <w:sz w:val="21"/>
                <w:szCs w:val="21"/>
              </w:rPr>
            </w:pPr>
            <w:r>
              <w:rPr>
                <w:rFonts w:hint="default" w:ascii="Times New Roman" w:hAnsi="Times New Roman" w:eastAsia="宋体" w:cs="Times New Roman"/>
                <w:snapToGrid w:val="0"/>
                <w:spacing w:val="-16"/>
                <w:kern w:val="21"/>
                <w:sz w:val="21"/>
                <w:szCs w:val="21"/>
              </w:rPr>
              <w:t>本项目建成后全厂排放量（固体废物产生量）</w:t>
            </w:r>
            <w:r>
              <w:rPr>
                <w:rFonts w:hint="default" w:ascii="Times New Roman" w:hAnsi="Times New Roman" w:eastAsia="宋体" w:cs="Times New Roman"/>
                <w:snapToGrid w:val="0"/>
                <w:spacing w:val="-16"/>
                <w:kern w:val="21"/>
                <w:sz w:val="21"/>
                <w:szCs w:val="21"/>
              </w:rPr>
              <w:fldChar w:fldCharType="begin"/>
            </w:r>
            <w:r>
              <w:rPr>
                <w:rFonts w:hint="default" w:ascii="Times New Roman" w:hAnsi="Times New Roman" w:eastAsia="宋体" w:cs="Times New Roman"/>
                <w:snapToGrid w:val="0"/>
                <w:spacing w:val="-16"/>
                <w:kern w:val="21"/>
                <w:sz w:val="21"/>
                <w:szCs w:val="21"/>
              </w:rPr>
              <w:instrText xml:space="preserve"> = 6 \* GB3 \* MERGEFORMAT </w:instrText>
            </w:r>
            <w:r>
              <w:rPr>
                <w:rFonts w:hint="default" w:ascii="Times New Roman" w:hAnsi="Times New Roman" w:eastAsia="宋体" w:cs="Times New Roman"/>
                <w:snapToGrid w:val="0"/>
                <w:spacing w:val="-16"/>
                <w:kern w:val="21"/>
                <w:sz w:val="21"/>
                <w:szCs w:val="21"/>
              </w:rPr>
              <w:fldChar w:fldCharType="separate"/>
            </w:r>
            <w:r>
              <w:rPr>
                <w:rFonts w:hint="default" w:ascii="Times New Roman" w:hAnsi="Times New Roman" w:eastAsia="宋体" w:cs="Times New Roman"/>
                <w:kern w:val="2"/>
                <w:sz w:val="21"/>
                <w:szCs w:val="21"/>
              </w:rPr>
              <w:t>⑥</w:t>
            </w:r>
            <w:r>
              <w:rPr>
                <w:rFonts w:hint="default" w:ascii="Times New Roman" w:hAnsi="Times New Roman" w:eastAsia="宋体" w:cs="Times New Roman"/>
                <w:snapToGrid w:val="0"/>
                <w:spacing w:val="-16"/>
                <w:kern w:val="21"/>
                <w:sz w:val="21"/>
                <w:szCs w:val="21"/>
              </w:rPr>
              <w:fldChar w:fldCharType="end"/>
            </w:r>
          </w:p>
        </w:tc>
        <w:tc>
          <w:tcPr>
            <w:tcW w:w="1242" w:type="dxa"/>
            <w:tcMar>
              <w:left w:w="28" w:type="dxa"/>
              <w:right w:w="28" w:type="dxa"/>
            </w:tcMar>
            <w:vAlign w:val="center"/>
          </w:tcPr>
          <w:p w14:paraId="51338A26">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spacing w:val="-6"/>
                <w:kern w:val="21"/>
                <w:sz w:val="21"/>
                <w:szCs w:val="21"/>
              </w:rPr>
            </w:pPr>
            <w:r>
              <w:rPr>
                <w:rFonts w:hint="default" w:ascii="Times New Roman" w:hAnsi="Times New Roman" w:eastAsia="宋体" w:cs="Times New Roman"/>
                <w:snapToGrid w:val="0"/>
                <w:spacing w:val="-6"/>
                <w:kern w:val="21"/>
                <w:sz w:val="21"/>
                <w:szCs w:val="21"/>
              </w:rPr>
              <w:t>变化量</w:t>
            </w:r>
            <w:r>
              <w:rPr>
                <w:rFonts w:hint="default" w:ascii="Times New Roman" w:hAnsi="Times New Roman" w:eastAsia="宋体" w:cs="Times New Roman"/>
                <w:snapToGrid w:val="0"/>
                <w:spacing w:val="-6"/>
                <w:kern w:val="21"/>
                <w:sz w:val="21"/>
                <w:szCs w:val="21"/>
              </w:rPr>
              <w:fldChar w:fldCharType="begin"/>
            </w:r>
            <w:r>
              <w:rPr>
                <w:rFonts w:hint="default" w:ascii="Times New Roman" w:hAnsi="Times New Roman" w:eastAsia="宋体" w:cs="Times New Roman"/>
                <w:snapToGrid w:val="0"/>
                <w:spacing w:val="-6"/>
                <w:kern w:val="21"/>
                <w:sz w:val="21"/>
                <w:szCs w:val="21"/>
              </w:rPr>
              <w:instrText xml:space="preserve"> = 7 \* GB3 \* MERGEFORMAT </w:instrText>
            </w:r>
            <w:r>
              <w:rPr>
                <w:rFonts w:hint="default" w:ascii="Times New Roman" w:hAnsi="Times New Roman" w:eastAsia="宋体" w:cs="Times New Roman"/>
                <w:snapToGrid w:val="0"/>
                <w:spacing w:val="-6"/>
                <w:kern w:val="21"/>
                <w:sz w:val="21"/>
                <w:szCs w:val="21"/>
              </w:rPr>
              <w:fldChar w:fldCharType="separate"/>
            </w:r>
            <w:r>
              <w:rPr>
                <w:rFonts w:hint="default" w:ascii="Times New Roman" w:hAnsi="Times New Roman" w:eastAsia="宋体" w:cs="Times New Roman"/>
                <w:kern w:val="2"/>
                <w:sz w:val="21"/>
                <w:szCs w:val="21"/>
              </w:rPr>
              <w:t>⑦</w:t>
            </w:r>
            <w:r>
              <w:rPr>
                <w:rFonts w:hint="default" w:ascii="Times New Roman" w:hAnsi="Times New Roman" w:eastAsia="宋体" w:cs="Times New Roman"/>
                <w:snapToGrid w:val="0"/>
                <w:spacing w:val="-6"/>
                <w:kern w:val="21"/>
                <w:sz w:val="21"/>
                <w:szCs w:val="21"/>
              </w:rPr>
              <w:fldChar w:fldCharType="end"/>
            </w:r>
          </w:p>
        </w:tc>
      </w:tr>
      <w:tr w14:paraId="6A5450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restart"/>
            <w:vAlign w:val="center"/>
          </w:tcPr>
          <w:p w14:paraId="1E72E8E6">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废气</w:t>
            </w:r>
          </w:p>
        </w:tc>
        <w:tc>
          <w:tcPr>
            <w:tcW w:w="1506" w:type="dxa"/>
            <w:vAlign w:val="center"/>
          </w:tcPr>
          <w:p w14:paraId="6B1EF77E">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颗粒物</w:t>
            </w:r>
          </w:p>
        </w:tc>
        <w:tc>
          <w:tcPr>
            <w:tcW w:w="1664" w:type="dxa"/>
            <w:vAlign w:val="center"/>
          </w:tcPr>
          <w:p w14:paraId="39F1CEDF">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379D4007">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0A28159C">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7835296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78" w:type="dxa"/>
            <w:vAlign w:val="center"/>
          </w:tcPr>
          <w:p w14:paraId="6EE6E249">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0F57E45E">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42" w:type="dxa"/>
            <w:vAlign w:val="center"/>
          </w:tcPr>
          <w:p w14:paraId="1C031A15">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r>
      <w:tr w14:paraId="5A30B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continue"/>
            <w:vAlign w:val="center"/>
          </w:tcPr>
          <w:p w14:paraId="4B3EAEDE">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p>
        </w:tc>
        <w:tc>
          <w:tcPr>
            <w:tcW w:w="1506" w:type="dxa"/>
            <w:vAlign w:val="center"/>
          </w:tcPr>
          <w:p w14:paraId="6C32A8A0">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非甲烷总烃</w:t>
            </w:r>
          </w:p>
        </w:tc>
        <w:tc>
          <w:tcPr>
            <w:tcW w:w="1664" w:type="dxa"/>
            <w:vAlign w:val="center"/>
          </w:tcPr>
          <w:p w14:paraId="38F80385">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51056EE1">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28602E3E">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6D580D36">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78" w:type="dxa"/>
            <w:vAlign w:val="center"/>
          </w:tcPr>
          <w:p w14:paraId="2AEF6184">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490ED880">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42" w:type="dxa"/>
            <w:vAlign w:val="center"/>
          </w:tcPr>
          <w:p w14:paraId="50A9A6C5">
            <w:pPr>
              <w:keepNext w:val="0"/>
              <w:keepLines w:val="0"/>
              <w:pageBreakBefore w:val="0"/>
              <w:kinsoku/>
              <w:wordWrap/>
              <w:overflowPunct/>
              <w:topLinePunct w:val="0"/>
              <w:autoSpaceDE/>
              <w:autoSpaceDN/>
              <w:bidi w:val="0"/>
              <w:jc w:val="center"/>
              <w:rPr>
                <w:rFonts w:hint="default" w:ascii="Times New Roman" w:hAnsi="Times New Roman" w:eastAsia="宋体" w:cs="Times New Roman"/>
                <w:b/>
                <w:bCs/>
                <w:snapToGrid w:val="0"/>
                <w:kern w:val="21"/>
                <w:sz w:val="21"/>
                <w:szCs w:val="21"/>
              </w:rPr>
            </w:pPr>
            <w:r>
              <w:rPr>
                <w:rFonts w:hint="default" w:ascii="Times New Roman" w:hAnsi="Times New Roman" w:eastAsia="宋体" w:cs="Times New Roman"/>
                <w:snapToGrid w:val="0"/>
                <w:kern w:val="21"/>
                <w:sz w:val="21"/>
                <w:szCs w:val="21"/>
              </w:rPr>
              <w:t>/</w:t>
            </w:r>
          </w:p>
        </w:tc>
      </w:tr>
      <w:tr w14:paraId="0DEC94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restart"/>
            <w:vAlign w:val="center"/>
          </w:tcPr>
          <w:p w14:paraId="4FAB244F">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废水</w:t>
            </w:r>
          </w:p>
        </w:tc>
        <w:tc>
          <w:tcPr>
            <w:tcW w:w="1506" w:type="dxa"/>
            <w:vAlign w:val="center"/>
          </w:tcPr>
          <w:p w14:paraId="4E3958F9">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COD</w:t>
            </w:r>
          </w:p>
        </w:tc>
        <w:tc>
          <w:tcPr>
            <w:tcW w:w="1664" w:type="dxa"/>
            <w:vAlign w:val="center"/>
          </w:tcPr>
          <w:p w14:paraId="35AC9D00">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70B0A0AA">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6B868FC2">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3D5DDABC">
            <w:pPr>
              <w:keepNext w:val="0"/>
              <w:keepLines w:val="0"/>
              <w:pageBreakBefore w:val="0"/>
              <w:widowControl/>
              <w:kinsoku/>
              <w:wordWrap/>
              <w:overflowPunct/>
              <w:topLinePunct w:val="0"/>
              <w:autoSpaceDE/>
              <w:autoSpaceDN/>
              <w:bidi w:val="0"/>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0.0</w:t>
            </w:r>
            <w:r>
              <w:rPr>
                <w:rFonts w:hint="eastAsia" w:ascii="Times New Roman" w:hAnsi="Times New Roman" w:eastAsia="宋体" w:cs="Times New Roman"/>
                <w:sz w:val="21"/>
                <w:szCs w:val="21"/>
                <w:lang w:val="en-US" w:eastAsia="zh-CN" w:bidi="ar"/>
              </w:rPr>
              <w:t>92</w:t>
            </w:r>
            <w:r>
              <w:rPr>
                <w:rFonts w:hint="default" w:ascii="Times New Roman" w:hAnsi="Times New Roman" w:eastAsia="宋体" w:cs="Times New Roman"/>
                <w:sz w:val="21"/>
                <w:szCs w:val="21"/>
                <w:lang w:bidi="ar"/>
              </w:rPr>
              <w:t>t/a</w:t>
            </w:r>
          </w:p>
        </w:tc>
        <w:tc>
          <w:tcPr>
            <w:tcW w:w="1578" w:type="dxa"/>
            <w:vAlign w:val="center"/>
          </w:tcPr>
          <w:p w14:paraId="1E2A69B2">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1F928233">
            <w:pPr>
              <w:keepNext w:val="0"/>
              <w:keepLines w:val="0"/>
              <w:pageBreakBefore w:val="0"/>
              <w:widowControl/>
              <w:kinsoku/>
              <w:wordWrap/>
              <w:overflowPunct/>
              <w:topLinePunct w:val="0"/>
              <w:autoSpaceDE/>
              <w:autoSpaceDN/>
              <w:bidi w:val="0"/>
              <w:jc w:val="center"/>
              <w:textAlignment w:val="bottom"/>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z w:val="21"/>
                <w:szCs w:val="21"/>
                <w:lang w:bidi="ar"/>
              </w:rPr>
              <w:t>0.0</w:t>
            </w:r>
            <w:r>
              <w:rPr>
                <w:rFonts w:hint="eastAsia" w:ascii="Times New Roman" w:hAnsi="Times New Roman" w:eastAsia="宋体" w:cs="Times New Roman"/>
                <w:sz w:val="21"/>
                <w:szCs w:val="21"/>
                <w:lang w:val="en-US" w:eastAsia="zh-CN" w:bidi="ar"/>
              </w:rPr>
              <w:t>92</w:t>
            </w:r>
            <w:r>
              <w:rPr>
                <w:rFonts w:hint="default" w:ascii="Times New Roman" w:hAnsi="Times New Roman" w:eastAsia="宋体" w:cs="Times New Roman"/>
                <w:sz w:val="21"/>
                <w:szCs w:val="21"/>
                <w:lang w:bidi="ar"/>
              </w:rPr>
              <w:t>t/a</w:t>
            </w:r>
          </w:p>
        </w:tc>
        <w:tc>
          <w:tcPr>
            <w:tcW w:w="1242" w:type="dxa"/>
            <w:vAlign w:val="center"/>
          </w:tcPr>
          <w:p w14:paraId="33E9D1BB">
            <w:pPr>
              <w:keepNext w:val="0"/>
              <w:keepLines w:val="0"/>
              <w:pageBreakBefore w:val="0"/>
              <w:widowControl/>
              <w:kinsoku/>
              <w:wordWrap/>
              <w:overflowPunct/>
              <w:topLinePunct w:val="0"/>
              <w:autoSpaceDE/>
              <w:autoSpaceDN/>
              <w:bidi w:val="0"/>
              <w:jc w:val="center"/>
              <w:textAlignment w:val="bottom"/>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z w:val="21"/>
                <w:szCs w:val="21"/>
                <w:lang w:bidi="ar"/>
              </w:rPr>
              <w:t>0.0</w:t>
            </w:r>
            <w:r>
              <w:rPr>
                <w:rFonts w:hint="eastAsia" w:ascii="Times New Roman" w:hAnsi="Times New Roman" w:eastAsia="宋体" w:cs="Times New Roman"/>
                <w:sz w:val="21"/>
                <w:szCs w:val="21"/>
                <w:lang w:val="en-US" w:eastAsia="zh-CN" w:bidi="ar"/>
              </w:rPr>
              <w:t>92</w:t>
            </w:r>
            <w:r>
              <w:rPr>
                <w:rFonts w:hint="default" w:ascii="Times New Roman" w:hAnsi="Times New Roman" w:eastAsia="宋体" w:cs="Times New Roman"/>
                <w:sz w:val="21"/>
                <w:szCs w:val="21"/>
                <w:lang w:bidi="ar"/>
              </w:rPr>
              <w:t>t/a</w:t>
            </w:r>
          </w:p>
        </w:tc>
      </w:tr>
      <w:tr w14:paraId="6A143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continue"/>
            <w:vAlign w:val="center"/>
          </w:tcPr>
          <w:p w14:paraId="5D0788BF">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p>
        </w:tc>
        <w:tc>
          <w:tcPr>
            <w:tcW w:w="1506" w:type="dxa"/>
            <w:vAlign w:val="center"/>
          </w:tcPr>
          <w:p w14:paraId="754619E8">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氨氮</w:t>
            </w:r>
          </w:p>
        </w:tc>
        <w:tc>
          <w:tcPr>
            <w:tcW w:w="1664" w:type="dxa"/>
            <w:vAlign w:val="center"/>
          </w:tcPr>
          <w:p w14:paraId="3CAA9D6C">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18522B54">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05FFF128">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0E04C07A">
            <w:pPr>
              <w:keepNext w:val="0"/>
              <w:keepLines w:val="0"/>
              <w:pageBreakBefore w:val="0"/>
              <w:widowControl/>
              <w:kinsoku/>
              <w:wordWrap/>
              <w:overflowPunct/>
              <w:topLinePunct w:val="0"/>
              <w:autoSpaceDE/>
              <w:autoSpaceDN/>
              <w:bidi w:val="0"/>
              <w:jc w:val="center"/>
              <w:textAlignment w:val="bottom"/>
              <w:rPr>
                <w:rFonts w:hint="default" w:ascii="Times New Roman" w:hAnsi="Times New Roman" w:eastAsia="宋体" w:cs="Times New Roman"/>
                <w:sz w:val="21"/>
                <w:szCs w:val="21"/>
              </w:rPr>
            </w:pPr>
            <w:r>
              <w:rPr>
                <w:rFonts w:hint="default" w:ascii="Times New Roman" w:hAnsi="Times New Roman" w:eastAsia="宋体" w:cs="Times New Roman"/>
                <w:sz w:val="21"/>
                <w:szCs w:val="21"/>
                <w:lang w:bidi="ar"/>
              </w:rPr>
              <w:t>0.00</w:t>
            </w:r>
            <w:r>
              <w:rPr>
                <w:rFonts w:hint="eastAsia" w:ascii="Times New Roman" w:hAnsi="Times New Roman" w:eastAsia="宋体" w:cs="Times New Roman"/>
                <w:sz w:val="21"/>
                <w:szCs w:val="21"/>
                <w:lang w:val="en-US" w:eastAsia="zh-CN" w:bidi="ar"/>
              </w:rPr>
              <w:t>8</w:t>
            </w:r>
            <w:r>
              <w:rPr>
                <w:rFonts w:hint="default" w:ascii="Times New Roman" w:hAnsi="Times New Roman" w:eastAsia="宋体" w:cs="Times New Roman"/>
                <w:sz w:val="21"/>
                <w:szCs w:val="21"/>
                <w:lang w:bidi="ar"/>
              </w:rPr>
              <w:t>t/a</w:t>
            </w:r>
          </w:p>
        </w:tc>
        <w:tc>
          <w:tcPr>
            <w:tcW w:w="1578" w:type="dxa"/>
            <w:vAlign w:val="center"/>
          </w:tcPr>
          <w:p w14:paraId="10F848A3">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275D63DA">
            <w:pPr>
              <w:keepNext w:val="0"/>
              <w:keepLines w:val="0"/>
              <w:pageBreakBefore w:val="0"/>
              <w:widowControl/>
              <w:kinsoku/>
              <w:wordWrap/>
              <w:overflowPunct/>
              <w:topLinePunct w:val="0"/>
              <w:autoSpaceDE/>
              <w:autoSpaceDN/>
              <w:bidi w:val="0"/>
              <w:jc w:val="center"/>
              <w:textAlignment w:val="bottom"/>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z w:val="21"/>
                <w:szCs w:val="21"/>
                <w:lang w:bidi="ar"/>
              </w:rPr>
              <w:t>0.00</w:t>
            </w:r>
            <w:r>
              <w:rPr>
                <w:rFonts w:hint="eastAsia" w:ascii="Times New Roman" w:hAnsi="Times New Roman" w:eastAsia="宋体" w:cs="Times New Roman"/>
                <w:sz w:val="21"/>
                <w:szCs w:val="21"/>
                <w:lang w:val="en-US" w:eastAsia="zh-CN" w:bidi="ar"/>
              </w:rPr>
              <w:t>8</w:t>
            </w:r>
            <w:r>
              <w:rPr>
                <w:rFonts w:hint="default" w:ascii="Times New Roman" w:hAnsi="Times New Roman" w:eastAsia="宋体" w:cs="Times New Roman"/>
                <w:sz w:val="21"/>
                <w:szCs w:val="21"/>
                <w:lang w:bidi="ar"/>
              </w:rPr>
              <w:t>t/a</w:t>
            </w:r>
          </w:p>
        </w:tc>
        <w:tc>
          <w:tcPr>
            <w:tcW w:w="1242" w:type="dxa"/>
            <w:vAlign w:val="center"/>
          </w:tcPr>
          <w:p w14:paraId="7DC2A7D2">
            <w:pPr>
              <w:keepNext w:val="0"/>
              <w:keepLines w:val="0"/>
              <w:pageBreakBefore w:val="0"/>
              <w:widowControl/>
              <w:kinsoku/>
              <w:wordWrap/>
              <w:overflowPunct/>
              <w:topLinePunct w:val="0"/>
              <w:autoSpaceDE/>
              <w:autoSpaceDN/>
              <w:bidi w:val="0"/>
              <w:jc w:val="center"/>
              <w:textAlignment w:val="bottom"/>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z w:val="21"/>
                <w:szCs w:val="21"/>
                <w:lang w:bidi="ar"/>
              </w:rPr>
              <w:t>0.00</w:t>
            </w:r>
            <w:r>
              <w:rPr>
                <w:rFonts w:hint="eastAsia" w:ascii="Times New Roman" w:hAnsi="Times New Roman" w:eastAsia="宋体" w:cs="Times New Roman"/>
                <w:sz w:val="21"/>
                <w:szCs w:val="21"/>
                <w:lang w:val="en-US" w:eastAsia="zh-CN" w:bidi="ar"/>
              </w:rPr>
              <w:t>8</w:t>
            </w:r>
            <w:r>
              <w:rPr>
                <w:rFonts w:hint="default" w:ascii="Times New Roman" w:hAnsi="Times New Roman" w:eastAsia="宋体" w:cs="Times New Roman"/>
                <w:sz w:val="21"/>
                <w:szCs w:val="21"/>
                <w:lang w:bidi="ar"/>
              </w:rPr>
              <w:t>t/a</w:t>
            </w:r>
          </w:p>
        </w:tc>
      </w:tr>
      <w:tr w14:paraId="598396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restart"/>
            <w:vAlign w:val="center"/>
          </w:tcPr>
          <w:p w14:paraId="35C3F80F">
            <w:pPr>
              <w:pStyle w:val="56"/>
              <w:keepNext w:val="0"/>
              <w:keepLines w:val="0"/>
              <w:pageBreakBefore w:val="0"/>
              <w:kinsoku/>
              <w:wordWrap/>
              <w:overflowPunct/>
              <w:topLinePunct w:val="0"/>
              <w:autoSpaceDE/>
              <w:autoSpaceDN/>
              <w:bidi w:val="0"/>
              <w:spacing w:beforeLines="0" w:afterLines="0" w:line="240" w:lineRule="auto"/>
              <w:ind w:left="0" w:leftChars="0" w:firstLine="0" w:firstLineChars="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一般工业固体废物</w:t>
            </w:r>
          </w:p>
        </w:tc>
        <w:tc>
          <w:tcPr>
            <w:tcW w:w="1506" w:type="dxa"/>
            <w:vAlign w:val="center"/>
          </w:tcPr>
          <w:p w14:paraId="346CF41E">
            <w:pPr>
              <w:jc w:val="center"/>
              <w:rPr>
                <w:rFonts w:hint="default" w:ascii="Times New Roman" w:hAnsi="Times New Roman" w:eastAsia="宋体" w:cs="Times New Roman"/>
                <w:snapToGrid w:val="0"/>
                <w:kern w:val="21"/>
                <w:sz w:val="21"/>
                <w:szCs w:val="21"/>
              </w:rPr>
            </w:pPr>
            <w:r>
              <w:rPr>
                <w:rFonts w:hint="eastAsia"/>
                <w:bCs/>
                <w:sz w:val="21"/>
                <w:szCs w:val="21"/>
              </w:rPr>
              <w:t>不合格</w:t>
            </w:r>
            <w:r>
              <w:rPr>
                <w:rFonts w:hint="eastAsia"/>
                <w:bCs/>
                <w:sz w:val="21"/>
                <w:szCs w:val="21"/>
                <w:lang w:val="en-US" w:eastAsia="zh-CN"/>
              </w:rPr>
              <w:t>原料</w:t>
            </w:r>
          </w:p>
        </w:tc>
        <w:tc>
          <w:tcPr>
            <w:tcW w:w="1664" w:type="dxa"/>
            <w:vAlign w:val="center"/>
          </w:tcPr>
          <w:p w14:paraId="3961E9FA">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67A93172">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50B6B5B5">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09EAD24D">
            <w:pPr>
              <w:jc w:val="center"/>
              <w:rPr>
                <w:rFonts w:hint="default" w:ascii="Times New Roman" w:hAnsi="Times New Roman" w:eastAsia="宋体" w:cs="Times New Roman"/>
                <w:snapToGrid w:val="0"/>
                <w:kern w:val="21"/>
                <w:sz w:val="21"/>
                <w:szCs w:val="21"/>
              </w:rPr>
            </w:pPr>
            <w:r>
              <w:rPr>
                <w:rFonts w:hint="eastAsia"/>
                <w:sz w:val="21"/>
                <w:szCs w:val="21"/>
                <w:lang w:bidi="ar"/>
              </w:rPr>
              <w:t>5</w:t>
            </w:r>
            <w:r>
              <w:rPr>
                <w:sz w:val="21"/>
                <w:szCs w:val="21"/>
                <w:lang w:bidi="ar"/>
              </w:rPr>
              <w:t>t/a</w:t>
            </w:r>
          </w:p>
        </w:tc>
        <w:tc>
          <w:tcPr>
            <w:tcW w:w="1578" w:type="dxa"/>
            <w:vAlign w:val="center"/>
          </w:tcPr>
          <w:p w14:paraId="3046F4EB">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026F02DD">
            <w:pPr>
              <w:jc w:val="center"/>
              <w:rPr>
                <w:rFonts w:hint="default" w:ascii="Times New Roman" w:hAnsi="Times New Roman" w:eastAsia="宋体" w:cs="Times New Roman"/>
                <w:snapToGrid w:val="0"/>
                <w:kern w:val="21"/>
                <w:sz w:val="21"/>
                <w:szCs w:val="21"/>
              </w:rPr>
            </w:pPr>
            <w:r>
              <w:rPr>
                <w:rFonts w:hint="eastAsia"/>
                <w:sz w:val="21"/>
                <w:szCs w:val="21"/>
                <w:lang w:bidi="ar"/>
              </w:rPr>
              <w:t>5</w:t>
            </w:r>
            <w:r>
              <w:rPr>
                <w:sz w:val="21"/>
                <w:szCs w:val="21"/>
                <w:lang w:bidi="ar"/>
              </w:rPr>
              <w:t>t/a</w:t>
            </w:r>
          </w:p>
        </w:tc>
        <w:tc>
          <w:tcPr>
            <w:tcW w:w="1242" w:type="dxa"/>
            <w:vAlign w:val="center"/>
          </w:tcPr>
          <w:p w14:paraId="555A352F">
            <w:pPr>
              <w:jc w:val="center"/>
              <w:rPr>
                <w:rFonts w:hint="default" w:ascii="Times New Roman" w:hAnsi="Times New Roman" w:eastAsia="宋体" w:cs="Times New Roman"/>
                <w:snapToGrid w:val="0"/>
                <w:kern w:val="21"/>
                <w:sz w:val="21"/>
                <w:szCs w:val="21"/>
              </w:rPr>
            </w:pPr>
            <w:r>
              <w:rPr>
                <w:rFonts w:hint="eastAsia"/>
                <w:sz w:val="21"/>
                <w:szCs w:val="21"/>
                <w:lang w:bidi="ar"/>
              </w:rPr>
              <w:t>5</w:t>
            </w:r>
            <w:r>
              <w:rPr>
                <w:sz w:val="21"/>
                <w:szCs w:val="21"/>
                <w:lang w:bidi="ar"/>
              </w:rPr>
              <w:t>t/a</w:t>
            </w:r>
          </w:p>
        </w:tc>
      </w:tr>
      <w:tr w14:paraId="06205D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continue"/>
            <w:vAlign w:val="center"/>
          </w:tcPr>
          <w:p w14:paraId="375A9092">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p>
        </w:tc>
        <w:tc>
          <w:tcPr>
            <w:tcW w:w="1506" w:type="dxa"/>
            <w:vAlign w:val="center"/>
          </w:tcPr>
          <w:p w14:paraId="24A751C0">
            <w:pPr>
              <w:jc w:val="center"/>
              <w:rPr>
                <w:rFonts w:hint="default" w:ascii="Times New Roman" w:hAnsi="Times New Roman" w:eastAsia="宋体" w:cs="Times New Roman"/>
                <w:sz w:val="21"/>
                <w:szCs w:val="21"/>
              </w:rPr>
            </w:pPr>
            <w:r>
              <w:rPr>
                <w:rFonts w:hint="eastAsia"/>
                <w:bCs/>
                <w:sz w:val="21"/>
                <w:szCs w:val="21"/>
                <w:lang w:val="en-US" w:eastAsia="zh-CN"/>
              </w:rPr>
              <w:t>废包装</w:t>
            </w:r>
          </w:p>
        </w:tc>
        <w:tc>
          <w:tcPr>
            <w:tcW w:w="1664" w:type="dxa"/>
            <w:vAlign w:val="center"/>
          </w:tcPr>
          <w:p w14:paraId="78054B35">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04BFA2D0">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36F66FA4">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53E4D5BC">
            <w:pPr>
              <w:jc w:val="center"/>
              <w:rPr>
                <w:rFonts w:hint="default" w:ascii="Times New Roman" w:hAnsi="Times New Roman" w:eastAsia="宋体" w:cs="Times New Roman"/>
                <w:snapToGrid w:val="0"/>
                <w:kern w:val="21"/>
                <w:sz w:val="21"/>
                <w:szCs w:val="21"/>
              </w:rPr>
            </w:pPr>
            <w:r>
              <w:rPr>
                <w:rFonts w:hint="eastAsia"/>
                <w:sz w:val="21"/>
                <w:szCs w:val="21"/>
                <w:lang w:val="en-US" w:eastAsia="zh-CN" w:bidi="ar"/>
              </w:rPr>
              <w:t>2</w:t>
            </w:r>
            <w:r>
              <w:rPr>
                <w:sz w:val="21"/>
                <w:szCs w:val="21"/>
                <w:lang w:bidi="ar"/>
              </w:rPr>
              <w:t>t/a</w:t>
            </w:r>
          </w:p>
        </w:tc>
        <w:tc>
          <w:tcPr>
            <w:tcW w:w="1578" w:type="dxa"/>
            <w:vAlign w:val="center"/>
          </w:tcPr>
          <w:p w14:paraId="685603BA">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1C1C2C8B">
            <w:pPr>
              <w:jc w:val="center"/>
              <w:rPr>
                <w:rFonts w:hint="default" w:ascii="Times New Roman" w:hAnsi="Times New Roman" w:eastAsia="宋体" w:cs="Times New Roman"/>
                <w:snapToGrid w:val="0"/>
                <w:kern w:val="21"/>
                <w:sz w:val="21"/>
                <w:szCs w:val="21"/>
              </w:rPr>
            </w:pPr>
            <w:r>
              <w:rPr>
                <w:rFonts w:hint="eastAsia"/>
                <w:sz w:val="21"/>
                <w:szCs w:val="21"/>
                <w:lang w:val="en-US" w:eastAsia="zh-CN" w:bidi="ar"/>
              </w:rPr>
              <w:t>2</w:t>
            </w:r>
            <w:r>
              <w:rPr>
                <w:sz w:val="21"/>
                <w:szCs w:val="21"/>
                <w:lang w:bidi="ar"/>
              </w:rPr>
              <w:t>t/a</w:t>
            </w:r>
          </w:p>
        </w:tc>
        <w:tc>
          <w:tcPr>
            <w:tcW w:w="1242" w:type="dxa"/>
            <w:vAlign w:val="center"/>
          </w:tcPr>
          <w:p w14:paraId="5CA6FF35">
            <w:pPr>
              <w:jc w:val="center"/>
              <w:rPr>
                <w:rFonts w:hint="default" w:ascii="Times New Roman" w:hAnsi="Times New Roman" w:eastAsia="宋体" w:cs="Times New Roman"/>
                <w:snapToGrid w:val="0"/>
                <w:kern w:val="21"/>
                <w:sz w:val="21"/>
                <w:szCs w:val="21"/>
              </w:rPr>
            </w:pPr>
            <w:r>
              <w:rPr>
                <w:rFonts w:hint="eastAsia"/>
                <w:sz w:val="21"/>
                <w:szCs w:val="21"/>
                <w:lang w:val="en-US" w:eastAsia="zh-CN" w:bidi="ar"/>
              </w:rPr>
              <w:t>2</w:t>
            </w:r>
            <w:r>
              <w:rPr>
                <w:sz w:val="21"/>
                <w:szCs w:val="21"/>
                <w:lang w:bidi="ar"/>
              </w:rPr>
              <w:t>t/a</w:t>
            </w:r>
          </w:p>
        </w:tc>
      </w:tr>
      <w:tr w14:paraId="6F0D1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34" w:type="dxa"/>
            <w:vMerge w:val="continue"/>
            <w:vAlign w:val="center"/>
          </w:tcPr>
          <w:p w14:paraId="2E5C710A">
            <w:pPr>
              <w:pStyle w:val="56"/>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kern w:val="21"/>
                <w:sz w:val="21"/>
                <w:szCs w:val="21"/>
              </w:rPr>
            </w:pPr>
          </w:p>
        </w:tc>
        <w:tc>
          <w:tcPr>
            <w:tcW w:w="1506" w:type="dxa"/>
            <w:vAlign w:val="center"/>
          </w:tcPr>
          <w:p w14:paraId="798773F4">
            <w:pPr>
              <w:jc w:val="center"/>
              <w:rPr>
                <w:rFonts w:hint="default" w:ascii="Times New Roman" w:hAnsi="Times New Roman" w:eastAsia="宋体" w:cs="Times New Roman"/>
                <w:sz w:val="21"/>
                <w:szCs w:val="21"/>
              </w:rPr>
            </w:pPr>
            <w:r>
              <w:rPr>
                <w:rFonts w:hint="eastAsia"/>
                <w:bCs/>
                <w:sz w:val="21"/>
                <w:szCs w:val="21"/>
                <w:lang w:val="en-US" w:eastAsia="zh-CN"/>
              </w:rPr>
              <w:t>不合格品</w:t>
            </w:r>
          </w:p>
        </w:tc>
        <w:tc>
          <w:tcPr>
            <w:tcW w:w="1664" w:type="dxa"/>
            <w:vAlign w:val="center"/>
          </w:tcPr>
          <w:p w14:paraId="51E61568">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250" w:type="dxa"/>
            <w:vAlign w:val="center"/>
          </w:tcPr>
          <w:p w14:paraId="55B74522">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64" w:type="dxa"/>
            <w:vAlign w:val="center"/>
          </w:tcPr>
          <w:p w14:paraId="43B99F09">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525" w:type="dxa"/>
            <w:vAlign w:val="center"/>
          </w:tcPr>
          <w:p w14:paraId="2762F506">
            <w:pPr>
              <w:jc w:val="center"/>
              <w:rPr>
                <w:rFonts w:hint="default" w:ascii="Times New Roman" w:hAnsi="Times New Roman" w:eastAsia="宋体" w:cs="Times New Roman"/>
                <w:snapToGrid w:val="0"/>
                <w:kern w:val="21"/>
                <w:sz w:val="21"/>
                <w:szCs w:val="21"/>
              </w:rPr>
            </w:pPr>
            <w:r>
              <w:rPr>
                <w:rFonts w:hint="eastAsia"/>
                <w:sz w:val="21"/>
                <w:szCs w:val="21"/>
                <w:lang w:bidi="ar"/>
              </w:rPr>
              <w:t>2</w:t>
            </w:r>
            <w:r>
              <w:rPr>
                <w:sz w:val="21"/>
                <w:szCs w:val="21"/>
                <w:lang w:bidi="ar"/>
              </w:rPr>
              <w:t>t/a</w:t>
            </w:r>
          </w:p>
        </w:tc>
        <w:tc>
          <w:tcPr>
            <w:tcW w:w="1578" w:type="dxa"/>
            <w:vAlign w:val="center"/>
          </w:tcPr>
          <w:p w14:paraId="6C1E5CCC">
            <w:pPr>
              <w:keepNext w:val="0"/>
              <w:keepLines w:val="0"/>
              <w:pageBreakBefore w:val="0"/>
              <w:kinsoku/>
              <w:wordWrap/>
              <w:overflowPunct/>
              <w:topLinePunct w:val="0"/>
              <w:autoSpaceDE/>
              <w:autoSpaceDN/>
              <w:bidi w:val="0"/>
              <w:jc w:val="center"/>
              <w:rPr>
                <w:rFonts w:hint="default" w:ascii="Times New Roman" w:hAnsi="Times New Roman" w:eastAsia="宋体" w:cs="Times New Roman"/>
                <w:snapToGrid w:val="0"/>
                <w:kern w:val="21"/>
                <w:sz w:val="21"/>
                <w:szCs w:val="21"/>
              </w:rPr>
            </w:pPr>
            <w:r>
              <w:rPr>
                <w:rFonts w:hint="default" w:ascii="Times New Roman" w:hAnsi="Times New Roman" w:eastAsia="宋体" w:cs="Times New Roman"/>
                <w:snapToGrid w:val="0"/>
                <w:kern w:val="21"/>
                <w:sz w:val="21"/>
                <w:szCs w:val="21"/>
              </w:rPr>
              <w:t>/</w:t>
            </w:r>
          </w:p>
        </w:tc>
        <w:tc>
          <w:tcPr>
            <w:tcW w:w="1629" w:type="dxa"/>
            <w:vAlign w:val="center"/>
          </w:tcPr>
          <w:p w14:paraId="23AB6D59">
            <w:pPr>
              <w:jc w:val="center"/>
              <w:rPr>
                <w:rFonts w:hint="default" w:ascii="Times New Roman" w:hAnsi="Times New Roman" w:eastAsia="宋体" w:cs="Times New Roman"/>
                <w:snapToGrid w:val="0"/>
                <w:kern w:val="21"/>
                <w:sz w:val="21"/>
                <w:szCs w:val="21"/>
              </w:rPr>
            </w:pPr>
            <w:r>
              <w:rPr>
                <w:rFonts w:hint="eastAsia"/>
                <w:sz w:val="21"/>
                <w:szCs w:val="21"/>
                <w:lang w:bidi="ar"/>
              </w:rPr>
              <w:t>2</w:t>
            </w:r>
            <w:r>
              <w:rPr>
                <w:sz w:val="21"/>
                <w:szCs w:val="21"/>
                <w:lang w:bidi="ar"/>
              </w:rPr>
              <w:t>t/a</w:t>
            </w:r>
          </w:p>
        </w:tc>
        <w:tc>
          <w:tcPr>
            <w:tcW w:w="1242" w:type="dxa"/>
            <w:vAlign w:val="center"/>
          </w:tcPr>
          <w:p w14:paraId="380B6E72">
            <w:pPr>
              <w:jc w:val="center"/>
              <w:rPr>
                <w:rFonts w:hint="default" w:ascii="Times New Roman" w:hAnsi="Times New Roman" w:eastAsia="宋体" w:cs="Times New Roman"/>
                <w:snapToGrid w:val="0"/>
                <w:kern w:val="21"/>
                <w:sz w:val="21"/>
                <w:szCs w:val="21"/>
              </w:rPr>
            </w:pPr>
            <w:r>
              <w:rPr>
                <w:rFonts w:hint="eastAsia"/>
                <w:sz w:val="21"/>
                <w:szCs w:val="21"/>
                <w:lang w:bidi="ar"/>
              </w:rPr>
              <w:t>2</w:t>
            </w:r>
            <w:r>
              <w:rPr>
                <w:sz w:val="21"/>
                <w:szCs w:val="21"/>
                <w:lang w:bidi="ar"/>
              </w:rPr>
              <w:t>t/a</w:t>
            </w:r>
          </w:p>
        </w:tc>
      </w:tr>
    </w:tbl>
    <w:p w14:paraId="4FB60A52">
      <w:pPr>
        <w:pStyle w:val="56"/>
        <w:tabs>
          <w:tab w:val="left" w:pos="9306"/>
        </w:tabs>
        <w:spacing w:before="192" w:beforeLines="80" w:after="24"/>
        <w:jc w:val="left"/>
        <w:rPr>
          <w:bCs/>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headerReference r:id="rId8" w:type="default"/>
      <w:footerReference r:id="rId9"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gbsnu54">
    <w:altName w:val="Times New Roman"/>
    <w:panose1 w:val="00000000000000000000"/>
    <w:charset w:val="00"/>
    <w:family w:val="auto"/>
    <w:pitch w:val="default"/>
    <w:sig w:usb0="00000000" w:usb1="00000000" w:usb2="00000000" w:usb3="00000000" w:csb0="00000001" w:csb1="00000000"/>
  </w:font>
  <w:font w:name="TimesNewRomanPSMT">
    <w:altName w:val="Times New Roman"/>
    <w:panose1 w:val="00000000000000000000"/>
    <w:charset w:val="00"/>
    <w:family w:val="roman"/>
    <w:pitch w:val="default"/>
    <w:sig w:usb0="00000000" w:usb1="00000000" w:usb2="00000000" w:usb3="00000000" w:csb0="00000001" w:csb1="00000000"/>
  </w:font>
  <w:font w:name="方正小标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auto"/>
    <w:pitch w:val="default"/>
    <w:sig w:usb0="00000000" w:usb1="00000000" w:usb2="00000000" w:usb3="00000000" w:csb0="00000000" w:csb1="00000000"/>
  </w:font>
  <w:font w:name="PingFang SC">
    <w:altName w:val="Times New Roman"/>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45BFD">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2E35B">
    <w:pPr>
      <w:pStyle w:val="19"/>
      <w:framePr w:wrap="around" w:vAnchor="text" w:hAnchor="margin" w:xAlign="center" w:y="1"/>
      <w:rPr>
        <w:rStyle w:val="32"/>
      </w:rPr>
    </w:pPr>
    <w:r>
      <w:fldChar w:fldCharType="begin"/>
    </w:r>
    <w:r>
      <w:rPr>
        <w:rStyle w:val="32"/>
      </w:rPr>
      <w:instrText xml:space="preserve">PAGE  </w:instrText>
    </w:r>
    <w:r>
      <w:fldChar w:fldCharType="end"/>
    </w:r>
  </w:p>
  <w:p w14:paraId="6ED3FF39">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B697A">
    <w:pPr>
      <w:pStyle w:val="19"/>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220875">
                          <w:pPr>
                            <w:pStyle w:val="1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nBZsQBAACR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cC5O25x4pfv3y4/fl1+fiXL&#10;avU6S9QHqDHzIWBuGu78gOmzH9CZmQ8q2vxFTgTjKPD5KrAcEhH50Xq1XlcYEhibL4jPHp+HCOmt&#10;9JZko6ERJ1iE5af3kMbUOSVXc/5eG1OmaNxfDsTMHpZ7H3vMVhr2w0Ro79sz8ulx+A11uOuUmHcO&#10;tc17MhtxNvaTkWtAuD0mLFz6yagj1FQMJ1UYTVuVV+HPe8l6/JO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VgnBZsQBAACRAwAADgAAAAAAAAABACAAAAAeAQAAZHJzL2Uyb0RvYy54bWxQ&#10;SwUGAAAAAAYABgBZAQAAVAUAAAAA&#10;">
              <v:fill on="f" focussize="0,0"/>
              <v:stroke on="f"/>
              <v:imagedata o:title=""/>
              <o:lock v:ext="edit" aspectratio="f"/>
              <v:textbox inset="0mm,0mm,0mm,0mm" style="mso-fit-shape-to-text:t;">
                <w:txbxContent>
                  <w:p w14:paraId="75220875">
                    <w:pPr>
                      <w:pStyle w:val="19"/>
                    </w:pPr>
                    <w:r>
                      <w:fldChar w:fldCharType="begin"/>
                    </w:r>
                    <w:r>
                      <w:instrText xml:space="preserve"> PAGE  \* MERGEFORMAT </w:instrText>
                    </w:r>
                    <w:r>
                      <w:fldChar w:fldCharType="separate"/>
                    </w:r>
                    <w:r>
                      <w:t>72</w:t>
                    </w:r>
                    <w:r>
                      <w:fldChar w:fldCharType="end"/>
                    </w: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9E112">
    <w:pPr>
      <w:pStyle w:val="1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44C3B">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91D16">
    <w:pPr>
      <w:pStyle w:val="20"/>
      <w:pBdr>
        <w:bottom w:val="none" w:color="auto" w:sz="0" w:space="1"/>
      </w:pBdr>
    </w:pP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89E24">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0A2173"/>
    <w:multiLevelType w:val="singleLevel"/>
    <w:tmpl w:val="F40A2173"/>
    <w:lvl w:ilvl="0" w:tentative="0">
      <w:start w:val="1"/>
      <w:numFmt w:val="decimal"/>
      <w:suff w:val="nothing"/>
      <w:lvlText w:val="（%1）"/>
      <w:lvlJc w:val="left"/>
    </w:lvl>
  </w:abstractNum>
  <w:abstractNum w:abstractNumId="1">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pStyle w:val="2"/>
      <w:lvlText w:val="%3."/>
      <w:lvlJc w:val="left"/>
      <w:pPr>
        <w:tabs>
          <w:tab w:val="left" w:pos="2126"/>
        </w:tabs>
        <w:ind w:left="1701" w:firstLine="0"/>
      </w:pPr>
    </w:lvl>
    <w:lvl w:ilvl="3" w:tentative="0">
      <w:start w:val="1"/>
      <w:numFmt w:val="lowerLetter"/>
      <w:lvlText w:val="%4)"/>
      <w:lvlJc w:val="left"/>
      <w:pPr>
        <w:tabs>
          <w:tab w:val="left" w:pos="2976"/>
        </w:tabs>
        <w:ind w:left="2551" w:firstLine="0"/>
      </w:pPr>
    </w:lvl>
    <w:lvl w:ilvl="4" w:tentative="0">
      <w:start w:val="1"/>
      <w:numFmt w:val="decimal"/>
      <w:pStyle w:val="6"/>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lvlRestart w:val="2"/>
      <w:pStyle w:val="80"/>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3N2FmYzU2OWRhNWFmYzM0ZTY0MjBkOTQwOGE3ZjYifQ=="/>
  </w:docVars>
  <w:rsids>
    <w:rsidRoot w:val="00A14947"/>
    <w:rsid w:val="000060B3"/>
    <w:rsid w:val="00035202"/>
    <w:rsid w:val="0004364B"/>
    <w:rsid w:val="00061B1F"/>
    <w:rsid w:val="00066CE1"/>
    <w:rsid w:val="000733C4"/>
    <w:rsid w:val="00074783"/>
    <w:rsid w:val="0008070B"/>
    <w:rsid w:val="000810AC"/>
    <w:rsid w:val="00081A02"/>
    <w:rsid w:val="00082231"/>
    <w:rsid w:val="000876A5"/>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96D6D"/>
    <w:rsid w:val="001A1B35"/>
    <w:rsid w:val="001A231D"/>
    <w:rsid w:val="001A48A2"/>
    <w:rsid w:val="001A62EE"/>
    <w:rsid w:val="001A6F61"/>
    <w:rsid w:val="001B72B8"/>
    <w:rsid w:val="001C3C3E"/>
    <w:rsid w:val="001C69B3"/>
    <w:rsid w:val="001D5595"/>
    <w:rsid w:val="001D7874"/>
    <w:rsid w:val="001D7F22"/>
    <w:rsid w:val="001E04A5"/>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766D3"/>
    <w:rsid w:val="002805AB"/>
    <w:rsid w:val="00284204"/>
    <w:rsid w:val="00285434"/>
    <w:rsid w:val="00286AB5"/>
    <w:rsid w:val="00291773"/>
    <w:rsid w:val="00293606"/>
    <w:rsid w:val="002A168C"/>
    <w:rsid w:val="002A3DC7"/>
    <w:rsid w:val="002A74E3"/>
    <w:rsid w:val="002B49E2"/>
    <w:rsid w:val="002B7B00"/>
    <w:rsid w:val="002B7C44"/>
    <w:rsid w:val="002C2B17"/>
    <w:rsid w:val="002D3DD0"/>
    <w:rsid w:val="002E1F3A"/>
    <w:rsid w:val="002E298A"/>
    <w:rsid w:val="00301978"/>
    <w:rsid w:val="0030332C"/>
    <w:rsid w:val="003051C2"/>
    <w:rsid w:val="003055E6"/>
    <w:rsid w:val="00312296"/>
    <w:rsid w:val="00314F0E"/>
    <w:rsid w:val="00321D8E"/>
    <w:rsid w:val="00325928"/>
    <w:rsid w:val="00330481"/>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D7EBB"/>
    <w:rsid w:val="003E3058"/>
    <w:rsid w:val="003E76A9"/>
    <w:rsid w:val="003F0809"/>
    <w:rsid w:val="003F6A8C"/>
    <w:rsid w:val="003F755C"/>
    <w:rsid w:val="004002DB"/>
    <w:rsid w:val="00406F01"/>
    <w:rsid w:val="00414848"/>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3447"/>
    <w:rsid w:val="00494670"/>
    <w:rsid w:val="004A3823"/>
    <w:rsid w:val="004D1B1C"/>
    <w:rsid w:val="004E31D9"/>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A760B"/>
    <w:rsid w:val="005B4FAD"/>
    <w:rsid w:val="005D36AB"/>
    <w:rsid w:val="00617CC3"/>
    <w:rsid w:val="00635D12"/>
    <w:rsid w:val="006377A6"/>
    <w:rsid w:val="00637A3D"/>
    <w:rsid w:val="006411EF"/>
    <w:rsid w:val="006748B8"/>
    <w:rsid w:val="006775C3"/>
    <w:rsid w:val="00683715"/>
    <w:rsid w:val="0069290A"/>
    <w:rsid w:val="0069775A"/>
    <w:rsid w:val="00697813"/>
    <w:rsid w:val="006A3EE8"/>
    <w:rsid w:val="006A72BF"/>
    <w:rsid w:val="006B03F2"/>
    <w:rsid w:val="006B37DC"/>
    <w:rsid w:val="006B4F68"/>
    <w:rsid w:val="006C0592"/>
    <w:rsid w:val="006C272E"/>
    <w:rsid w:val="006C5479"/>
    <w:rsid w:val="006D13B5"/>
    <w:rsid w:val="006D7FF1"/>
    <w:rsid w:val="006E12FF"/>
    <w:rsid w:val="006E607E"/>
    <w:rsid w:val="006E7393"/>
    <w:rsid w:val="00706C5D"/>
    <w:rsid w:val="0072421D"/>
    <w:rsid w:val="00732922"/>
    <w:rsid w:val="0074426B"/>
    <w:rsid w:val="007454D4"/>
    <w:rsid w:val="0075162E"/>
    <w:rsid w:val="00754034"/>
    <w:rsid w:val="00756556"/>
    <w:rsid w:val="007618C4"/>
    <w:rsid w:val="00767980"/>
    <w:rsid w:val="00770B19"/>
    <w:rsid w:val="0077463F"/>
    <w:rsid w:val="007836EA"/>
    <w:rsid w:val="00784CDA"/>
    <w:rsid w:val="007906C4"/>
    <w:rsid w:val="007940EA"/>
    <w:rsid w:val="007967E8"/>
    <w:rsid w:val="007A1CC5"/>
    <w:rsid w:val="007A2170"/>
    <w:rsid w:val="007A22BF"/>
    <w:rsid w:val="007A3323"/>
    <w:rsid w:val="007B72B8"/>
    <w:rsid w:val="007B7A58"/>
    <w:rsid w:val="007C21B5"/>
    <w:rsid w:val="007E40CC"/>
    <w:rsid w:val="007E4BD2"/>
    <w:rsid w:val="007F1959"/>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6971"/>
    <w:rsid w:val="008E76F0"/>
    <w:rsid w:val="008F15FE"/>
    <w:rsid w:val="008F2D29"/>
    <w:rsid w:val="008F5187"/>
    <w:rsid w:val="008F60D8"/>
    <w:rsid w:val="00902727"/>
    <w:rsid w:val="0090312B"/>
    <w:rsid w:val="0091736D"/>
    <w:rsid w:val="0093037A"/>
    <w:rsid w:val="0094154D"/>
    <w:rsid w:val="0095155F"/>
    <w:rsid w:val="00954429"/>
    <w:rsid w:val="009563CE"/>
    <w:rsid w:val="00970308"/>
    <w:rsid w:val="00973BA6"/>
    <w:rsid w:val="00976328"/>
    <w:rsid w:val="0097680D"/>
    <w:rsid w:val="00982438"/>
    <w:rsid w:val="0098404C"/>
    <w:rsid w:val="00985283"/>
    <w:rsid w:val="00995992"/>
    <w:rsid w:val="009A03E5"/>
    <w:rsid w:val="009A0F3B"/>
    <w:rsid w:val="009A1BB4"/>
    <w:rsid w:val="009A2628"/>
    <w:rsid w:val="009A3200"/>
    <w:rsid w:val="009A365A"/>
    <w:rsid w:val="009A456F"/>
    <w:rsid w:val="009B0897"/>
    <w:rsid w:val="009B7BD9"/>
    <w:rsid w:val="009C7DD5"/>
    <w:rsid w:val="009E227D"/>
    <w:rsid w:val="009E5019"/>
    <w:rsid w:val="00A04F1B"/>
    <w:rsid w:val="00A0501B"/>
    <w:rsid w:val="00A14947"/>
    <w:rsid w:val="00A32A83"/>
    <w:rsid w:val="00A368DB"/>
    <w:rsid w:val="00A423AA"/>
    <w:rsid w:val="00A43240"/>
    <w:rsid w:val="00A53EC6"/>
    <w:rsid w:val="00A55C0F"/>
    <w:rsid w:val="00A666DC"/>
    <w:rsid w:val="00A8713F"/>
    <w:rsid w:val="00A90BA1"/>
    <w:rsid w:val="00A92D6C"/>
    <w:rsid w:val="00A97A9A"/>
    <w:rsid w:val="00AA0671"/>
    <w:rsid w:val="00AA2531"/>
    <w:rsid w:val="00AB135A"/>
    <w:rsid w:val="00AB1E09"/>
    <w:rsid w:val="00AB5330"/>
    <w:rsid w:val="00AB7747"/>
    <w:rsid w:val="00AC14CE"/>
    <w:rsid w:val="00AC2A56"/>
    <w:rsid w:val="00AD055E"/>
    <w:rsid w:val="00AD47A7"/>
    <w:rsid w:val="00AF0CBF"/>
    <w:rsid w:val="00AF257F"/>
    <w:rsid w:val="00AF33CF"/>
    <w:rsid w:val="00AF4D50"/>
    <w:rsid w:val="00AF6179"/>
    <w:rsid w:val="00B00300"/>
    <w:rsid w:val="00B07157"/>
    <w:rsid w:val="00B107EF"/>
    <w:rsid w:val="00B1295A"/>
    <w:rsid w:val="00B20A45"/>
    <w:rsid w:val="00B22C5C"/>
    <w:rsid w:val="00B24F30"/>
    <w:rsid w:val="00B31ABF"/>
    <w:rsid w:val="00B33BE3"/>
    <w:rsid w:val="00B53B5D"/>
    <w:rsid w:val="00B562F3"/>
    <w:rsid w:val="00B6055E"/>
    <w:rsid w:val="00B6317D"/>
    <w:rsid w:val="00B7723F"/>
    <w:rsid w:val="00B80534"/>
    <w:rsid w:val="00B8433C"/>
    <w:rsid w:val="00B87491"/>
    <w:rsid w:val="00BA29E9"/>
    <w:rsid w:val="00BA7142"/>
    <w:rsid w:val="00BB237C"/>
    <w:rsid w:val="00BB41A3"/>
    <w:rsid w:val="00BB6293"/>
    <w:rsid w:val="00BB7B23"/>
    <w:rsid w:val="00BC32DC"/>
    <w:rsid w:val="00BC35B6"/>
    <w:rsid w:val="00BD1B51"/>
    <w:rsid w:val="00BD4596"/>
    <w:rsid w:val="00BD7762"/>
    <w:rsid w:val="00BE1405"/>
    <w:rsid w:val="00BE312D"/>
    <w:rsid w:val="00BF1C20"/>
    <w:rsid w:val="00BF737C"/>
    <w:rsid w:val="00C10578"/>
    <w:rsid w:val="00C135BC"/>
    <w:rsid w:val="00C15C95"/>
    <w:rsid w:val="00C20696"/>
    <w:rsid w:val="00C2596A"/>
    <w:rsid w:val="00C27537"/>
    <w:rsid w:val="00C328FE"/>
    <w:rsid w:val="00C33507"/>
    <w:rsid w:val="00C4409D"/>
    <w:rsid w:val="00C44E72"/>
    <w:rsid w:val="00C45A06"/>
    <w:rsid w:val="00C47E5B"/>
    <w:rsid w:val="00C57373"/>
    <w:rsid w:val="00C61E4B"/>
    <w:rsid w:val="00C64BFF"/>
    <w:rsid w:val="00C704E9"/>
    <w:rsid w:val="00C74CEB"/>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4F89"/>
    <w:rsid w:val="00CF6000"/>
    <w:rsid w:val="00D003F3"/>
    <w:rsid w:val="00D0364F"/>
    <w:rsid w:val="00D06834"/>
    <w:rsid w:val="00D1289B"/>
    <w:rsid w:val="00D308ED"/>
    <w:rsid w:val="00D36D86"/>
    <w:rsid w:val="00D428AA"/>
    <w:rsid w:val="00D50A34"/>
    <w:rsid w:val="00D53EFA"/>
    <w:rsid w:val="00D94A7C"/>
    <w:rsid w:val="00D95896"/>
    <w:rsid w:val="00DB2983"/>
    <w:rsid w:val="00DC1257"/>
    <w:rsid w:val="00DC3DC0"/>
    <w:rsid w:val="00DC5B2B"/>
    <w:rsid w:val="00DD318D"/>
    <w:rsid w:val="00DD78A6"/>
    <w:rsid w:val="00DF2E12"/>
    <w:rsid w:val="00DF514A"/>
    <w:rsid w:val="00DF6690"/>
    <w:rsid w:val="00DF6804"/>
    <w:rsid w:val="00E0358D"/>
    <w:rsid w:val="00E04323"/>
    <w:rsid w:val="00E070A2"/>
    <w:rsid w:val="00E2656A"/>
    <w:rsid w:val="00E412D0"/>
    <w:rsid w:val="00E513EB"/>
    <w:rsid w:val="00E56322"/>
    <w:rsid w:val="00E60982"/>
    <w:rsid w:val="00E62C62"/>
    <w:rsid w:val="00E654C1"/>
    <w:rsid w:val="00E65D97"/>
    <w:rsid w:val="00E72A5A"/>
    <w:rsid w:val="00E73354"/>
    <w:rsid w:val="00E766F4"/>
    <w:rsid w:val="00E9242D"/>
    <w:rsid w:val="00EB5255"/>
    <w:rsid w:val="00EB5C47"/>
    <w:rsid w:val="00EC5E16"/>
    <w:rsid w:val="00ED0639"/>
    <w:rsid w:val="00ED759A"/>
    <w:rsid w:val="00EF4755"/>
    <w:rsid w:val="00EF7135"/>
    <w:rsid w:val="00F027DB"/>
    <w:rsid w:val="00F11A71"/>
    <w:rsid w:val="00F14A7A"/>
    <w:rsid w:val="00F22985"/>
    <w:rsid w:val="00F3383E"/>
    <w:rsid w:val="00F465A7"/>
    <w:rsid w:val="00F50B7C"/>
    <w:rsid w:val="00F550E6"/>
    <w:rsid w:val="00F74345"/>
    <w:rsid w:val="00F80A0A"/>
    <w:rsid w:val="00F82B19"/>
    <w:rsid w:val="00F9212D"/>
    <w:rsid w:val="00F92A65"/>
    <w:rsid w:val="00F965DA"/>
    <w:rsid w:val="00FA406A"/>
    <w:rsid w:val="00FB3CE5"/>
    <w:rsid w:val="00FB503A"/>
    <w:rsid w:val="00FB516C"/>
    <w:rsid w:val="00FD0236"/>
    <w:rsid w:val="00FD18F4"/>
    <w:rsid w:val="00FD1E16"/>
    <w:rsid w:val="00FD54DB"/>
    <w:rsid w:val="00FD619F"/>
    <w:rsid w:val="00FD6A5C"/>
    <w:rsid w:val="01290F7E"/>
    <w:rsid w:val="015D1E09"/>
    <w:rsid w:val="0209199F"/>
    <w:rsid w:val="02697903"/>
    <w:rsid w:val="02CA0A44"/>
    <w:rsid w:val="02F96569"/>
    <w:rsid w:val="031365DB"/>
    <w:rsid w:val="03593624"/>
    <w:rsid w:val="03D30651"/>
    <w:rsid w:val="03EA7B21"/>
    <w:rsid w:val="04620439"/>
    <w:rsid w:val="047B2AB9"/>
    <w:rsid w:val="04B70785"/>
    <w:rsid w:val="05950139"/>
    <w:rsid w:val="05F83EAE"/>
    <w:rsid w:val="06155A2B"/>
    <w:rsid w:val="063E7D85"/>
    <w:rsid w:val="067E56F8"/>
    <w:rsid w:val="06956C53"/>
    <w:rsid w:val="07293586"/>
    <w:rsid w:val="07295285"/>
    <w:rsid w:val="07375B44"/>
    <w:rsid w:val="07636392"/>
    <w:rsid w:val="07663572"/>
    <w:rsid w:val="07770C56"/>
    <w:rsid w:val="07C43A23"/>
    <w:rsid w:val="08135A2E"/>
    <w:rsid w:val="0872059D"/>
    <w:rsid w:val="088A62C2"/>
    <w:rsid w:val="08F22718"/>
    <w:rsid w:val="08F3287C"/>
    <w:rsid w:val="090D408D"/>
    <w:rsid w:val="09120C6E"/>
    <w:rsid w:val="092217DD"/>
    <w:rsid w:val="093A7294"/>
    <w:rsid w:val="0A263993"/>
    <w:rsid w:val="0A2D3AC2"/>
    <w:rsid w:val="0A2E773B"/>
    <w:rsid w:val="0AA755DF"/>
    <w:rsid w:val="0ACE799D"/>
    <w:rsid w:val="0AF470A4"/>
    <w:rsid w:val="0B120D44"/>
    <w:rsid w:val="0B92607E"/>
    <w:rsid w:val="0BB1026F"/>
    <w:rsid w:val="0BD27BF6"/>
    <w:rsid w:val="0BFC0826"/>
    <w:rsid w:val="0C27052E"/>
    <w:rsid w:val="0C3B3C7D"/>
    <w:rsid w:val="0C5F46F1"/>
    <w:rsid w:val="0CAB2EAE"/>
    <w:rsid w:val="0CB56CC1"/>
    <w:rsid w:val="0D3F33D7"/>
    <w:rsid w:val="0D496C4D"/>
    <w:rsid w:val="0D580BF9"/>
    <w:rsid w:val="0D5E452B"/>
    <w:rsid w:val="0D621C7D"/>
    <w:rsid w:val="0DC63BB6"/>
    <w:rsid w:val="0DD203DE"/>
    <w:rsid w:val="0E460A03"/>
    <w:rsid w:val="0E73034D"/>
    <w:rsid w:val="0EB736CF"/>
    <w:rsid w:val="0EC8767D"/>
    <w:rsid w:val="0F13775A"/>
    <w:rsid w:val="0F5F45FE"/>
    <w:rsid w:val="0F9A112B"/>
    <w:rsid w:val="102E1829"/>
    <w:rsid w:val="106D2F64"/>
    <w:rsid w:val="10B63710"/>
    <w:rsid w:val="10F10820"/>
    <w:rsid w:val="111C2F7A"/>
    <w:rsid w:val="11574D73"/>
    <w:rsid w:val="11665CA1"/>
    <w:rsid w:val="11A5641E"/>
    <w:rsid w:val="11E86626"/>
    <w:rsid w:val="12C64289"/>
    <w:rsid w:val="12D11CBB"/>
    <w:rsid w:val="134379F7"/>
    <w:rsid w:val="13951726"/>
    <w:rsid w:val="13AA5567"/>
    <w:rsid w:val="14396509"/>
    <w:rsid w:val="14DD2C3C"/>
    <w:rsid w:val="15AB65CC"/>
    <w:rsid w:val="15AF6C93"/>
    <w:rsid w:val="16087E1D"/>
    <w:rsid w:val="16232106"/>
    <w:rsid w:val="16572E60"/>
    <w:rsid w:val="17502639"/>
    <w:rsid w:val="17701D14"/>
    <w:rsid w:val="17735226"/>
    <w:rsid w:val="189F624C"/>
    <w:rsid w:val="18D07C10"/>
    <w:rsid w:val="18E2224E"/>
    <w:rsid w:val="196A0064"/>
    <w:rsid w:val="1A1C66C0"/>
    <w:rsid w:val="1A42393B"/>
    <w:rsid w:val="1A86723E"/>
    <w:rsid w:val="1AAD45DE"/>
    <w:rsid w:val="1B046F80"/>
    <w:rsid w:val="1B3267B5"/>
    <w:rsid w:val="1B40161D"/>
    <w:rsid w:val="1B441859"/>
    <w:rsid w:val="1B6606B1"/>
    <w:rsid w:val="1B6B6D5D"/>
    <w:rsid w:val="1C086544"/>
    <w:rsid w:val="1C30218F"/>
    <w:rsid w:val="1C573145"/>
    <w:rsid w:val="1C57482B"/>
    <w:rsid w:val="1C5E7925"/>
    <w:rsid w:val="1C8466E7"/>
    <w:rsid w:val="1CFD070F"/>
    <w:rsid w:val="1D5F6196"/>
    <w:rsid w:val="1D6132A5"/>
    <w:rsid w:val="1D8E56D5"/>
    <w:rsid w:val="1DBE6D02"/>
    <w:rsid w:val="1E026F90"/>
    <w:rsid w:val="1E232FEE"/>
    <w:rsid w:val="1E283E3B"/>
    <w:rsid w:val="1E494E7E"/>
    <w:rsid w:val="1E7A43DA"/>
    <w:rsid w:val="1F064AAC"/>
    <w:rsid w:val="1F5D4A5F"/>
    <w:rsid w:val="1F7A7D72"/>
    <w:rsid w:val="1F7E4341"/>
    <w:rsid w:val="1FE7539E"/>
    <w:rsid w:val="1FFD6DD2"/>
    <w:rsid w:val="200C632A"/>
    <w:rsid w:val="204E0976"/>
    <w:rsid w:val="20671BE0"/>
    <w:rsid w:val="20963CB8"/>
    <w:rsid w:val="20A81A1B"/>
    <w:rsid w:val="20B07FB6"/>
    <w:rsid w:val="20B646FB"/>
    <w:rsid w:val="211C7619"/>
    <w:rsid w:val="213B74B1"/>
    <w:rsid w:val="215A2310"/>
    <w:rsid w:val="21DE318A"/>
    <w:rsid w:val="21EF5B80"/>
    <w:rsid w:val="21FC38B5"/>
    <w:rsid w:val="22576990"/>
    <w:rsid w:val="225D4A8A"/>
    <w:rsid w:val="227E24AD"/>
    <w:rsid w:val="22F47480"/>
    <w:rsid w:val="23302F05"/>
    <w:rsid w:val="23370B16"/>
    <w:rsid w:val="23DE1C48"/>
    <w:rsid w:val="240210CD"/>
    <w:rsid w:val="246A772A"/>
    <w:rsid w:val="24B134DC"/>
    <w:rsid w:val="24BF09F7"/>
    <w:rsid w:val="24CB4D99"/>
    <w:rsid w:val="24F22093"/>
    <w:rsid w:val="252D53FE"/>
    <w:rsid w:val="25447D5F"/>
    <w:rsid w:val="25934989"/>
    <w:rsid w:val="25EC2D81"/>
    <w:rsid w:val="277057A2"/>
    <w:rsid w:val="278109B5"/>
    <w:rsid w:val="281012B4"/>
    <w:rsid w:val="283B7AA0"/>
    <w:rsid w:val="286F7236"/>
    <w:rsid w:val="28B47A95"/>
    <w:rsid w:val="28C42FAB"/>
    <w:rsid w:val="29206EB8"/>
    <w:rsid w:val="29595666"/>
    <w:rsid w:val="29874881"/>
    <w:rsid w:val="29AC3D81"/>
    <w:rsid w:val="29E325E0"/>
    <w:rsid w:val="2A452503"/>
    <w:rsid w:val="2AA2158F"/>
    <w:rsid w:val="2AC33076"/>
    <w:rsid w:val="2AE93C36"/>
    <w:rsid w:val="2B217A82"/>
    <w:rsid w:val="2BA936A8"/>
    <w:rsid w:val="2BBF4A75"/>
    <w:rsid w:val="2BFF288E"/>
    <w:rsid w:val="2C2755A2"/>
    <w:rsid w:val="2C315A5A"/>
    <w:rsid w:val="2C4B1C25"/>
    <w:rsid w:val="2C6F077E"/>
    <w:rsid w:val="2C72035F"/>
    <w:rsid w:val="2CB46A7B"/>
    <w:rsid w:val="2CD918FA"/>
    <w:rsid w:val="2D526A8E"/>
    <w:rsid w:val="2D6A01DB"/>
    <w:rsid w:val="2D9631E2"/>
    <w:rsid w:val="2D9E56F5"/>
    <w:rsid w:val="2DB4377E"/>
    <w:rsid w:val="2E5179AA"/>
    <w:rsid w:val="2E667F96"/>
    <w:rsid w:val="2E8226AB"/>
    <w:rsid w:val="2E9758C4"/>
    <w:rsid w:val="2EA94E7A"/>
    <w:rsid w:val="2F0F3F50"/>
    <w:rsid w:val="2F384495"/>
    <w:rsid w:val="2F6548BF"/>
    <w:rsid w:val="2F6E5CF5"/>
    <w:rsid w:val="2FD065E6"/>
    <w:rsid w:val="2FD96870"/>
    <w:rsid w:val="30580BC9"/>
    <w:rsid w:val="311E2ED7"/>
    <w:rsid w:val="315619EE"/>
    <w:rsid w:val="315C449C"/>
    <w:rsid w:val="3161677C"/>
    <w:rsid w:val="31B82709"/>
    <w:rsid w:val="31B82E65"/>
    <w:rsid w:val="31D05482"/>
    <w:rsid w:val="321B09AE"/>
    <w:rsid w:val="32400B34"/>
    <w:rsid w:val="3265202B"/>
    <w:rsid w:val="32675C30"/>
    <w:rsid w:val="329E6876"/>
    <w:rsid w:val="332112B5"/>
    <w:rsid w:val="333015F2"/>
    <w:rsid w:val="334B6320"/>
    <w:rsid w:val="33B977C6"/>
    <w:rsid w:val="33D934D4"/>
    <w:rsid w:val="33FE2F6A"/>
    <w:rsid w:val="340E07E5"/>
    <w:rsid w:val="34235BF7"/>
    <w:rsid w:val="34DF26A4"/>
    <w:rsid w:val="358C5FA8"/>
    <w:rsid w:val="359C73A0"/>
    <w:rsid w:val="35A10512"/>
    <w:rsid w:val="35C15DF1"/>
    <w:rsid w:val="36074A7F"/>
    <w:rsid w:val="36923549"/>
    <w:rsid w:val="36B75FBF"/>
    <w:rsid w:val="36BD0C45"/>
    <w:rsid w:val="36BE1E78"/>
    <w:rsid w:val="372501DF"/>
    <w:rsid w:val="374A6A5A"/>
    <w:rsid w:val="37606725"/>
    <w:rsid w:val="376607A2"/>
    <w:rsid w:val="378114F3"/>
    <w:rsid w:val="3783605E"/>
    <w:rsid w:val="37E00298"/>
    <w:rsid w:val="38082E10"/>
    <w:rsid w:val="38584AC4"/>
    <w:rsid w:val="38926838"/>
    <w:rsid w:val="38AE7C60"/>
    <w:rsid w:val="38AF6E19"/>
    <w:rsid w:val="38B302F9"/>
    <w:rsid w:val="38F12CD3"/>
    <w:rsid w:val="38F94775"/>
    <w:rsid w:val="392971ED"/>
    <w:rsid w:val="392F201B"/>
    <w:rsid w:val="39325651"/>
    <w:rsid w:val="393403C1"/>
    <w:rsid w:val="39747E93"/>
    <w:rsid w:val="398373C6"/>
    <w:rsid w:val="39FC5F73"/>
    <w:rsid w:val="3A8721A8"/>
    <w:rsid w:val="3A872856"/>
    <w:rsid w:val="3B3763D1"/>
    <w:rsid w:val="3B5A4378"/>
    <w:rsid w:val="3B995C8A"/>
    <w:rsid w:val="3C2F6E1E"/>
    <w:rsid w:val="3C3E500A"/>
    <w:rsid w:val="3C4F64BA"/>
    <w:rsid w:val="3C6177C9"/>
    <w:rsid w:val="3CDA245A"/>
    <w:rsid w:val="3D1E06B7"/>
    <w:rsid w:val="3E1A08C0"/>
    <w:rsid w:val="3E317A73"/>
    <w:rsid w:val="3E8B434B"/>
    <w:rsid w:val="3EDA0523"/>
    <w:rsid w:val="3F8066E4"/>
    <w:rsid w:val="3FD10489"/>
    <w:rsid w:val="3FEA6A8D"/>
    <w:rsid w:val="4003130D"/>
    <w:rsid w:val="404D3608"/>
    <w:rsid w:val="407A6407"/>
    <w:rsid w:val="408217BD"/>
    <w:rsid w:val="409A6160"/>
    <w:rsid w:val="40C652D1"/>
    <w:rsid w:val="4100653B"/>
    <w:rsid w:val="41024FB4"/>
    <w:rsid w:val="417A49E3"/>
    <w:rsid w:val="41B94E35"/>
    <w:rsid w:val="4200449D"/>
    <w:rsid w:val="423A3BCC"/>
    <w:rsid w:val="424E57D2"/>
    <w:rsid w:val="42B26C49"/>
    <w:rsid w:val="43281BA1"/>
    <w:rsid w:val="433A6FE6"/>
    <w:rsid w:val="43480868"/>
    <w:rsid w:val="4350713C"/>
    <w:rsid w:val="436653E0"/>
    <w:rsid w:val="43C4431A"/>
    <w:rsid w:val="448906D2"/>
    <w:rsid w:val="44991594"/>
    <w:rsid w:val="44B951CC"/>
    <w:rsid w:val="44CD14E0"/>
    <w:rsid w:val="44D073D9"/>
    <w:rsid w:val="44F20B0B"/>
    <w:rsid w:val="450809C9"/>
    <w:rsid w:val="452E5F4C"/>
    <w:rsid w:val="45612018"/>
    <w:rsid w:val="45670E45"/>
    <w:rsid w:val="458946E9"/>
    <w:rsid w:val="4589785A"/>
    <w:rsid w:val="45A05C2C"/>
    <w:rsid w:val="45A47C0E"/>
    <w:rsid w:val="46577FD6"/>
    <w:rsid w:val="46D955A7"/>
    <w:rsid w:val="47081408"/>
    <w:rsid w:val="47133957"/>
    <w:rsid w:val="47A07E0C"/>
    <w:rsid w:val="47D15557"/>
    <w:rsid w:val="481128F5"/>
    <w:rsid w:val="481806BC"/>
    <w:rsid w:val="484379DD"/>
    <w:rsid w:val="4870272E"/>
    <w:rsid w:val="48C2073F"/>
    <w:rsid w:val="48E05833"/>
    <w:rsid w:val="49654661"/>
    <w:rsid w:val="49D40682"/>
    <w:rsid w:val="49DC7715"/>
    <w:rsid w:val="49FA3644"/>
    <w:rsid w:val="4A023139"/>
    <w:rsid w:val="4A247E8E"/>
    <w:rsid w:val="4A265E47"/>
    <w:rsid w:val="4A3260EB"/>
    <w:rsid w:val="4A7B576F"/>
    <w:rsid w:val="4AF561A9"/>
    <w:rsid w:val="4B702A09"/>
    <w:rsid w:val="4B8E651F"/>
    <w:rsid w:val="4BBF155B"/>
    <w:rsid w:val="4BE125DA"/>
    <w:rsid w:val="4BEF26E2"/>
    <w:rsid w:val="4C4A0649"/>
    <w:rsid w:val="4C7E5ECA"/>
    <w:rsid w:val="4C876AA5"/>
    <w:rsid w:val="4CA95D0D"/>
    <w:rsid w:val="4D0E00FB"/>
    <w:rsid w:val="4D176606"/>
    <w:rsid w:val="4D4C4E9F"/>
    <w:rsid w:val="4D5A1F9D"/>
    <w:rsid w:val="4DEC4FB0"/>
    <w:rsid w:val="4E075D8A"/>
    <w:rsid w:val="4E1D411F"/>
    <w:rsid w:val="4EC00FAD"/>
    <w:rsid w:val="4F1541B4"/>
    <w:rsid w:val="4F581277"/>
    <w:rsid w:val="4F8C25F6"/>
    <w:rsid w:val="4F8C5ED3"/>
    <w:rsid w:val="4F9843DC"/>
    <w:rsid w:val="4FC62A8C"/>
    <w:rsid w:val="4FE20F0D"/>
    <w:rsid w:val="4FE51552"/>
    <w:rsid w:val="50504C4B"/>
    <w:rsid w:val="505969CF"/>
    <w:rsid w:val="509C6E7C"/>
    <w:rsid w:val="509E4C44"/>
    <w:rsid w:val="515E55B0"/>
    <w:rsid w:val="5162104E"/>
    <w:rsid w:val="51C27A56"/>
    <w:rsid w:val="51F24576"/>
    <w:rsid w:val="522A531A"/>
    <w:rsid w:val="523B7B7B"/>
    <w:rsid w:val="52687F2F"/>
    <w:rsid w:val="5290573F"/>
    <w:rsid w:val="535A6E67"/>
    <w:rsid w:val="5368354C"/>
    <w:rsid w:val="53A039CC"/>
    <w:rsid w:val="53A1505A"/>
    <w:rsid w:val="54063E08"/>
    <w:rsid w:val="54107968"/>
    <w:rsid w:val="543437E8"/>
    <w:rsid w:val="546C7618"/>
    <w:rsid w:val="54F73313"/>
    <w:rsid w:val="54F80955"/>
    <w:rsid w:val="550761CA"/>
    <w:rsid w:val="55380DEE"/>
    <w:rsid w:val="555170A7"/>
    <w:rsid w:val="5587536D"/>
    <w:rsid w:val="559B174B"/>
    <w:rsid w:val="55AF2D18"/>
    <w:rsid w:val="55CA6EED"/>
    <w:rsid w:val="55CE0CF4"/>
    <w:rsid w:val="55F75258"/>
    <w:rsid w:val="56B22A9C"/>
    <w:rsid w:val="57B72A76"/>
    <w:rsid w:val="57C3426C"/>
    <w:rsid w:val="57CE1F93"/>
    <w:rsid w:val="585E7204"/>
    <w:rsid w:val="586B60D9"/>
    <w:rsid w:val="588743D1"/>
    <w:rsid w:val="5887701A"/>
    <w:rsid w:val="59172F86"/>
    <w:rsid w:val="59966805"/>
    <w:rsid w:val="59C0439F"/>
    <w:rsid w:val="59C100A3"/>
    <w:rsid w:val="5A120E9E"/>
    <w:rsid w:val="5A6220B6"/>
    <w:rsid w:val="5ABE2233"/>
    <w:rsid w:val="5ADC4ABF"/>
    <w:rsid w:val="5B9444F1"/>
    <w:rsid w:val="5BAB6083"/>
    <w:rsid w:val="5BDF5D95"/>
    <w:rsid w:val="5BEE4B07"/>
    <w:rsid w:val="5BF86C98"/>
    <w:rsid w:val="5BFE7528"/>
    <w:rsid w:val="5C2F1BBF"/>
    <w:rsid w:val="5C7D0879"/>
    <w:rsid w:val="5CB464A7"/>
    <w:rsid w:val="5DF539F8"/>
    <w:rsid w:val="5E2467F1"/>
    <w:rsid w:val="5E6F6657"/>
    <w:rsid w:val="5EAD5C4E"/>
    <w:rsid w:val="5F1A2B43"/>
    <w:rsid w:val="5FB837BB"/>
    <w:rsid w:val="5FEF2AFC"/>
    <w:rsid w:val="60CC405A"/>
    <w:rsid w:val="61E215D8"/>
    <w:rsid w:val="621B3775"/>
    <w:rsid w:val="62364782"/>
    <w:rsid w:val="62A53536"/>
    <w:rsid w:val="62FF4946"/>
    <w:rsid w:val="6394356A"/>
    <w:rsid w:val="63A772E9"/>
    <w:rsid w:val="63C61B2C"/>
    <w:rsid w:val="63D40BE9"/>
    <w:rsid w:val="63E02C32"/>
    <w:rsid w:val="64102431"/>
    <w:rsid w:val="642D134C"/>
    <w:rsid w:val="64A5243A"/>
    <w:rsid w:val="64AA2690"/>
    <w:rsid w:val="64F531DE"/>
    <w:rsid w:val="65373578"/>
    <w:rsid w:val="65E41D35"/>
    <w:rsid w:val="65FD5337"/>
    <w:rsid w:val="6615153D"/>
    <w:rsid w:val="66AF5D8A"/>
    <w:rsid w:val="66EC1597"/>
    <w:rsid w:val="671F124A"/>
    <w:rsid w:val="67407E58"/>
    <w:rsid w:val="677A33C6"/>
    <w:rsid w:val="67C543FE"/>
    <w:rsid w:val="68064081"/>
    <w:rsid w:val="681F6961"/>
    <w:rsid w:val="68307350"/>
    <w:rsid w:val="683F4841"/>
    <w:rsid w:val="68610A2F"/>
    <w:rsid w:val="68805514"/>
    <w:rsid w:val="68FB5860"/>
    <w:rsid w:val="69107653"/>
    <w:rsid w:val="69316E2F"/>
    <w:rsid w:val="694E2071"/>
    <w:rsid w:val="69766163"/>
    <w:rsid w:val="697A3B33"/>
    <w:rsid w:val="69A566EB"/>
    <w:rsid w:val="69C95B36"/>
    <w:rsid w:val="69D44760"/>
    <w:rsid w:val="6A04161A"/>
    <w:rsid w:val="6A1811F2"/>
    <w:rsid w:val="6A2D2598"/>
    <w:rsid w:val="6A486BD3"/>
    <w:rsid w:val="6A520EC7"/>
    <w:rsid w:val="6AF87E20"/>
    <w:rsid w:val="6AFB6E09"/>
    <w:rsid w:val="6B0853DB"/>
    <w:rsid w:val="6B0C558D"/>
    <w:rsid w:val="6B322639"/>
    <w:rsid w:val="6B426526"/>
    <w:rsid w:val="6B9F1BFA"/>
    <w:rsid w:val="6C1721B9"/>
    <w:rsid w:val="6C636C38"/>
    <w:rsid w:val="6D0472F1"/>
    <w:rsid w:val="6D225A71"/>
    <w:rsid w:val="6D2E310C"/>
    <w:rsid w:val="6D4A7ED7"/>
    <w:rsid w:val="6DB34098"/>
    <w:rsid w:val="6DB545B6"/>
    <w:rsid w:val="6DD63568"/>
    <w:rsid w:val="6DE02FB4"/>
    <w:rsid w:val="6E514CED"/>
    <w:rsid w:val="6E6543DB"/>
    <w:rsid w:val="6EB563D5"/>
    <w:rsid w:val="6ED92677"/>
    <w:rsid w:val="6F225983"/>
    <w:rsid w:val="6F3B56CB"/>
    <w:rsid w:val="6F3C6A53"/>
    <w:rsid w:val="6F4B394D"/>
    <w:rsid w:val="6F9666F7"/>
    <w:rsid w:val="6FFC5590"/>
    <w:rsid w:val="7040517F"/>
    <w:rsid w:val="706D1DD0"/>
    <w:rsid w:val="70856B87"/>
    <w:rsid w:val="70D01A23"/>
    <w:rsid w:val="70D527EE"/>
    <w:rsid w:val="70F120D5"/>
    <w:rsid w:val="715B5300"/>
    <w:rsid w:val="71CA4371"/>
    <w:rsid w:val="71D27F8A"/>
    <w:rsid w:val="72031631"/>
    <w:rsid w:val="723F6657"/>
    <w:rsid w:val="72553024"/>
    <w:rsid w:val="73122968"/>
    <w:rsid w:val="731F5D5E"/>
    <w:rsid w:val="73474AFA"/>
    <w:rsid w:val="73680132"/>
    <w:rsid w:val="736E6C15"/>
    <w:rsid w:val="737F44AC"/>
    <w:rsid w:val="73C51AD5"/>
    <w:rsid w:val="741E793C"/>
    <w:rsid w:val="745E3944"/>
    <w:rsid w:val="749F1BFF"/>
    <w:rsid w:val="74C72DEA"/>
    <w:rsid w:val="75077A13"/>
    <w:rsid w:val="750F0896"/>
    <w:rsid w:val="751879CC"/>
    <w:rsid w:val="755E4E07"/>
    <w:rsid w:val="75C40610"/>
    <w:rsid w:val="7635099D"/>
    <w:rsid w:val="76B91AA5"/>
    <w:rsid w:val="76DB6199"/>
    <w:rsid w:val="774F33B1"/>
    <w:rsid w:val="77762421"/>
    <w:rsid w:val="77B56B1F"/>
    <w:rsid w:val="780F09F4"/>
    <w:rsid w:val="78213868"/>
    <w:rsid w:val="783C5278"/>
    <w:rsid w:val="78A81ACF"/>
    <w:rsid w:val="78A90480"/>
    <w:rsid w:val="78CE665B"/>
    <w:rsid w:val="7966489E"/>
    <w:rsid w:val="79780B57"/>
    <w:rsid w:val="79F35234"/>
    <w:rsid w:val="79FB2AE3"/>
    <w:rsid w:val="7A364017"/>
    <w:rsid w:val="7A691091"/>
    <w:rsid w:val="7A8265E1"/>
    <w:rsid w:val="7ADE3215"/>
    <w:rsid w:val="7B10705B"/>
    <w:rsid w:val="7B686D42"/>
    <w:rsid w:val="7B841746"/>
    <w:rsid w:val="7BF73FB5"/>
    <w:rsid w:val="7C2611A3"/>
    <w:rsid w:val="7C6C5AC7"/>
    <w:rsid w:val="7C720017"/>
    <w:rsid w:val="7C837EAF"/>
    <w:rsid w:val="7C8B24DE"/>
    <w:rsid w:val="7CC6544B"/>
    <w:rsid w:val="7D0239FF"/>
    <w:rsid w:val="7D5E40CD"/>
    <w:rsid w:val="7D9D7EFC"/>
    <w:rsid w:val="7DC0673F"/>
    <w:rsid w:val="7DCD56F2"/>
    <w:rsid w:val="7F001CE7"/>
    <w:rsid w:val="7FC7180E"/>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nhideWhenUsed="0" w:uiPriority="9"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semiHidden/>
    <w:unhideWhenUsed/>
    <w:qFormat/>
    <w:locked/>
    <w:uiPriority w:val="0"/>
    <w:pPr>
      <w:spacing w:beforeAutospacing="1" w:afterAutospacing="1"/>
      <w:jc w:val="left"/>
      <w:outlineLvl w:val="1"/>
    </w:pPr>
    <w:rPr>
      <w:rFonts w:hint="eastAsia" w:ascii="宋体" w:hAnsi="宋体"/>
      <w:b/>
      <w:bCs/>
      <w:kern w:val="0"/>
      <w:sz w:val="36"/>
      <w:szCs w:val="36"/>
    </w:rPr>
  </w:style>
  <w:style w:type="paragraph" w:styleId="2">
    <w:name w:val="heading 3"/>
    <w:basedOn w:val="1"/>
    <w:next w:val="1"/>
    <w:autoRedefine/>
    <w:qFormat/>
    <w:locked/>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42"/>
    <w:autoRedefine/>
    <w:qFormat/>
    <w:locked/>
    <w:uiPriority w:val="9"/>
    <w:pPr>
      <w:keepNext/>
      <w:keepLines/>
      <w:spacing w:before="280" w:after="290" w:line="372" w:lineRule="auto"/>
      <w:outlineLvl w:val="3"/>
    </w:pPr>
    <w:rPr>
      <w:rFonts w:ascii="Arial" w:hAnsi="Arial" w:eastAsia="黑体"/>
      <w:b/>
    </w:rPr>
  </w:style>
  <w:style w:type="paragraph" w:styleId="6">
    <w:name w:val="heading 5"/>
    <w:basedOn w:val="1"/>
    <w:next w:val="1"/>
    <w:link w:val="43"/>
    <w:qFormat/>
    <w:locked/>
    <w:uiPriority w:val="0"/>
    <w:pPr>
      <w:keepNext/>
      <w:keepLines/>
      <w:numPr>
        <w:ilvl w:val="4"/>
        <w:numId w:val="1"/>
      </w:numPr>
      <w:spacing w:before="280" w:after="290" w:line="376" w:lineRule="auto"/>
      <w:outlineLvl w:val="4"/>
    </w:pPr>
    <w:rPr>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List 3"/>
    <w:basedOn w:val="1"/>
    <w:next w:val="1"/>
    <w:autoRedefine/>
    <w:qFormat/>
    <w:locked/>
    <w:uiPriority w:val="0"/>
    <w:pPr>
      <w:autoSpaceDE w:val="0"/>
      <w:autoSpaceDN w:val="0"/>
      <w:adjustRightInd w:val="0"/>
      <w:spacing w:line="288" w:lineRule="auto"/>
      <w:ind w:left="1260" w:hanging="420"/>
      <w:jc w:val="left"/>
      <w:textAlignment w:val="baseline"/>
    </w:pPr>
    <w:rPr>
      <w:kern w:val="0"/>
      <w:szCs w:val="20"/>
    </w:rPr>
  </w:style>
  <w:style w:type="paragraph" w:styleId="8">
    <w:name w:val="Normal Indent"/>
    <w:basedOn w:val="1"/>
    <w:next w:val="1"/>
    <w:autoRedefine/>
    <w:qFormat/>
    <w:locked/>
    <w:uiPriority w:val="99"/>
    <w:pPr>
      <w:ind w:firstLine="420" w:firstLineChars="200"/>
    </w:pPr>
    <w:rPr>
      <w:sz w:val="21"/>
    </w:rPr>
  </w:style>
  <w:style w:type="paragraph" w:styleId="9">
    <w:name w:val="caption"/>
    <w:basedOn w:val="1"/>
    <w:next w:val="1"/>
    <w:autoRedefine/>
    <w:qFormat/>
    <w:locked/>
    <w:uiPriority w:val="0"/>
    <w:pPr>
      <w:spacing w:before="120" w:line="360" w:lineRule="auto"/>
      <w:jc w:val="center"/>
    </w:pPr>
    <w:rPr>
      <w:rFonts w:eastAsia="黑体"/>
      <w:szCs w:val="20"/>
    </w:rPr>
  </w:style>
  <w:style w:type="paragraph" w:styleId="10">
    <w:name w:val="annotation text"/>
    <w:basedOn w:val="1"/>
    <w:link w:val="44"/>
    <w:autoRedefine/>
    <w:semiHidden/>
    <w:qFormat/>
    <w:uiPriority w:val="0"/>
    <w:pPr>
      <w:jc w:val="left"/>
    </w:pPr>
    <w:rPr>
      <w:kern w:val="0"/>
      <w:szCs w:val="20"/>
    </w:rPr>
  </w:style>
  <w:style w:type="paragraph" w:styleId="11">
    <w:name w:val="Salutation"/>
    <w:basedOn w:val="1"/>
    <w:next w:val="1"/>
    <w:autoRedefine/>
    <w:qFormat/>
    <w:locked/>
    <w:uiPriority w:val="0"/>
    <w:rPr>
      <w:sz w:val="28"/>
      <w:szCs w:val="20"/>
    </w:rPr>
  </w:style>
  <w:style w:type="paragraph" w:styleId="12">
    <w:name w:val="Body Text"/>
    <w:basedOn w:val="1"/>
    <w:next w:val="1"/>
    <w:link w:val="45"/>
    <w:autoRedefine/>
    <w:qFormat/>
    <w:uiPriority w:val="0"/>
    <w:pPr>
      <w:widowControl/>
      <w:snapToGrid w:val="0"/>
      <w:spacing w:before="60" w:after="160" w:line="259" w:lineRule="auto"/>
      <w:ind w:right="113"/>
    </w:pPr>
    <w:rPr>
      <w:kern w:val="0"/>
      <w:sz w:val="18"/>
      <w:szCs w:val="20"/>
    </w:rPr>
  </w:style>
  <w:style w:type="paragraph" w:styleId="13">
    <w:name w:val="Body Text Indent"/>
    <w:basedOn w:val="1"/>
    <w:next w:val="14"/>
    <w:link w:val="41"/>
    <w:autoRedefine/>
    <w:qFormat/>
    <w:uiPriority w:val="0"/>
    <w:pPr>
      <w:spacing w:after="120"/>
      <w:ind w:left="420" w:leftChars="200"/>
    </w:pPr>
    <w:rPr>
      <w:kern w:val="0"/>
      <w:szCs w:val="20"/>
    </w:rPr>
  </w:style>
  <w:style w:type="paragraph" w:styleId="14">
    <w:name w:val="Body Text Indent 2"/>
    <w:basedOn w:val="1"/>
    <w:next w:val="15"/>
    <w:qFormat/>
    <w:locked/>
    <w:uiPriority w:val="0"/>
    <w:pPr>
      <w:ind w:firstLine="560" w:firstLineChars="200"/>
    </w:pPr>
    <w:rPr>
      <w:rFonts w:ascii="宋体" w:hAnsi="宋体"/>
      <w:sz w:val="28"/>
      <w:szCs w:val="20"/>
    </w:rPr>
  </w:style>
  <w:style w:type="paragraph" w:styleId="15">
    <w:name w:val="Body Text First Indent 2"/>
    <w:basedOn w:val="13"/>
    <w:next w:val="1"/>
    <w:qFormat/>
    <w:locked/>
    <w:uiPriority w:val="0"/>
    <w:pPr>
      <w:ind w:firstLine="420"/>
    </w:pPr>
  </w:style>
  <w:style w:type="paragraph" w:styleId="16">
    <w:name w:val="Plain Text"/>
    <w:basedOn w:val="1"/>
    <w:next w:val="11"/>
    <w:autoRedefine/>
    <w:unhideWhenUsed/>
    <w:qFormat/>
    <w:locked/>
    <w:uiPriority w:val="99"/>
    <w:rPr>
      <w:rFonts w:ascii="宋体" w:hAnsi="Courier New" w:cs="Courier New"/>
      <w:szCs w:val="21"/>
    </w:rPr>
  </w:style>
  <w:style w:type="paragraph" w:styleId="17">
    <w:name w:val="Date"/>
    <w:basedOn w:val="1"/>
    <w:next w:val="1"/>
    <w:link w:val="46"/>
    <w:autoRedefine/>
    <w:qFormat/>
    <w:uiPriority w:val="0"/>
    <w:pPr>
      <w:ind w:left="100" w:leftChars="2500"/>
    </w:pPr>
    <w:rPr>
      <w:kern w:val="0"/>
      <w:szCs w:val="20"/>
    </w:rPr>
  </w:style>
  <w:style w:type="paragraph" w:styleId="18">
    <w:name w:val="Balloon Text"/>
    <w:basedOn w:val="1"/>
    <w:link w:val="47"/>
    <w:autoRedefine/>
    <w:semiHidden/>
    <w:qFormat/>
    <w:uiPriority w:val="0"/>
    <w:rPr>
      <w:kern w:val="0"/>
      <w:sz w:val="18"/>
      <w:szCs w:val="20"/>
    </w:rPr>
  </w:style>
  <w:style w:type="paragraph" w:styleId="19">
    <w:name w:val="footer"/>
    <w:basedOn w:val="1"/>
    <w:link w:val="48"/>
    <w:autoRedefine/>
    <w:qFormat/>
    <w:uiPriority w:val="99"/>
    <w:pPr>
      <w:tabs>
        <w:tab w:val="center" w:pos="4153"/>
        <w:tab w:val="right" w:pos="8306"/>
      </w:tabs>
      <w:snapToGrid w:val="0"/>
      <w:jc w:val="left"/>
    </w:pPr>
    <w:rPr>
      <w:kern w:val="0"/>
      <w:sz w:val="18"/>
      <w:szCs w:val="20"/>
    </w:rPr>
  </w:style>
  <w:style w:type="paragraph" w:styleId="20">
    <w:name w:val="header"/>
    <w:basedOn w:val="1"/>
    <w:link w:val="49"/>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index heading"/>
    <w:basedOn w:val="1"/>
    <w:next w:val="22"/>
    <w:autoRedefine/>
    <w:qFormat/>
    <w:locked/>
    <w:uiPriority w:val="0"/>
    <w:rPr>
      <w:szCs w:val="20"/>
    </w:rPr>
  </w:style>
  <w:style w:type="paragraph" w:styleId="22">
    <w:name w:val="index 1"/>
    <w:basedOn w:val="1"/>
    <w:next w:val="1"/>
    <w:autoRedefine/>
    <w:qFormat/>
    <w:locked/>
    <w:uiPriority w:val="0"/>
    <w:pPr>
      <w:jc w:val="center"/>
    </w:pPr>
    <w:rPr>
      <w:rFonts w:eastAsia="黑体"/>
      <w:color w:val="000000"/>
      <w:sz w:val="21"/>
    </w:rPr>
  </w:style>
  <w:style w:type="paragraph" w:styleId="23">
    <w:name w:val="table of figures"/>
    <w:basedOn w:val="1"/>
    <w:next w:val="1"/>
    <w:unhideWhenUsed/>
    <w:qFormat/>
    <w:locked/>
    <w:uiPriority w:val="99"/>
    <w:pPr>
      <w:ind w:left="200" w:leftChars="200" w:hanging="200" w:hangingChars="200"/>
    </w:pPr>
  </w:style>
  <w:style w:type="paragraph" w:styleId="24">
    <w:name w:val="Body Text 2"/>
    <w:basedOn w:val="1"/>
    <w:next w:val="1"/>
    <w:autoRedefine/>
    <w:qFormat/>
    <w:locked/>
    <w:uiPriority w:val="0"/>
    <w:rPr>
      <w:sz w:val="28"/>
    </w:rPr>
  </w:style>
  <w:style w:type="paragraph" w:styleId="25">
    <w:name w:val="Normal (Web)"/>
    <w:basedOn w:val="1"/>
    <w:link w:val="50"/>
    <w:autoRedefine/>
    <w:qFormat/>
    <w:uiPriority w:val="0"/>
    <w:pPr>
      <w:widowControl/>
      <w:spacing w:before="100" w:beforeAutospacing="1" w:after="100" w:afterAutospacing="1"/>
      <w:jc w:val="left"/>
    </w:pPr>
    <w:rPr>
      <w:rFonts w:ascii="宋体" w:hAnsi="宋体"/>
      <w:kern w:val="0"/>
      <w:szCs w:val="20"/>
    </w:rPr>
  </w:style>
  <w:style w:type="paragraph" w:styleId="26">
    <w:name w:val="annotation subject"/>
    <w:basedOn w:val="10"/>
    <w:next w:val="10"/>
    <w:link w:val="51"/>
    <w:autoRedefine/>
    <w:semiHidden/>
    <w:qFormat/>
    <w:uiPriority w:val="0"/>
    <w:rPr>
      <w:b/>
    </w:rPr>
  </w:style>
  <w:style w:type="paragraph" w:styleId="27">
    <w:name w:val="Body Text First Indent"/>
    <w:basedOn w:val="12"/>
    <w:autoRedefine/>
    <w:unhideWhenUsed/>
    <w:qFormat/>
    <w:locked/>
    <w:uiPriority w:val="99"/>
    <w:pPr>
      <w:widowControl w:val="0"/>
      <w:ind w:firstLine="420" w:firstLineChars="100"/>
    </w:pPr>
    <w:rPr>
      <w:kern w:val="2"/>
      <w:sz w:val="21"/>
    </w:rPr>
  </w:style>
  <w:style w:type="table" w:styleId="29">
    <w:name w:val="Table Grid"/>
    <w:basedOn w:val="28"/>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autoRedefine/>
    <w:qFormat/>
    <w:locked/>
    <w:uiPriority w:val="0"/>
    <w:rPr>
      <w:b/>
    </w:rPr>
  </w:style>
  <w:style w:type="character" w:styleId="32">
    <w:name w:val="page number"/>
    <w:autoRedefine/>
    <w:qFormat/>
    <w:locked/>
    <w:uiPriority w:val="0"/>
  </w:style>
  <w:style w:type="character" w:styleId="33">
    <w:name w:val="Hyperlink"/>
    <w:basedOn w:val="30"/>
    <w:autoRedefine/>
    <w:qFormat/>
    <w:locked/>
    <w:uiPriority w:val="0"/>
    <w:rPr>
      <w:color w:val="0000FF"/>
      <w:u w:val="single"/>
    </w:rPr>
  </w:style>
  <w:style w:type="character" w:styleId="34">
    <w:name w:val="annotation reference"/>
    <w:autoRedefine/>
    <w:semiHidden/>
    <w:qFormat/>
    <w:uiPriority w:val="0"/>
    <w:rPr>
      <w:sz w:val="21"/>
    </w:rPr>
  </w:style>
  <w:style w:type="paragraph" w:customStyle="1" w:styleId="35">
    <w:name w:val="Default"/>
    <w:basedOn w:val="36"/>
    <w:next w:val="7"/>
    <w:autoRedefine/>
    <w:qFormat/>
    <w:uiPriority w:val="0"/>
    <w:rPr>
      <w:color w:val="000000"/>
    </w:rPr>
  </w:style>
  <w:style w:type="paragraph" w:customStyle="1" w:styleId="36">
    <w:name w:val="纯文本1"/>
    <w:basedOn w:val="1"/>
    <w:next w:val="1"/>
    <w:autoRedefine/>
    <w:qFormat/>
    <w:uiPriority w:val="0"/>
    <w:pPr>
      <w:adjustRightInd w:val="0"/>
    </w:pPr>
    <w:rPr>
      <w:rFonts w:ascii="宋体" w:hAnsi="Courier New"/>
      <w:szCs w:val="20"/>
    </w:rPr>
  </w:style>
  <w:style w:type="paragraph" w:customStyle="1" w:styleId="37">
    <w:name w:val="文本"/>
    <w:basedOn w:val="1"/>
    <w:next w:val="1"/>
    <w:autoRedefine/>
    <w:qFormat/>
    <w:uiPriority w:val="0"/>
    <w:pPr>
      <w:autoSpaceDE w:val="0"/>
      <w:autoSpaceDN w:val="0"/>
      <w:ind w:firstLine="480"/>
    </w:pPr>
    <w:rPr>
      <w:lang w:val="zh-CN"/>
    </w:rPr>
  </w:style>
  <w:style w:type="paragraph" w:customStyle="1" w:styleId="38">
    <w:name w:val="样式1"/>
    <w:basedOn w:val="21"/>
    <w:next w:val="1"/>
    <w:autoRedefine/>
    <w:qFormat/>
    <w:uiPriority w:val="0"/>
    <w:pPr>
      <w:snapToGrid w:val="0"/>
      <w:jc w:val="center"/>
    </w:pPr>
    <w:rPr>
      <w:rFonts w:ascii="宋体"/>
      <w:sz w:val="21"/>
    </w:rPr>
  </w:style>
  <w:style w:type="paragraph" w:customStyle="1" w:styleId="39">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0">
    <w:name w:val="A-正文"/>
    <w:basedOn w:val="1"/>
    <w:autoRedefine/>
    <w:qFormat/>
    <w:uiPriority w:val="0"/>
    <w:pPr>
      <w:spacing w:line="560" w:lineRule="exact"/>
      <w:ind w:firstLine="560" w:firstLineChars="200"/>
    </w:pPr>
    <w:rPr>
      <w:rFonts w:eastAsia="仿宋_GB2312"/>
      <w:kern w:val="0"/>
    </w:rPr>
  </w:style>
  <w:style w:type="character" w:customStyle="1" w:styleId="41">
    <w:name w:val="正文文本缩进 字符"/>
    <w:link w:val="13"/>
    <w:autoRedefine/>
    <w:semiHidden/>
    <w:qFormat/>
    <w:locked/>
    <w:uiPriority w:val="0"/>
    <w:rPr>
      <w:rFonts w:ascii="Times New Roman" w:hAnsi="Times New Roman" w:eastAsia="宋体"/>
      <w:sz w:val="24"/>
    </w:rPr>
  </w:style>
  <w:style w:type="character" w:customStyle="1" w:styleId="42">
    <w:name w:val="标题 4 字符"/>
    <w:link w:val="5"/>
    <w:autoRedefine/>
    <w:qFormat/>
    <w:uiPriority w:val="0"/>
    <w:rPr>
      <w:rFonts w:ascii="Calibri Light" w:hAnsi="Calibri Light" w:eastAsia="宋体" w:cs="Times New Roman"/>
      <w:b/>
      <w:bCs/>
      <w:kern w:val="2"/>
      <w:sz w:val="28"/>
      <w:szCs w:val="28"/>
    </w:rPr>
  </w:style>
  <w:style w:type="character" w:customStyle="1" w:styleId="43">
    <w:name w:val="标题 5 字符"/>
    <w:link w:val="6"/>
    <w:autoRedefine/>
    <w:qFormat/>
    <w:uiPriority w:val="0"/>
    <w:rPr>
      <w:rFonts w:hint="eastAsia" w:ascii="宋体" w:hAnsi="宋体" w:eastAsia="宋体" w:cs="宋体"/>
      <w:b/>
      <w:bCs/>
      <w:kern w:val="2"/>
      <w:sz w:val="24"/>
      <w:szCs w:val="24"/>
      <w:lang w:val="zh-CN" w:bidi="zh-CN"/>
    </w:rPr>
  </w:style>
  <w:style w:type="character" w:customStyle="1" w:styleId="44">
    <w:name w:val="批注文字 字符"/>
    <w:link w:val="10"/>
    <w:autoRedefine/>
    <w:qFormat/>
    <w:locked/>
    <w:uiPriority w:val="0"/>
    <w:rPr>
      <w:rFonts w:ascii="Times New Roman" w:hAnsi="Times New Roman" w:eastAsia="宋体"/>
      <w:sz w:val="24"/>
    </w:rPr>
  </w:style>
  <w:style w:type="character" w:customStyle="1" w:styleId="45">
    <w:name w:val="正文文本 字符2"/>
    <w:link w:val="12"/>
    <w:autoRedefine/>
    <w:qFormat/>
    <w:locked/>
    <w:uiPriority w:val="0"/>
    <w:rPr>
      <w:sz w:val="18"/>
    </w:rPr>
  </w:style>
  <w:style w:type="character" w:customStyle="1" w:styleId="46">
    <w:name w:val="日期 字符1"/>
    <w:link w:val="17"/>
    <w:autoRedefine/>
    <w:qFormat/>
    <w:locked/>
    <w:uiPriority w:val="0"/>
    <w:rPr>
      <w:rFonts w:ascii="Times New Roman" w:hAnsi="Times New Roman" w:eastAsia="宋体"/>
      <w:sz w:val="24"/>
    </w:rPr>
  </w:style>
  <w:style w:type="character" w:customStyle="1" w:styleId="47">
    <w:name w:val="批注框文本 字符"/>
    <w:link w:val="18"/>
    <w:autoRedefine/>
    <w:semiHidden/>
    <w:qFormat/>
    <w:locked/>
    <w:uiPriority w:val="0"/>
    <w:rPr>
      <w:rFonts w:ascii="Times New Roman" w:hAnsi="Times New Roman" w:eastAsia="宋体"/>
      <w:sz w:val="18"/>
    </w:rPr>
  </w:style>
  <w:style w:type="character" w:customStyle="1" w:styleId="48">
    <w:name w:val="页脚 字符1"/>
    <w:link w:val="19"/>
    <w:autoRedefine/>
    <w:qFormat/>
    <w:locked/>
    <w:uiPriority w:val="99"/>
    <w:rPr>
      <w:sz w:val="18"/>
    </w:rPr>
  </w:style>
  <w:style w:type="character" w:customStyle="1" w:styleId="49">
    <w:name w:val="页眉 字符"/>
    <w:link w:val="20"/>
    <w:autoRedefine/>
    <w:qFormat/>
    <w:locked/>
    <w:uiPriority w:val="0"/>
    <w:rPr>
      <w:sz w:val="18"/>
    </w:rPr>
  </w:style>
  <w:style w:type="character" w:customStyle="1" w:styleId="50">
    <w:name w:val="普通(网站) 字符"/>
    <w:link w:val="25"/>
    <w:autoRedefine/>
    <w:qFormat/>
    <w:locked/>
    <w:uiPriority w:val="0"/>
    <w:rPr>
      <w:rFonts w:ascii="宋体" w:hAnsi="宋体" w:eastAsia="宋体"/>
      <w:sz w:val="24"/>
    </w:rPr>
  </w:style>
  <w:style w:type="character" w:customStyle="1" w:styleId="51">
    <w:name w:val="批注主题 字符"/>
    <w:link w:val="26"/>
    <w:autoRedefine/>
    <w:semiHidden/>
    <w:qFormat/>
    <w:locked/>
    <w:uiPriority w:val="0"/>
    <w:rPr>
      <w:rFonts w:ascii="Times New Roman" w:hAnsi="Times New Roman" w:eastAsia="宋体"/>
      <w:b/>
      <w:kern w:val="2"/>
      <w:sz w:val="24"/>
    </w:rPr>
  </w:style>
  <w:style w:type="character" w:customStyle="1" w:styleId="52">
    <w:name w:val="正文文本 字符"/>
    <w:autoRedefine/>
    <w:qFormat/>
    <w:uiPriority w:val="0"/>
    <w:rPr>
      <w:kern w:val="2"/>
      <w:sz w:val="24"/>
      <w:szCs w:val="24"/>
    </w:rPr>
  </w:style>
  <w:style w:type="character" w:customStyle="1" w:styleId="53">
    <w:name w:val="批注文字 字符1"/>
    <w:autoRedefine/>
    <w:semiHidden/>
    <w:qFormat/>
    <w:uiPriority w:val="0"/>
    <w:rPr>
      <w:rFonts w:ascii="Times New Roman" w:hAnsi="Times New Roman" w:eastAsia="宋体"/>
      <w:sz w:val="24"/>
    </w:rPr>
  </w:style>
  <w:style w:type="character" w:customStyle="1" w:styleId="54">
    <w:name w:val="日期 字符"/>
    <w:autoRedefine/>
    <w:semiHidden/>
    <w:qFormat/>
    <w:uiPriority w:val="0"/>
    <w:rPr>
      <w:rFonts w:ascii="Times New Roman" w:hAnsi="Times New Roman" w:eastAsia="宋体"/>
      <w:sz w:val="24"/>
    </w:rPr>
  </w:style>
  <w:style w:type="character" w:customStyle="1" w:styleId="55">
    <w:name w:val="表格 Char"/>
    <w:link w:val="56"/>
    <w:autoRedefine/>
    <w:qFormat/>
    <w:locked/>
    <w:uiPriority w:val="0"/>
    <w:rPr>
      <w:rFonts w:ascii="宋体"/>
      <w:sz w:val="21"/>
    </w:rPr>
  </w:style>
  <w:style w:type="paragraph" w:customStyle="1" w:styleId="56">
    <w:name w:val="表格"/>
    <w:basedOn w:val="23"/>
    <w:next w:val="1"/>
    <w:link w:val="55"/>
    <w:autoRedefine/>
    <w:qFormat/>
    <w:uiPriority w:val="0"/>
    <w:pPr>
      <w:adjustRightInd w:val="0"/>
      <w:snapToGrid w:val="0"/>
      <w:spacing w:beforeLines="10" w:afterLines="10" w:line="259" w:lineRule="auto"/>
      <w:jc w:val="center"/>
    </w:pPr>
    <w:rPr>
      <w:rFonts w:ascii="宋体"/>
      <w:kern w:val="0"/>
      <w:szCs w:val="20"/>
    </w:rPr>
  </w:style>
  <w:style w:type="character" w:customStyle="1" w:styleId="57">
    <w:name w:val="页脚 字符"/>
    <w:autoRedefine/>
    <w:qFormat/>
    <w:uiPriority w:val="99"/>
  </w:style>
  <w:style w:type="character" w:customStyle="1" w:styleId="58">
    <w:name w:val="正文文本 字符1"/>
    <w:autoRedefine/>
    <w:semiHidden/>
    <w:qFormat/>
    <w:uiPriority w:val="0"/>
    <w:rPr>
      <w:rFonts w:ascii="Times New Roman" w:hAnsi="Times New Roman" w:eastAsia="宋体"/>
      <w:sz w:val="24"/>
    </w:rPr>
  </w:style>
  <w:style w:type="paragraph" w:customStyle="1" w:styleId="59">
    <w:name w:val="！正文"/>
    <w:basedOn w:val="1"/>
    <w:autoRedefine/>
    <w:qFormat/>
    <w:uiPriority w:val="0"/>
    <w:pPr>
      <w:ind w:firstLine="480"/>
    </w:pPr>
    <w:rPr>
      <w:rFonts w:cs="宋体"/>
      <w:sz w:val="21"/>
      <w:szCs w:val="20"/>
    </w:rPr>
  </w:style>
  <w:style w:type="paragraph" w:customStyle="1" w:styleId="60">
    <w:name w:val="正文首行缩进1"/>
    <w:basedOn w:val="12"/>
    <w:autoRedefine/>
    <w:qFormat/>
    <w:uiPriority w:val="0"/>
    <w:pPr>
      <w:spacing w:before="100" w:beforeAutospacing="1"/>
      <w:ind w:firstLine="420" w:firstLineChars="100"/>
    </w:pPr>
    <w:rPr>
      <w:rFonts w:ascii="Calibri" w:hAnsi="Calibri"/>
      <w:szCs w:val="21"/>
    </w:rPr>
  </w:style>
  <w:style w:type="paragraph" w:customStyle="1" w:styleId="61">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62">
    <w:name w:val="A标准格式"/>
    <w:basedOn w:val="1"/>
    <w:autoRedefine/>
    <w:qFormat/>
    <w:uiPriority w:val="0"/>
    <w:pPr>
      <w:spacing w:line="440" w:lineRule="exact"/>
      <w:ind w:firstLine="480" w:firstLineChars="200"/>
    </w:pPr>
  </w:style>
  <w:style w:type="paragraph" w:customStyle="1" w:styleId="63">
    <w:name w:val="24磅正文"/>
    <w:basedOn w:val="1"/>
    <w:autoRedefine/>
    <w:qFormat/>
    <w:uiPriority w:val="0"/>
    <w:pPr>
      <w:spacing w:line="480" w:lineRule="exact"/>
      <w:ind w:firstLine="480" w:firstLineChars="200"/>
    </w:pPr>
  </w:style>
  <w:style w:type="paragraph" w:customStyle="1" w:styleId="64">
    <w:name w:val="正文文字"/>
    <w:basedOn w:val="1"/>
    <w:autoRedefine/>
    <w:qFormat/>
    <w:uiPriority w:val="0"/>
    <w:pPr>
      <w:spacing w:line="560" w:lineRule="exact"/>
      <w:ind w:firstLine="200" w:firstLineChars="200"/>
    </w:pPr>
    <w:rPr>
      <w:szCs w:val="20"/>
    </w:rPr>
  </w:style>
  <w:style w:type="paragraph" w:customStyle="1" w:styleId="65">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6">
    <w:name w:val="[1]正文"/>
    <w:basedOn w:val="1"/>
    <w:autoRedefine/>
    <w:qFormat/>
    <w:uiPriority w:val="0"/>
    <w:pPr>
      <w:autoSpaceDE w:val="0"/>
      <w:autoSpaceDN w:val="0"/>
      <w:ind w:firstLine="200" w:firstLineChars="200"/>
    </w:pPr>
    <w:rPr>
      <w:color w:val="000000"/>
      <w:kern w:val="0"/>
      <w:szCs w:val="22"/>
      <w:lang w:val="zh-CN"/>
    </w:rPr>
  </w:style>
  <w:style w:type="paragraph" w:customStyle="1" w:styleId="67">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68">
    <w:name w:val="表格内容自定"/>
    <w:basedOn w:val="1"/>
    <w:autoRedefine/>
    <w:qFormat/>
    <w:uiPriority w:val="0"/>
    <w:pPr>
      <w:spacing w:line="280" w:lineRule="exact"/>
      <w:jc w:val="center"/>
    </w:pPr>
    <w:rPr>
      <w:kern w:val="0"/>
      <w:sz w:val="18"/>
      <w:szCs w:val="21"/>
    </w:rPr>
  </w:style>
  <w:style w:type="paragraph" w:customStyle="1" w:styleId="69">
    <w:name w:val="*正文"/>
    <w:autoRedefine/>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paragraph" w:customStyle="1" w:styleId="70">
    <w:name w:val="Table Paragraph"/>
    <w:basedOn w:val="1"/>
    <w:autoRedefine/>
    <w:qFormat/>
    <w:uiPriority w:val="0"/>
    <w:pPr>
      <w:jc w:val="center"/>
    </w:pPr>
    <w:rPr>
      <w:rFonts w:ascii="宋体" w:hAnsi="宋体" w:cs="宋体"/>
      <w:sz w:val="21"/>
      <w:szCs w:val="21"/>
    </w:rPr>
  </w:style>
  <w:style w:type="paragraph" w:customStyle="1" w:styleId="71">
    <w:name w:val="无间隔1"/>
    <w:basedOn w:val="1"/>
    <w:autoRedefine/>
    <w:qFormat/>
    <w:uiPriority w:val="0"/>
    <w:pPr>
      <w:widowControl/>
      <w:jc w:val="left"/>
    </w:pPr>
    <w:rPr>
      <w:rFonts w:ascii="Cambria" w:hAnsi="Cambria"/>
      <w:kern w:val="0"/>
      <w:sz w:val="22"/>
      <w:szCs w:val="22"/>
      <w:lang w:eastAsia="en-US" w:bidi="en-US"/>
    </w:rPr>
  </w:style>
  <w:style w:type="paragraph" w:customStyle="1" w:styleId="72">
    <w:name w:val="p0"/>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73">
    <w:name w:val="表格内容"/>
    <w:basedOn w:val="1"/>
    <w:next w:val="1"/>
    <w:autoRedefine/>
    <w:qFormat/>
    <w:uiPriority w:val="0"/>
    <w:pPr>
      <w:spacing w:line="240" w:lineRule="atLeast"/>
      <w:jc w:val="center"/>
    </w:pPr>
    <w:rPr>
      <w:szCs w:val="20"/>
    </w:rPr>
  </w:style>
  <w:style w:type="paragraph" w:customStyle="1" w:styleId="74">
    <w:name w:val="新格式表"/>
    <w:basedOn w:val="1"/>
    <w:autoRedefine/>
    <w:qFormat/>
    <w:uiPriority w:val="0"/>
    <w:pPr>
      <w:adjustRightInd w:val="0"/>
      <w:snapToGrid w:val="0"/>
      <w:spacing w:line="0" w:lineRule="atLeast"/>
      <w:jc w:val="center"/>
    </w:pPr>
    <w:rPr>
      <w:kern w:val="0"/>
      <w:szCs w:val="21"/>
    </w:rPr>
  </w:style>
  <w:style w:type="paragraph" w:customStyle="1" w:styleId="75">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76">
    <w:name w:val="表格内文字"/>
    <w:basedOn w:val="1"/>
    <w:autoRedefine/>
    <w:qFormat/>
    <w:uiPriority w:val="0"/>
    <w:pPr>
      <w:tabs>
        <w:tab w:val="left" w:pos="0"/>
      </w:tabs>
      <w:adjustRightInd w:val="0"/>
      <w:snapToGrid w:val="0"/>
      <w:jc w:val="center"/>
    </w:pPr>
    <w:rPr>
      <w:kern w:val="0"/>
    </w:rPr>
  </w:style>
  <w:style w:type="paragraph" w:customStyle="1" w:styleId="77">
    <w:name w:val="表内容"/>
    <w:basedOn w:val="63"/>
    <w:next w:val="1"/>
    <w:autoRedefine/>
    <w:qFormat/>
    <w:uiPriority w:val="0"/>
    <w:pPr>
      <w:spacing w:line="360" w:lineRule="exact"/>
      <w:ind w:firstLine="0" w:firstLineChars="0"/>
      <w:jc w:val="center"/>
    </w:pPr>
    <w:rPr>
      <w:szCs w:val="21"/>
    </w:rPr>
  </w:style>
  <w:style w:type="paragraph" w:customStyle="1" w:styleId="78">
    <w:name w:val="正文 + 仿宋_GB2312"/>
    <w:basedOn w:val="1"/>
    <w:autoRedefine/>
    <w:qFormat/>
    <w:uiPriority w:val="99"/>
    <w:pPr>
      <w:ind w:firstLine="480" w:firstLineChars="200"/>
    </w:pPr>
    <w:rPr>
      <w:rFonts w:ascii="仿宋_GB2312" w:hAnsi="Calibri" w:eastAsia="仿宋_GB2312"/>
    </w:rPr>
  </w:style>
  <w:style w:type="paragraph" w:customStyle="1" w:styleId="79">
    <w:name w:val="胡正文"/>
    <w:basedOn w:val="1"/>
    <w:autoRedefine/>
    <w:qFormat/>
    <w:uiPriority w:val="0"/>
    <w:pPr>
      <w:spacing w:line="360" w:lineRule="auto"/>
      <w:ind w:firstLine="200" w:firstLineChars="200"/>
      <w:jc w:val="left"/>
    </w:pPr>
    <w:rPr>
      <w:rFonts w:ascii="宋体" w:hAnsi="宋体"/>
      <w:szCs w:val="28"/>
    </w:rPr>
  </w:style>
  <w:style w:type="paragraph" w:customStyle="1" w:styleId="80">
    <w:name w:val="4表格标题"/>
    <w:basedOn w:val="1"/>
    <w:autoRedefine/>
    <w:qFormat/>
    <w:uiPriority w:val="0"/>
    <w:pPr>
      <w:numPr>
        <w:ilvl w:val="3"/>
        <w:numId w:val="2"/>
      </w:numPr>
      <w:spacing w:line="360" w:lineRule="auto"/>
      <w:jc w:val="center"/>
    </w:pPr>
    <w:rPr>
      <w:rFonts w:ascii="gbsnu54" w:hAnsi="gbsnu54" w:cs="gbsnu54"/>
      <w:b/>
      <w:bCs/>
      <w:color w:val="000000"/>
      <w:kern w:val="0"/>
      <w:szCs w:val="16"/>
    </w:rPr>
  </w:style>
  <w:style w:type="character" w:customStyle="1" w:styleId="81">
    <w:name w:val="font11"/>
    <w:basedOn w:val="30"/>
    <w:autoRedefine/>
    <w:qFormat/>
    <w:uiPriority w:val="0"/>
    <w:rPr>
      <w:rFonts w:hint="eastAsia" w:ascii="宋体" w:hAnsi="宋体" w:eastAsia="宋体" w:cs="宋体"/>
      <w:color w:val="000000"/>
      <w:sz w:val="39"/>
      <w:szCs w:val="39"/>
      <w:u w:val="none"/>
    </w:rPr>
  </w:style>
  <w:style w:type="paragraph" w:customStyle="1" w:styleId="82">
    <w:name w:val="7表格内容"/>
    <w:basedOn w:val="83"/>
    <w:autoRedefine/>
    <w:qFormat/>
    <w:uiPriority w:val="0"/>
    <w:pPr>
      <w:spacing w:line="240" w:lineRule="auto"/>
      <w:ind w:firstLine="0" w:firstLineChars="0"/>
      <w:jc w:val="center"/>
    </w:pPr>
    <w:rPr>
      <w:szCs w:val="21"/>
    </w:rPr>
  </w:style>
  <w:style w:type="paragraph" w:customStyle="1" w:styleId="83">
    <w:name w:val="5段落"/>
    <w:basedOn w:val="1"/>
    <w:autoRedefine/>
    <w:qFormat/>
    <w:uiPriority w:val="0"/>
    <w:pPr>
      <w:spacing w:line="360" w:lineRule="auto"/>
      <w:ind w:firstLine="420" w:firstLineChars="200"/>
    </w:pPr>
  </w:style>
  <w:style w:type="paragraph" w:customStyle="1" w:styleId="84">
    <w:name w:val="无间隔2"/>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85">
    <w:name w:val="TH"/>
    <w:basedOn w:val="86"/>
    <w:autoRedefine/>
    <w:qFormat/>
    <w:uiPriority w:val="0"/>
    <w:pPr>
      <w:ind w:firstLine="0"/>
      <w:jc w:val="center"/>
    </w:pPr>
    <w:rPr>
      <w:b/>
    </w:rPr>
  </w:style>
  <w:style w:type="paragraph" w:customStyle="1" w:styleId="86">
    <w:name w:val="TW"/>
    <w:basedOn w:val="1"/>
    <w:autoRedefine/>
    <w:qFormat/>
    <w:uiPriority w:val="0"/>
    <w:pPr>
      <w:ind w:firstLine="480"/>
    </w:pPr>
  </w:style>
  <w:style w:type="character" w:customStyle="1" w:styleId="87">
    <w:name w:val="font31"/>
    <w:autoRedefine/>
    <w:qFormat/>
    <w:uiPriority w:val="0"/>
    <w:rPr>
      <w:rFonts w:hint="default" w:ascii="Times New Roman" w:hAnsi="Times New Roman" w:cs="Times New Roman"/>
      <w:color w:val="0000FF"/>
      <w:sz w:val="21"/>
      <w:szCs w:val="21"/>
      <w:u w:val="none"/>
    </w:rPr>
  </w:style>
  <w:style w:type="paragraph" w:customStyle="1" w:styleId="88">
    <w:name w:val="6表内容"/>
    <w:basedOn w:val="1"/>
    <w:autoRedefine/>
    <w:qFormat/>
    <w:uiPriority w:val="0"/>
    <w:pPr>
      <w:jc w:val="center"/>
    </w:pPr>
    <w:rPr>
      <w:rFonts w:cs="宋体"/>
      <w:color w:val="000000"/>
      <w:sz w:val="21"/>
      <w:szCs w:val="20"/>
    </w:rPr>
  </w:style>
  <w:style w:type="table" w:customStyle="1" w:styleId="89">
    <w:name w:val="Table Normal"/>
    <w:autoRedefine/>
    <w:semiHidden/>
    <w:unhideWhenUsed/>
    <w:qFormat/>
    <w:uiPriority w:val="0"/>
    <w:tblPr>
      <w:tblCellMar>
        <w:top w:w="0" w:type="dxa"/>
        <w:left w:w="0" w:type="dxa"/>
        <w:bottom w:w="0" w:type="dxa"/>
        <w:right w:w="0" w:type="dxa"/>
      </w:tblCellMar>
    </w:tblPr>
  </w:style>
  <w:style w:type="character" w:customStyle="1" w:styleId="90">
    <w:name w:val="fontstyle01"/>
    <w:basedOn w:val="30"/>
    <w:autoRedefine/>
    <w:qFormat/>
    <w:uiPriority w:val="0"/>
    <w:rPr>
      <w:rFonts w:hint="eastAsia" w:ascii="宋体" w:hAnsi="宋体" w:eastAsia="宋体"/>
      <w:color w:val="000000"/>
      <w:sz w:val="24"/>
      <w:szCs w:val="24"/>
    </w:rPr>
  </w:style>
  <w:style w:type="character" w:customStyle="1" w:styleId="91">
    <w:name w:val="fontstyle21"/>
    <w:basedOn w:val="30"/>
    <w:autoRedefine/>
    <w:qFormat/>
    <w:uiPriority w:val="0"/>
    <w:rPr>
      <w:rFonts w:hint="default" w:ascii="TimesNewRomanPSMT" w:hAnsi="TimesNewRomanPSMT"/>
      <w:color w:val="000000"/>
      <w:sz w:val="24"/>
      <w:szCs w:val="24"/>
    </w:rPr>
  </w:style>
  <w:style w:type="paragraph" w:customStyle="1" w:styleId="92">
    <w:name w:val="Revision"/>
    <w:autoRedefine/>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wmf"/><Relationship Id="rId37" Type="http://schemas.openxmlformats.org/officeDocument/2006/relationships/oleObject" Target="embeddings/oleObject11.bin"/><Relationship Id="rId36" Type="http://schemas.openxmlformats.org/officeDocument/2006/relationships/image" Target="media/image16.wmf"/><Relationship Id="rId35" Type="http://schemas.openxmlformats.org/officeDocument/2006/relationships/oleObject" Target="embeddings/oleObject10.bin"/><Relationship Id="rId34" Type="http://schemas.openxmlformats.org/officeDocument/2006/relationships/image" Target="media/image15.wmf"/><Relationship Id="rId33" Type="http://schemas.openxmlformats.org/officeDocument/2006/relationships/oleObject" Target="embeddings/oleObject9.bin"/><Relationship Id="rId32" Type="http://schemas.openxmlformats.org/officeDocument/2006/relationships/image" Target="media/image14.wmf"/><Relationship Id="rId31" Type="http://schemas.openxmlformats.org/officeDocument/2006/relationships/oleObject" Target="embeddings/oleObject8.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2.wmf"/><Relationship Id="rId27" Type="http://schemas.openxmlformats.org/officeDocument/2006/relationships/oleObject" Target="embeddings/oleObject6.bin"/><Relationship Id="rId26" Type="http://schemas.openxmlformats.org/officeDocument/2006/relationships/image" Target="media/image11.wmf"/><Relationship Id="rId25" Type="http://schemas.openxmlformats.org/officeDocument/2006/relationships/oleObject" Target="embeddings/oleObject5.bin"/><Relationship Id="rId24" Type="http://schemas.openxmlformats.org/officeDocument/2006/relationships/image" Target="media/image10.wmf"/><Relationship Id="rId23" Type="http://schemas.openxmlformats.org/officeDocument/2006/relationships/oleObject" Target="embeddings/oleObject4.bin"/><Relationship Id="rId22" Type="http://schemas.openxmlformats.org/officeDocument/2006/relationships/image" Target="media/image9.wmf"/><Relationship Id="rId21" Type="http://schemas.openxmlformats.org/officeDocument/2006/relationships/oleObject" Target="embeddings/oleObject3.bin"/><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TAzMTU4NjE1NzQ5IiwKCSJHcm91cElkIiA6ICIxNTAwNTM0MzA2IiwKCSJJbWFnZSIgOiAiaVZCT1J3MEtHZ29BQUFBTlNVaEVVZ0FBQktVQUFBSFJDQVlBQUFDN05nbzdBQUFBQVhOU1IwSUFyczRjNlFBQUlBQkpSRUZVZUp6czNYZDRVMlg3Qi9EdmMwNjZCd1VMRktndktFV2dRcHVrSUZ1VzhDb3FJaWdxTWh3dktpb3ZDSUtLVEJtS2dpd0JGUkFFbENXZ0xGOFFjQ0JMYkpLMkNESmt5Q3pVVXJyb1NNN3orNk5wZmswWEtiUk5LZC9QZFhuUm5QT2NKL2RwdmR2a3pqTU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x1VWNIY0FSRVFFR0kzR0NDbmxld0RhQ1NHOEFjUnBtdmFCeFdMNTluclhHZ3lHOWdCZUI5Qk1DQkVpcFl3WFF1eXkyV3dUWTJKaWpwYlBIUkFSRVJFUkVaVU1pMUpFUkc1bU5CcGJBdmhSU2lrQWJBS1FMWVRvRHNCWDA3VG5MUmJMa3VLdU54Z01GZ0JWQUVRTElWSUFSQUZvS3FWTUZVSzBNWmxNc2VWM04wUkVSRVJFUks3UnVUc0FJcUxibkNxbC9GSUlvWk5TdHJkWUxIdVFVMmhxSm9UWUk0VDR1R0hEaG11UEhEbVNVa3dmL3pXYnpiOEMwSElQR0F5R2VVS0lRVkxLSVFCZUxKYzdJU0lpSWlJaUtnSEYzUUVRRWQzT0RBWkRWeUhFUFZMS3IzSUxVZ0JnTnB0L2wxS3VFRUpVOWZIeGViUzRQc3htOHk5NUMxSjJLd0ZBQ0ZHdHJHSW5JaUlpSWlLNkdTeEtFUkc1MTRQSUtSNXRLT1RjOS9aejdVcmFxWlR5SHZ1WEIyNDJRQ0lpSWlJaW9yTEE2WHRFUk81MUx3Qm9taGFYLzRTVThrOGhCQUEwY0tXajhQQndUMFZSYW5wNGVEd3NoSmdxcGZ3OVBUMTlUaG5FVEVSRVJFUkVkTk5ZbENJaWNxL2FBSkNhbWhxZi80UVE0cEw5MzZyWDY4UmdNRndVUXRSRVRqRXJTMG81OGNxVks5Tk9uVHFWVVRaaEV4RVJFUkVSM1J4TzN5TWljaTlmQVBEMDlDeFFQTXJLeXNwQVRwSEp5NFYrdmdDd0FNQm1JVVN5RUdKaTFhcFZ2MnJhdE9sMUMxcEVSRVJFUkVUdXdKRlNSRVJ1SklTd0FvQ1BqNDhPUUZiZWMxSktUL3VYNmRmcngydzJqOHI5dWw2OWV0N1ZxbFg3UUFneFJLZlRBVUN2MG8rY2lJaUlpSWpvNW5Da0ZCR1JHMGtwcndCQWRuWjJnVjN5ZERwZE1ISUtWd1dtOWhYbjFLbFRHU2FUYVJpQXY0VVFQUTBHUS9WU0RKbUlpSWlJaUtoVXNDaEZST1JlUndGQVVaVEcrVStvcXRvSU9ZV3JQMjZnWHczQVlmdlhkVzgyU0NJaUlpSWlvdExHb2hRUmtSdEpLWDlDVGxIcTRVSk9QMlQvOS9zYjZGcElLZStSVXNyczdPd3pOeGNsRVJFUkVSRlI2V05SaW9qSXZkWklLWk1BREl5SWlHaVNlOUJnTURRRDBGZEthVEdiemIva09mNkEwV2pzbStkeDU4akl5TGI1K2xUMWV2MUVJY1JkUW9nZkRoNDhXS0xwZjBSRVJFUkVST1ZCdURzQUlxTGJuY0ZnNkNlRVdDcWxUQU93UVFpaEFPZ3VwYlJKS2R0WkxCWUxBRFJzMkREQXo4OHZFWUJPU3ZtQTJXemVvZGZyLzZNb3lnSXBaWXdRd2dUQVUwcDVueENpZ1pUeWxLSW83YU9qby85Mjl6MFNFUkVSRVJIbHA3bzdBQ0tpMjkzRml4ZGphOVdxWlJKQ05CSkN0SmRTL2d2QWRrVlJuamFielFkejIvM3p6ei9XV3JWcWRRRWdiRGJiaC9IeDhjazFhdFM0cENpS0tvUm9LS1ZzSllSb0FpQkJDTEZRU3RuZmJEWnpsQl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nBhY2FESWE2QUJSM0IwSkVSRVJFUkhTeitNYUdpT2pXb09yMSt0ZWxsSDJqb3FKVWR3ZERSRVJFUkVSMHMzVHVEb0NJaUlwWHUzWnQzeG8xYXN4VkZPVnhLZVd3Nk9qb2JIZkhSRVJFUkVSRWRMTllsQ0lpcXNBYU5teFkyOGZINTBNaHhETlN5blFwNVQvdWpvbUlpSWlJaUtnMHNDaEZSRlJCUlVSRXRGQlZkYklRb29OOXVyWFVOTTNtN3JpSWlJaUlpSWhLQTR0U1JFUVZqNGlJaVBpM3FxcHpBTlFISUFCQTA3UnNSVkV5M0IwY0VSRVJFUkZSYVdCUmlvaW9ZdEUxYmRyMFlWVlZQeE5DMUpSU1Frb0pJUVNFRUdrQWt0d2RJQkVSRVJFUlVXbGdVWXFJcUlKbzFLalJIZDdlM3E4TElVWUE4Sk5TNW05eUJjQjU5MFJIUkVSRVJFUlV1bGlVSWlLcUFNTER3LzI5dkx3K0ZrTDBsbEo2NXo5dkh6SDFtOFZpdWVpZUNJbUlpSWlJaUVvWGkxSkVSTzRsN3Jubm50cGVYbDVMaFJDZDhvNk9Fa0k0cHU1SkthMEFsZ0RRM0JvdEVSRVJFUkZSS1dGUmlvaklmVlNEd2RCUkNQRXhnS1o1VCtRV3BISnBtcll3SmlabXR6dUNKQ0lpSWlJaUtnc3NTaEVSdVVsa1pPUmpBR1pKS2V2a1BTNkVjR29ucGN4VUZHVmllY2RIUkVSRVJFUlVsbGlVSWlJcVo2R2hvVDdCd2NFdktZb3lNLzkwdmZ6c0k2Yk1seTlmdmxMT1lSSVJFUkVSRVpVcHhkMEJFQkhkWnNRZGQ5elJUMUdVQ2NVMXlyZnozdTluejU3Tkx2UElpSWlJaUlpSXloR0xVa1JFNVVzcWlySkpTamxIU25uZFJjdWxsRmtBL2dCZ0xaL3dpSWlJaUlpSXlnZUxVa1JFNWN4c05wODNtODFqTkUxckJTQW1kMGU5M05GUitVWkpYYmJaYkVmZEZDb1JFUkVSRVZHWllWR0tpTWhOTkUxTGtGTEc1WTZDS21KTnFVdXFxdjdwanZpSWlJaUlpSWpLRWhjNkp5SnlnOGpJeUk2cXFuNE9vSjZVVWllbDNDU2xUQmRDOUFEZ21kdE8wN1JqRm92bG9udWpKU0lpSWlJaUtuMGNLVVZFVkw0OERBWkRmMVZWVjBzcDZ3TzRLb1FZWnJGWUhyVllMSDFzTnR0QUFHZUZFRlloQklRUXYrWk83eU1pSWlJaUlxcE1DczRWSVNLaU1xSFg2NE1BakZJVTVSVUFBVkxLdlFER21zM21Id0hZOHJTckIyQ1FvaWd2Wm1abTN2L0hIMzhjY20va1JFUkVSRVJFcFk5RktTS2ljdEMwYWRPcU9wM3VFeUZFYnltbEFtQzFwbWx2eHNURW5DdXNmV2hvcUUrMWF0VWF4OGJHeHVRdFdCRVJFUkVSRVZVV0xFb1JFWlU5SlRJeWNyS2lLQ09GRUpxVWN1SFZxMWZmUG5IaXhGVjNCMFpFUkVSMHU2aDY5OTFWL09CVlErZzhRbFFCUDNmSFExUldiSnBNMTlUc2kya1pHWmVTVHAxS2NuYzh4V0ZSaW9pb2pCa01oaGVFRUo4QThKUlN6cEpTVHJSWUxCWDZqd01SRVJGUlpSSGNzR0dBdi9DZUpnUWVrb0FISUR3QXFPNk9pNmpzU0ExQWxnQ3lOVTMrbEp5ZE92aEtCZjFBbkVVcElxSXlwTmZyV3l1S3NnVkFGU25sSi9IeDhXK2RQMzgrM2QxeEVSRVJFZVdoR0F5R2w0UVFIeWNtSmxZN2RlcFVoaXNYUlVaR3RsVlY5VzBwWlNzQS9rS0lNd0RXcGFXbFRUeHk1RWhLMllkOWZYWERJb3p3RUxPRVJHc2hoT0x0NVlXQXdBQjRlbmk0T3pTaU1wT2RuWTNrbEZSa1pHUkFTaWtoY0VCS2JlanBQK1AydWp1Mi9GaVVJaUlxSS9aMXBGWUxJUjRBWUxaYXJiMWlZMk5QdWpzdUlpSWlJanRoTUJnZUZVS01BMkFFZ01URVJCOVhpbEo2dmY1SkljUktBRWtBZGdvaGJGTEt0a0tJT2dCaXJWWnI2OWpZMkxSeXVZc2lWSzhlN3U5M2g4ZDJJVVFMVDA5UGRILzRRZHpYTEFxMVFtckExOGZYbmFFUmxhbHJHUm00R0IrUHczOGV4ZWF0UCtEaXhYaG9Va2FuV05NNkpSNC9udXp1K1BMU3VUc0FJcUxLU2xHVU5rS0lGZ0NnYWRvMEZxU0lpSWlvb29pS2ltcWthZG9QUW9oUUFIOUxLUzhMSWFxN2VyMFFJZ0xBUjFldVhCbWZXOFFLRFEzMXFWR2p4cmNBdXFxcStqS0FqOHYwSnE3RFA5aHpxcFR5UGg4Zkh5eitiQTRNa1JIUTZYUVFnbU16NlBaZ2U4U0dnUzhNd09OUDljUDVDeGVNZ1lyZnJFVGdlWGZIbFpmaTdnQ0lpQ29yUlZGNlN5bjlwWlNIVTFOVDE3bzdIaUlpSXFKY1ZxczFHSUFYZ0FrWkdSbjNBcmhVd2k1bW04M210L09PcWpwNzl1dzFBSlBzRDl1VWJzUWxVNzE2dUQ4Z0h4VkNpTWNlZVFpUkVVM2g0ZUhCZ2hUZFZsUlZSZkFkMWRDNzUyTlFWVlVJUlR3ZUhOd3d3TjF4NWNXUlVrUkVaVU1GOENnQUthVWNjdno0OFV4M0IwUkVSRVNVNityVnE3K2ZPbldxRmdBYmNqWm1LZEgxWnJQNWNsRmQyLzkxNjJzZm55QzFoZ1E4Zkx5ODBDUzhNYnc4UGQwWkRwSGJLSXFDQmczcXc4L1hGeW1wS2FwM29CS0NCRlNJTmQvQWtWSkVSR1VqSWlLaXRSQWlTQWh4em1LeC9PRHVlSWlJaUlqeXNvOXdzcFZCMSsyUU03M3ZqekxvMjJVYVJIVUFuajQrM2dpcFdjT2RvUkM1WGRVcVZlRHI2d01Kb1NnNno1cnVqaWN2anBRaUtuczN0SnVKMFdqOEc4Q2RoWjNMeU1nSU9IVG9VR3FwUjBxbFJsR1V0c2daSm5YQTNiRlFrU3J0VGtORXR6am1KdEV0S2lvcXFwYW1hYU1BWkdtYXRzU2RzZWhVeFFlQW9xbzYrUHB5VVhPNnZYbDdlME9uMHdGU0tvcVEvdTZPSnk4V3BZaktUb0hkVEVvb1dFb1pEK0RYL0NmUzA5T3RwUk1pbFJVaFJHM2tGS1ZPdXpzV0t1Q0djek4zcHlFcFpmNmRoa2I0K2ZuOU95SWl3dTA3RFJIZHdwaWJSTGN3bzlIWVdOTzBEZmJYUUMvSHhNU2NjM2RNUkZUeHNTaEZWQVp1ZGplVDBOQlFId0ErUW9pTkpwUHBxYktOdG5SVXJ4N3U3MXROVjEyVHRtQlY4ZkJ6ZHp6dVp0TlFTMVhrUmFzbWZlbzEwbmR3ZHp6dVpOVmt1aXJrNWJSL01oTVNFdHc3V3VGMjJHa0l6RWNxUmtYS3g3d3FjMjR5SDZrb0ZUVWZiNFJlcng4Z3Bad3JoRkExVFh2T1lyRjg2ZTZZaU9qV3dLSVVVUm13V3EzQmlxTGs3bVl5emN2TGF4OEFsMTljQndVRkJkdS9MR29CeVFxamVuaTR2NSttR3lVZ0hvVVEzb29VM2xMSTIvNTNTMHFtcGdBUVV1QnhDUFJ3ZHp6dTVLSEFDcUZrK0ZmM3p2UVBqdHlXcG1TUHZleW02YWMzbTV2Mm5ZYWM4dkxzMmJQWGF0U29NUWxBVi90T1EyNHJTakVmNlhvcVVqN21WUmx6ay9sSTExTlI4N0dFZEFhRFliNFE0ajhBNHJLenM1K05pNHVMYzNkUVJIVHI0QjlHb2pKd3M3dVpxS29hakp5cFh5WGRtcmRjMVFtTENQWFF4Q0lBRDBBSVJhZXE4UFR5aEtxcTdnNk5LaENiVFVOV1ppYXNOaHNrWkdNL3plTmU3N0FtcjU0NWZ2Q3Y4bzZsTXU4MHhId2tWMVNrZk15cnN1VW04NUZjVVZIenNRUVVvOUc0R3NEakFPWWxKeWNQNDI3RFJGUlNMRW9SbFFGWEYyVXRpcUlvZHlCbk9zSkRCb1BoVGlsbGloRGlvSlJ5bmNWaVNTcTFRRzlDN2RwUnZqb1A2eElCMGRuRHd3T2RPOXlQKzVwSG9VNnRFQVFFQkxnN1BLcEFVdFBTY1BiY2Vaak1NZGkyWTZlU2xaWGRWZFhwdnFoWk02SmJmSHo1cnZGeXM3bFpETGZ1Tk1SOEpGZFZwSHpNcXpMbEp2T1JYRlZSODlGVlJxUHh2d0FlbDFKT01wdk5ZOXdkRHhIZG1saVVJcXFZY3FmdnRSUkN0QlJDQURrdnFqODJHQXo5eldiekJyZEdCOEFqd1BhR2tPam83ZU9OOThhOGpTNmRPaUl3TUFDNXNSTGxKYVZFejhjZXdiKzdkTUtJVVdOeDdWcEdXKzhndklONGpIWjNiRGVySXV3MHhIeWtrcWpNK1ppWHUzS1QrVWdsY2F2a1kxUlVWQlZOMC9vcmlySWxPam82ZHlUWFlDbGxabVptNWtRM2gwZEV0ekRGM1FFUVVVRTJtMjFqY25KeUZaUEo1SkdXbGhab3RWcWpBQ3dHVUFYQW1xaW9xRWJ1aks5MjdkcStpcEJQQ3lHVWh4L3Nnb2U2UG9BcVZRTDVncHVLSklSQVlFQUFPbmU0SHc5MjZRd2hoS0lvU2ovN292NjNMUHRPUTc4SUlXb0xJUWE3WTZjaDVpT1ZWR1hOeDd6Y2xadk1SeXFwV3lVZmJUYmJLQ0hFYkNubEVnQm8yTEJoQUlDN0FWaTl2THhXR3d5R2J3djdMekl5c282N1l5ZWlpbzFGS2FJS0tEWTJOdTM0OGVQSkFLeEhqaHhKaVkyTk5abE1waGNBZkM2RThKUlN2dUxPK0R3RGE5U0FFTjQ2blE2UlRadkF6NCtiQ1pGcnZMMjlvWTlvQ2s5UFQwakF3OE1qb0lhN1k3cFI5cDJHRGdnaFFqVk5lODVrTW4zdWpqaVlqM1NqS2xNKzV1WE8zR1ErMG8yNkJmSnhMNEFVS2VWUHlJazNFRGxGTlQ4aHhHTkYvYWZUNlRobmxZaUt4ZWw3WlNnOFBOelR5OHNyMkd3Mm43K1pmcUtpb2p5c1ZtdVRtSmlZR0FCYS92TU5HellNT0hMRWVSdlpKazJhMUR4NDhPRGx3dG9YeFdBd2RCWkNCSnBNcHZVM0V5K1ZIVTNUdmxRVTVTVUFUZDBaaDAzTHJxNVRkTjZlbnA0SXFWblJYak5SUlZjcnBDWjhmTHlSbVpubGFmUFNCUU00N2U2WVNxaEM3VFRFZktTYlVRbnlNUyszNXliemtXNkd1L1BSYkRZM0tlcWN4V0w1RmtCZzdtUDc2RU1PQVN5RzFXckZ0V3ZYYm1ndHVULysrQVBKeWNsbzFhcVY0MWg4ZkR3c0ZndGF0V3FGd01EQVlxOHZMNy85OWh2UzB0TFFzV1BIRWwxbnRWcWgwN0VVUVRrNFVxb01lWGw1ZlNtRVdPZnFMK3lJaUlnYUJvUGgvb2lJQ0tjL0NKcW12YWlxcXNsb05CYllpc1pvTkg3bzUrZTN4ejZFTnBmdzlQVDh6bUF3N0N6SnoxZ0k4UWFBOTExdFQrWFBack9sSUdmOUFlbk9PRlRGdzA4SzZGUlZnYisvdnp0RG9WdFFRRUFBUEhRZWdJQ3FRTDNWUGtGVmpFYmphdnViM25uSnljbk4zYjMxTmZPUmJzWXRubzk1VllqY1pEN1N6YWhFK1ZqcFRaMDZGUXNXTElETlppdjB2SlFTTDcvOE1rYU1HQUZOYzNtTWdNT1NKVXN3YWRJa3AyTnhjWEVZTldvVXpwNDlXK1IxbVptWkdESmtDSDc2NmFjU1ArZU4rT3FycnpCbnpwd1NYemQ5K25SMDd0d1pHUm1GNzNHeGZmdDJSRVZGNGZmZmZ5OXgzMUpLcEtTa3VQU2YxV290Y2Y5VStsaWVMR1hoNGVHT1Z5Q2FwbjJ1cXVvUGtaR1JIYkt6c3c4QWdJK1BqeFlkSFoxdU1CaVdBS2dLSUZBSVVVVktXVmNJVVEwQVZGWGREcUFMQUlTRmhYa0JlRmRLYWRFMHpTY3lNckl0QUdSbloxc09IVHFVbXAyZHZjekR3K04xWDEvZkpRQjZJYWRROVJ5QUZsTEtnU1VaS1VVVm4wNm42MkQvMGkwN2ZCSGQ3cmpURUZIRnhOd2tvdkppdFZxUmtwS0MxYXRYWTkrK2ZmamdndzlRdlhwMXB6WkNDUFRxMVF0anhvekJ3b1VMOGRKTEw1VkxiTW5KeWJoMDZSS0dEeCtPM3IxN1k5aXdZZkR3OEVEZnZuMXg1TWdSbC9wbzJyUXB2dmppaXpLTk15WW1CclZxMVlLM3QvY05YWC91M0RsRVIwY1hlczVvTk9LeHh4NXpxWjk1OCthaFJZc1dqc2QvL3Zrblhuenh4UnVLQ1FBNmRlcUVpUk81N245SnNTaFZpdlI2ZlpDaUtGZnlIMWRWZGFlcXFrQk81ZllJZ0VaQ2lMNEFZZ0VjQW1BUlFselFOTzJjb2loLzIyeTJrN25YK3Z2N0R4TkNoQUtvcGFycVQxSktJWVJRVkZWdEJpQTZMaTR1VHEvWHZ5bUUrTkJnTUlScm1uWlZTdmt4Z0dVV2kyVmhTZTlCU2xub3FLN1EwRkNmczJmUFpyTElWZm9LMjgwa01qS3lveERDYkxGWWtuTGJHUXlHVmtLSWlWSktUUWl4eUsxQkU5MEd1Tk1RVWNYRTNDUWlkOUxwZEpnMGFSTEN3OE14WThZTTlPblRCN05uejBianhvMmQyblhyMWcwN2R1ekE4dVhMOGNRVFQ2QmF0V3BsSGx2MTZ0V3hlUEZpdlBmZWUxaTllalhPblR1SDJiTm40K21ubjBaaVlxTExmWlJFVVJNNE1qSXk0T25wQ1VWeG5yaVRtcHFLWThlT29XL2Z2aVY2bnJ6Ky9QTlBUSjA2RmJDUERsTVVCUjRlSGdDQW1UTm5BZ0FHRFJxRXFLZ29BTUQ4K2ZPUm5wNk80Y09IQXdBdVg3Nk1kOTU1cDBDL21xWWhJeU1EOTl4elQ0R2ZweXZDdzhOditKNXVaeXhLbFNLTHhaSWNFUkhSVkZYVmYwc3BvelZOUzhnOXA2cXFBWUMvbEhKN25rcytOcGxNeTR2cVQ2L1h0MUVVNVQwcDVVU3oyVHdXT1lXSnpRRCtsWkdSRVdjd0dNS0ZFSjNzaGFSUGhCQ2RGRVY1QW9DdkVPS2cwV2g4SFRtL0tGYVp6ZWJMTHQ1R21NRmdxR3MybXgxejJLT2lvancwVFZ0WG8wYU5aQ0ZFMytqbzZPd2IrdzVSWVd3MjJ5aEZVVVpLS1hzRGFBY0FpcUk4SllUWVpEQVlmZ0p3V1FoUlgwclp4djVMZjRqSlpJcDFkOXhFbFYzKzNNeXowMUNhZmFlaFFxL1ROTzAxZCt6Q1IzUzdZRzRTVVVYUXAwOGYxSzFiRjNQbXpFSHQyclh4eXkrL0ZKak8xN0psUzBSRlJTRm5hV0JuL3Y3K2FONjgrVTNIY2ZyMGFmajQrS0JHalp4MTdMeTl2VEZseWhUY2RkZGRhTklrWjFXWVJ4NTU1S2FmcHlobnpwekJoUXNYVUt0V0xjY3hxOVdLTjk5OEUvNysvcGcwYVpMVCtsRjc5KzZGcG1sUVZSVzdkdTF5NnF0eDQ4WUlEZzYrN25OMjd0d1puVHQzQmdBTUdEQUE5ZXJWdzRRSkV3QUFLU2s1U3kzWHExY1B1WDhQcWxTcEFrVlJISS9QbkRsVGJQOXQyN2JGYTYrOVZvTHZBdDBNRnFWS2x4WWJHL3VuMFdqOFdnalJ6V0t4ZEFHZ2hZV0ZlUVVFQkt3RzRLR3E2cGV1ZE5Td1ljTUFJY1JxS2FYSmJEYS9oNXloaU05TEtUdHJtdGJ5MEtGRFdRYURJUnpBNjNtMkdRNFVRdFNTVWg0SDhJSWpLRTM3RWNCbHZWNy9xcUlvQlZiZGxGS2VNSnZOUzVFejFGUUI4QktBZCsybmhaUnlzUkRpUVFDcm9xT2ozYnFXVVNYbHRKc0pjbjRPbXdEb2hSRHRBUGhLS1JNQmJCQkNURGVaVEx1Szc0NklTa21ST3cwQktISmN1RTZuZTdzOGd5UzZEVEUzaWNodHBKVElmZi9WcGswYnRHclZDb3FpWU9USWtjak9kdjJ6Kzd2dnZodHIxcXk1cVRqV3JGbURXYk5tb1huejVvNFJRcmtHRGh4NHczM25XcjE2TmE1Y0tUQVJDSFhxMUhFVXVxU1VXTGR1bmFPSUk2WEUrUEhqc1hmdlhuVHQyclhBdFQvLy9ETUFZUEhpeFFYT1RaMDZGUTg4OE1CTnh3MEFSNDRjZ2Erdkx3QWdNVEVSNmVucDJMTm5Ed0FnSVNIaE9sZFRlV0pScXZSWmJUYmJNNnFxSGpBYWpSMU1KdFBPZ0lDQUNVS0kyZ0JhUlVkSHA3dlN5WkVqUjFJTUJzTWVBTjBOQmtNU2NoTGNCemt2dW40MUdBeFFGQ1U4T2pxNlVlNDFScU94TDRCbG1abVo3UTRkT25ReGY1OUNpT2VrbFBuSEZQb0EyQWxnYVo1akwwZEVSRXlKalkzTk1CcU5Dd0E4QzJDNXlXUjZEa0RocS9sUnNVcXltd2tBbUV5bVRRQTJsVXR3UkxjeDdqUkVWREV4TjRtb29ucjc3YmNSR0JpSW9VT0h3cy9QenpFOTdadHZ2bkdheXZiRER6OWc3dHk1bURwMUtobzJiRmlnSHc4UEQxeTllaFhmZmZkZGdYTi8vLzEzc1RFY08zWU1IMzc0SVV3bUUwSkNRdkRZWTQ5QlNvbmh3NGVqU1pNbTZOKy9QM1E2SGFTVTJMaHhZNG52TVRBd0VCMDZkTURHalJ0eDRzUUpwM09abVpsbzNyeTUwK2lydFd2WDRvVVhYb0NucHljbVRacUU3Ny8vSHQyNmRjUDQ4ZU9SdTR3TjdGUDZkdTNhaGZ2dnZ4OURoZ3h4SERlYnpaZzBhVktCWFFVdlg3Nk1YYnQyb1YyN2RpVytoNlZMbDJMWnNtV0FmZVFXQUF3Yk5nd29ac29odVFlTFVxWElhRFMrbXp2OVNrcDVWQWd4MG1nMGpnVHdnSlR5ckJCaWh0Rm9oSlRTcFIzdWJEYmJHenFkN2dsTjA1NUh6cFN1cndEMDFEVE5SMUdVcjJ3Mlc0bDJUelNiemZmbGZSd2VIdTdwN2UxOVNVcVpkNVc0WkNsbFZWVlYzekFhalViN29xR2ZtTTNtSVZ4UGlvaUlpSWlJYmxkV3F4VlZxbFRCMnJWcnNYdjNib3dlUFJxdFc3Y0djdGJnZFdwYnRXcFZBRURObWpWeDU1MTNGdHJmNmRPbjhkbG5ueFU0bnBXVjVaaU9sOS84K2ZPeGI5OCsrUGo0NExYWFhzT3p6ejRMTHk4dnBLYW1JalUxRlhQbnpzVzJiZHN3YWRJa3AybHRKWEgzM1hlalE0Y09qcUpPcnV6c2JEend3QU5PNnkzNStma2hPVGtaWDMzMUZmNzg4MC84K09PUDZOMjdOMGFNR0ZGZ1BhbHQyN1loTlRVVjdkcTFRNzE2OVJ6SGMzZlp1K3V1dTV6YUwxaXdBS2RQbjBiUG5qMHhiTmd3K1BqNHVId1BreWRQZG95NkdqRmlCRkpTVXZEcHA1OEM5dWw3UFhyMEtOSDNoTW9PaTFLbFNOTzBQNFFRdGp5UGhSQkNCZkFUOGxSa2hSQ1g3SThYR2d5R1R3dnJTd2d4eFdxMUxyWDNFNHVjb2hRMFRUTnJtdWFmbStDTkdqVzZ3OC9QVDlqYitRc2g0T1hsVlMwcUtzcUtuRjlvdHJpNHVJSmpMZ0Y0ZVhrOUNLQ0tFQ0x2dU5FTFFvZ0RBQ1pLS1RVQWI1ck41dW1sOTEwaUlpSWlJaUs2OWVoME9vd2FOUW9kTzNiRTJMRmpNWGp3WUV5Yk5nMGRPM1lzOHBxVEowOGlKQ1NrMEFYRTY5YXRpOTI3ZHhjNFBtTEVDQnc2ZEtqUS9xS2pvOUduVHg4OC8venpDQW9LY2h6MzkvZkhwNTkraW9VTEYyTEJnZ1VZTUdBQU5tN2NpQjA3ZGdBQUxseTRnTDU5KytLRkYxN0FzODgrVyt4OTVoM2RsTmVlUFh1UW1wcUtMbDI2T0k0RkJ3ZmozbnZ2eGZ6NTh5R0V3TkNoUTlHdlg3OUNyMSszYmgwQTRPalJvMDdIang0OWlzREF3QUxmb3hFalJ1RFhYMy9GeXBVcjhmdnZ2K09qano1Q1dGZ1lVbEpTc0hYclZzQStOVThJZ1crKytRWUFTbVg2WDFIM1QyV0RSYWxTWkI5TzdxRFg2enNJSVg2MFdxMTN4c2JHbnMxN3ptZzBRZ2l4VUVyNXEvM1FCd0NPQVZpRW5Dcjh3ZHkyOXFsL1FFNGhLMVFJNFp2NzJNZkg1NXlVMHN2ZUxyZjlIN2tGTUE4UGo3OEFoQlVXcjMwNjMwbXoyUnlkNy9oNEtlWFRRb2lkSnBPSkJTa2lJaUlpSWlLN1ZxMWFZZVhLbFZpOWVqWGF0MjlmYk52WnMyZmpvNDgrd2l1dnZJS25ubnJLYWRIdkd6Rm56aHpIcm5MNUtZcUNsMTU2Q2MyYU5jT0pFeWVjZHZ6YnQyOGZrTE9KbFZNeHF5UTJidHlJMnJWckY5aVo3dVdYWDhiV3JWdlJ2SG56SWd0UysvZnZSMXhjSEtwVXFZSzllL2M2bll1T2ppNTAwWGNQRHcrTUdERUN6Wm8xdzlpeFl6Rmd3QUM4Kys2N2FOS2tDZWJNbVFNQVNFOVB4NlZMbDNEeVpNNEc5dmZmZnorUU03WGJzZkQ4cFV1WGNPM2FOVWNoNjU5Ly9pazB4dHcxd1hKMzhxUHl3YUpVNlZMMGVyMWpJcXlpS1A3SXFiUUc2dlg2SUFDNGR1MmE3Y2lSSTJsU1NrVUlzY3RzTnE5Q3pxNTZid1A0eTJ3MnI4eTlQaUlpSXRSKy9kYmNZNnFxNWwvaytuRUFLbklLVmgyRUVNTUI5QU9RaEp3cGdHbUZCV293R0NLbGxEM3M3WjFFUjBmL1pUQVlaZ2toaGhzTWhxZnp4a1JFUkVSRVJIUzd1K09PT3pCbzBLRHJ0bnYvL2ZleGUvZHV6Sm8xQ3hzM2JzU29VYU1RRVJGeHc4L3J5aFEybzlHSW5KVlkvbDlzYk03bTNZMGFOWEtzc1ZSR0xaTUpBQUFnQUVsRVFWUVlWVldSWnlNdGg2TkhqK0xISDM5MHJNdVVWMmhvS0o1NTVoa3NYNzRjVzdkdXhiLy8vZThDYlpZc1dZS0FnQUJNbURBQlE0Y094ZEdqUjNIUFBmZmd4SWtUT0hYcVZMR2p0enAyN0lqRml4ZGo2TkNoT0hqd0lMcDE2K1pZTUwybzNmZSsrZVlieDhpc3JLd3NBTUI3NzcxWDVIUGtiZWZ0N1Yxc095cGRMRXFWSXFQUmVMZDl0Sk1USWNRZnVZbnQ1K2QzcEduVHBxMkVFTUptc3hVNnJTNC9LYVhlM285RkNCRm1uNlpuUWM0NlVkL25lZjRnNUN3Z3Q3MndoYzd6ZVU4SThZL1ZhdjI4c0pOWHJsd1pYYlZxMVllRUVKOUdSa2JHeGNURS9PRktyRVJFUkVSRVJKV2QxV3JGeXBVcjBhdFhyMklMUmQ3ZTNoZzZkQ2dlZXVnaHZQdnV1M2orK2VmUnExY3ZEQjgrSEY1ZVhtVVNXMEpDQXZ6OC9Keml5aTFLZGU3Y3VkaHI1ODJiaHhZdFdoUTRQbi8rZkFRRkJhRm56NTZGWHZmcXE2OWk5KzdkbURKbENzTEN3bEMvZm4ybjgzMzY5TUd4WThmUXRtMWJWSzllSGV2V3JjUGJiNytOYjcvOUZsNWVYazVUQWdzVEZoYUc1Y3VYdzkvZnY5aDJIaDRlZU9TUlIvRFVVMDhoUER4bmo2LzhhMG9sSmlaaTFxeFpCYVlMSmljbkF3QUNBZ0tLZlE0cVhTeEtsU0loeEdrQWpyR01tcWJkSjRUNFVrclpRVkdVZU9RTUNjd0VVTlhlM3FXaWxNMCs3bENuMDhGbXM5azBUYlBkekxCUG85SDRGSUR1VXNxM1kyTmpDeDFKZGVyVXFZekF3TUIrcXFydVVWWDErOGpJeUZiMjNXMklpSWlJaUlodWE3Lzk5aHRtekppQlM1Y3VGVHA2S0wrR0RSdGkrZkxsbURadEdsSlNVc3FzSUFVQUsxYXN3UHIxNjdGdzRVTGNmZmZkQUlDZVBYczZwcWNWSmpvNkdqdDI3SEFzMEo3WHRtM2I4TXN2djJEdzRNRkZGdUM4dkx3d2NlSkVQUC84OHhnOGVEQ1dMRm5pdEZoN3UzYnQwTFp0V3dnaDhPaWpqK0xycjc5R3o1NDlzWGJ0V25UdDJ0V2xRcEFyMHc2OXZiMnZ1N2g3dFdyVkNtMXo4V0xPdUk2UWtKRHJQZytWSGhhbFNsRjBkSFIyV0ZqWXljREF3TjBBSmtncC94WkNRRXA1VlVvNUJjQzdzYkd4Si9WNmZROHBwVlJWOWFnTDNVSlZWVVB1MTBLSVpxcXEraUJuZXVDZEJvUEJzVjZVbFBKZUlRUThQVDNiR1F3R1I4RkxVWlNUMGRIUmZ5Rm5EbkV0VGRQbUNTSGlGRVg1dUxqbmpZMk5OVVZHUnZaWEZHV2xxcW8vUjBSRWRJbU5qVDE1bzk4ZkluZElTRWpBMGFOSEVSNGU3dElmc3V6czdGdDJIdm1XTFZzUUdocDZVMFBDaWNvUzg1R0l5b0xOWmtObVppYTh2YjBMN1BaRlZGWjI3dHdKbEhCaGJXOXZiNHdlUFJxYVZucWJtaDgrZkJqTGx5L0h3SUVESFR2YTdkNjlHMWxaV1U0N0FoWTF3aWxYU2tvS2R1elk0YlFPRmV4L3U5OS8vMzJFaFlXaGI5Kyt4ZmJSdUhGanZQZmVlM2publhjd2NPQkF6SnMzRDNYcTFIR2N6NTA5MUw5L2Y2eFpzd1lEQnc2RTFXckZmLzd6bnh1Njk4SWNPM1lNQnc4ZWREcDI0Y0lGWEx0MkRldlhyM2M2WHFkT0hkeDMzLzl2VUorN0FIdmVuUUZ2VmxwYUdyS3pzeEVZR01qZlQwVmdVYXFVQlFZR0RwUlNHb1FReHdIVVJFNVJLVVhUdElaQ2lKVmhZV0gzQ1NGYUFqZ1VIUjE5MVpVK2hSQ2ZTU2sxS1dVYWdDVkNpTnovbTNzSklZYmtiNjhveXVxOGoyMDIyMlFBbzBORFEzMDBUVnNyaEtnaXBmeTN5V1FxdWxSdUZ4TVRzOXBvTk5ZR01FT24wKzNXNi9WUFdDeVdQYTUvUjRqS1QxcGFHdUxqNHgyZkNNSCtLZGFZTVdPS0hJcWNsODFtdzlDaFExRzFhbFdNR2pVS3ZyNitoYmE1ZHUwYXJsMjdoclMwTkNRbUp1TEtsU3RPL3o3enpET29XN2V1NDVxa3BLUWJ2aWR2YjIrWDU3VlBuandaM2JwMTQ1dGdxaEFxV2o2ZU9YTUdreWRQeHNpUkk1MWlLaXZNUjdwVnZmUE9PN0JhclhqLy9mY2RDekx2Mzc4ZnExYXR3cXV2dm9xd3NFTDN6eWxnNXN5WnVQLysrNTNXdFRsOCtERDY5KytQcFV1WE9pMlVmT0xFQ1N4Y3VCQ2pSbzF5bXBxVG1wcUtSWXNXWWVEQWdZWCtEc2kxZi85K0RCNDhHTXVXTFhOTTF5RXFTemFiRFQvOTlCTnExNjU5UTcvbkN5dE9XSzFXL1BMTEwxaTNiaDMyN2R1SG1qVnJ1dFJYUWtJQy92ZS8vNkY5Ky9hb1Y2OGVMbCsrakdQSGpxRlRwMDd3OVBSME9hWXJWM0xHTk9UOTBDZ2pJd052dnZrbVVsTlRNWGZ1WEpjV2FlL2F0U3NTRWhJd2ZmcDB2UERDQy9qd3d3OFJHUm5wMUNZZ0lBQTlldlRBc21YTDBLVkxGNmZpMmMyNGV2VXE5dS9mai9uejV6c2R6MTByYXRxMGFVN0hPM1hxNUNoS2FacUd2WHYzSWlRa3hHbUUxODE2N2JYWGNQTGtTZXpZc1lORnFTS3dLRldLd3NMQ0FnRzhDMkM1eVdRNnJOZnJhK0wvcCt5OW9LcnFub0NBZ05jQVBDMmxYSGU5L3F4V2E1S2lLQ015TWpJVy8vbm5uNDR0QXNMRHd6Mjl2YjMvWmJWYUx5aUtNajczdUtJb3ZRRjhaclBaR2dvaEx1VWVUMHBLeWdDZ1ZLOWVmYmtRb2hXQVlXYXorWGRYNzh0a01zMDBHQXcyQURNVlJmblphRFQyTnBsTTYxMjRsQ3FRZXZYcWVmdjcrOTkxOE9EQkl3Qks3K09aQ3VTNzc3N0Q5T25UOGNrbm42QlZxMVlsdmw1UkZPajFlbno2NmFmNDQ0OC9NSFhxVkRSbzBBQlBQUEVFRWhNVGNlM2F0V0tIUFFPQXI2OHZqRWFqVTFIcXdRY2Z2TzUxUmVuYnR5L2VlT09ORzdxV0tpN200L1dWZGo1ZXZud1pSNDhlUmQrK2ZURnk1RWowNk5FRHFhbXB4VzdqbmQ5enp6MkgxMTU3cmNUM1FoWGI3WkNQcmtwTVRNU09IVHZRb2tVTHB6ZWY1OCtmeDg4Ly80dytmZnE0MUU5U1VoSk1KaE9XTFZ1R2J0MjY0WTAzM2tDMWF0VWdwWVNtYWNqZEpScjJMZUtuVDU4T0h4OGZuRHg1RWsyYk5uV2NNNXZOK09xcnIvRHJyNzlpeG93WnBmYkdsU3F1V3lVZmQrM2FoU3RYcnVEeHh4Ky82YjZPSGoyS3paczNZOHVXTFVoTVRFU3RXclVRRWhMaWxDZkZ1WFFwNTIxZnJWcTFBQUEvL2ZRVEFLQkRodzRsaXVQOCtmTUlDZ3B5NUw2bWFSZzllalRpNHVJd2JOaXdFaFY4Ky9UcEEwVlJNRzNhTkF3Y09CQlRwMDUxK252NzU1OS9ZdTNhdFJCQ1lQdjI3Vml6WmcyZWZQTEpFc1VMZXlFdkt5c0xjWEZ4ZU82NTUzRHc0RUdzV3JXcXdJaXUvR3RLRldiNzl1MzQ1NTkvaWwxd3ZhUXlNek54K1BCaGRPM2E5YVozWGF6TStKMHBSWUdCZ1M4Q3FHS3oyZDVGemdnbk5mZGNiR3pzL3NqSXlBY1VSUWtCOEM4QTg0dnRETUNoUTRkU0FVeUxpb3J5TUJnTTFXMDJXelZWVmF0SkthdHBtaGFzMCttUzh4YUhqRVpqT25LS1lNbUhEaDF5R3BwaG43WVhCV0NleVdTYVVkanpTU25yQ0NGU0N6dG5OcHZuR0F5RzAxTEsveXFLc3JXd05sU3hCUVlHQnV0MHVyMEdnK0c0bEhLNW9paWJORTFMc0Znc0tRQnM3bzd2WmtrcHNYYnRXdFNxVmV1Nkl6Q0tJb1RBd0lFREVSWVdodEdqUitPbGwxN0NwazJiOE1namorRHExYXZ3OGZHQmo0OFB2TDI5c1dIREJzVEh4MlBxMUtrSUNBaEFZR0FnZ29LQ2lsd2ZvSFhyMW5qa2tVZWNqcVdtcG1MS2xDbDQrT0dIMGFaTm13TFhqQjA3OW9idW96RHA2ZW5GZnNwTTVZdjVlSDJsblk5R294SExseS9Ic0dIRE1ISGlSQ1FuSitQcHA1L0c0TUdEWFk0cDc1dmxtOEY4ckZncWV6Nld4T2JObTJHejJWeCtjeWlseE1hTkcvSFFRdzg1VGJVTkNnckNraVZMc0hMbFNzeWJOdy8xNjlmSGM4ODlWK0Q2bjMvK0daTW5UMGI3OXUweGV2VG9BdE9HMnJWcmgxbXpabUhFaUJIbzM3OC9waytmanNhTkc2TmZ2MzU0L3ZubjBhMWJ0MUs0YTZwSWJwVjhYTE5tRFdELzRQRm1iTml3QVJNbVRJQ2lLR2pUcGcyZWZQSkp0R3JWQ20rOTlSWU9IVHJrMURiM2IxcHFxdlBidGVQSGp3TUE3cnJyTGdEQXBrMmJvS29xMnJWcjUzSWNLU2twc0Znc1RvdVRKeVltNHZEaHczanl5U2VMTE5SY3VuU3B5TDluVHovOU5HclZxb1VWSzFZNGZUajE5OTkvWS9EZ3dWQlZGY3VXTGNPQ0JRdnd3UWNmWU1lT0hSZ3dZQUNpb3FKUXQyNWQ5TzNidDhpMW5YYnYzbzFseTVZaExpNE9HUmtaOFBEd1FFaElDTjU0NDQwQ2k1ZTdJaU1qQTNQbXpJR2lLT2pkdTNlSnJ5L0tvVU9IWUxWYVMvUUIyTzJJUmFsU1pCOVJ0RlZWMVhaR28xRUY4SlRNS1hGZlFjNHd6ME9Lb3F3QXNNSmlzUlRZcFM4dmc4RlFGOEFlQUZXa2xINUNDT2gwT2tncHBSRGlLb0RMVXNxTkFGd2FzUlFkSFgzQllEQzBOcGxNOFhtZVl4Q0FWZ0RTQURRUVF1aWxsRVdXajgxbTh3WUFHMHIyWGFFS1JoRkNSQUV3U2luSENTRXNCb05odjVSeW42cXErNk9qb3krNE84QWJ0V1BIRHB3NmRRb1BQL3d3WW1KaUhNZFBuejROQVBqcnI3K0tITUpjczJaTjFLNWQyL0c0WThlTytQenp6M0htekJuNCsvdmorZWVmTDNETmdRTUhjT1hLbFFMYjdSYWxidDI2QmJiSFRVaEl3SlFwVTlDb1VhTkN0ODRkTjI2Y1MzM245ZHR2djBGSzZiU1Y3NlZMbC9EQ0N5K2dUNTgrTG4vS1RlV0MrVmlJc3N6SDJyVnI0NHN2dnNCSEgzMkVCeDk4RUo2ZW51amZ2LzlOM0dueG1JKzNsRXFiajY2eVdxMVlzV0lGNnRhdGk3WnQyN3AwemZ6NTg3Rm8wU0ljUDM0Y3c0WU53N0ZqeDdCdDJ6YW5OZzg4OEFCU1VsSXdkKzVjSkNRa0FQWTM5TUhCd1FDQWlJZ0kxSzlmSHl0V3JIQmMwN1ZyVnpSbzBBQUEwS3BWSzh5ZlB4K2pSbzJDajQ4UE5FM0RpUk1ucmpzMS91elpzNGlKaVVHTEZpMGN6MFczakFxZGoyZlBuc1crZmZ2UW9FR0RBanZNbFZUNzl1M3g0b3N2b21mUG50ZGRYTHRCZ3daUVZSWHZ2LzgrdW5idENnOFBEMXkrZkJuZmZ2c3RJaU1qNGUvdmoxT25UdUhnd1lObzBhSUZBZ01EQysxbjNyeDVPSHIwS0FJQ0F1RHA2WW1NakF5WVRDWWtKeWM3clk4VkhCeU1KVXVXT0JXTDE2eFpnOWpZV1BqNCtPRHZ2Ly9HMGFOSDBhdFhyMkx2cjMzNzlvN0hlL2Z1eFR2dnZJUE16RXpNbXpjUGpSczN4dlRwMDdGKy9YcDgvdm5uZVAzMTErSHA2WWs2ZGVvZ0pDUUVjK2ZPaFkrUER4UkZnUkRDTVRLcVM1Y3VPSC8rUExwMzc0N1dyVnVqZWZQbThQYjJSbHhjSEhiczJGRWdqcUxXbEFLQVJvMGFZZTNhdFRoLy9qeWVldXFwVWgyUkdSTVRBeTh2TDdSdTNiclUrcXlNV0pRcVhkSnNOaDh5R0F5ekFEd2dwVXdGTURsM2h6dWRUaGNvaERpWm5aMzkrdlU2VWhUbHZIMHRxTXVhcGlWSUtTOXJtbmI1NE1HRC93Q3cza2h3WnJQNWZMNURIZ0Q2aXB4WHl5bFN5dThBbE43UURLcHdjbXFhQXZhZmVSQ0FEbExLKzRVUVNWTEt5d2FENFRjcDViS3NyS3lmRHgwNmxPWHVlRjFsczlrY3czRTNiOTZNelpzM0YyZ3pmZnIwSXE4dmJJcmN2ZmZlaTN2dnZiY01vcjB4R1JrWitQTExMd3M5MTd4NWM4ZWI4Yk5uejJMLy92MW8yYklsWU4vYTlyWFhYc09GQ3hjNGo3MkNZVDRXcnF6ejBkZlg5NFlLdm5reEh5dWZ5cHFQSmJGbHl4YkV4OGRqN05peEx2My8rZjMzMzJQUm9rWDQxNy8raFpkZWVnbXdqNno0N2JmZkNyUTllZklrcmx5NWduUG5jalp5M3JCaEErclZxK2RZUHlyL05jMmFOWE42M0xScFU2eGZ2eDQ2blE3cDZla0YrcytkNXJSeDQwWXNYcndZTVRFeCtPZWZuSlV2VnE5ZXphTFVMYWFpNTJQMTZ0VXhhdFNvVXRrOXIwcVZLbmoxMVZkZGFoc1NFb0p4NDhiaGl5Kyt3TmRmZncxTjArRGw1WVdvcUNpODg4NDdnRDNYdkx5ODBLbFRweUw3Q1FnSXdKNDllMkRmNEIyd0Y2QUdEQmhRWUpSay9sRkhWcXNWVzdac0FleC9UOXUzYjQ5Qmd3YTVGUC9PblRzeGN1UklCQVVGWWViTW1kRHI5WUI5WkhUUG5qM1J2WHQzL1A3Nzd6Q1pURGh4NGdRdVhyeUkwNmRQSXowOUhkbloyWkJTUWxWVmhJZUhvME9IRG9WT1Q5eTVjeWRXcjE1ZHlMUG55TCttRkFDOCtPS0wwT3YxTUp2TnBUNUYzMkt4b0dYTGxpNnZEM3U3WWxHcURKak41aTZGSGJlUGppcDBZUTJ6MmF6UCt6ZzZPam9id0x5U1BLL0paRm9PWUhrSjRwd05ZSFpKbm9OdWJVSUlpVHd2M3V3VUFOVUFWQk5DTkJSQzlQUHk4anBuTUJoV1NTbFhabVJrbkZBVUphVWl2d2hmdm53NVRwNDhpUmRmZkxIQTJqWDc5dTNEd29VTE1YejRjS2RGVmZQS1hVaHl3WUlGT0h2MkxONTQ0dzNISW85Ly9mV1hZK0hIdks1Y3VZS3NyQ3o4L252aHk3UHA5WHFudWVOcGFXazRmOTY1THB6Yjc5V3JWd3VjUTc2ZlUwWkdCcFl1WFZxZ1RVWkdCblE2bmRNSWtlWExsNk5seTVaSVNrckM2NisvamhNblR1Q2RkOTdCRTA4OFVXaXM1QjdNeC9MTHg3cDE2MkxZc0dGNDRZVVhIRVBvRXhJU3NHZFB5ZmZ0dU91dXUzRG5uWGN5SHl1WnlwcVByc3JJeU1Cbm4zMEcySXZBMTdONzkyNU1tREFCVmF0V3hjeVpNeDNGcFJZdFdoU1lzbnZseWhXc1dMRUNLMWFzUUxObXpmRDc3Ny9qbm52dXdhVkxsOUNyVnkvMDZOR2owT2svMTY1ZHc1UXBVL0R5eXk4ak5EUzB3SG9zaHc4ZnhxeFpzeEFURStPWTV2VHR0OS9pM252dlJZOGVQWER0MmpWOC9mWFhwVkk0b1BKVjBmUFJ5OHVyMk5GQnVSNS8vUEViWG5QcW80OCtLdlQ0d3c4L2pJY2ZmcmpJNnpwMjdJak5temNYdTM1UnYzNzkwSzlmUDJpYUJwdk5Ca1ZSb0twcWtlM3pldWFaWi9ETU04KzQxRGEvZHUzYW9WKy9mbmpxcWFjS0hSV20wK25Rc21WTHh3YzVOMkxJa0NFWU1xVEFQbUF1NmRxMWE0a1dobmZGekprelM3Vy95b3BGS2JyZGVFVkdSdllRUXRSeWR5REZrVkplRUVMRXU5QzBKS3JuemZuYzZTUjUvK0RuK2JxT0VHS1lFT0pWWDEvZnd3QU82UFg2V0p2TjlrdGNYTnpCQWoyNzBjbVRKL0haWjUraFVhTkdlUG5sbHd2OFViMXdJV2VFZC8zNjlXRXdHSXJ0NityVnE5aTBhUk4yNzk2TmNlUEdvVjI3ZHZqMDAwOGRXLzRXNXVXWFh5NzArSTRkTzV4Mkw5bXdZUU0yYkNoODl1dkNoUXV4Y09IQ1ltTUxDZ3JDN3QyN25ZN2xMdXFZOTgxOVFFQUE5dTdkaXgwN2RtRHUzTGs0ZCs0Y0prNmNXQ0hYM1pDYWhKZE9odVYrVW5hYllUNldZejUrL3ZublNFeE14SnR2dm9rSEhuZ0FvMGFOd2w5Ly9ZVUpFeWFVK0I1NzkrNk50OTU2aS9sWXVWVEtmQ3lKcFV1WDR1TEZpeTYxL2QvLy9vZHg0OGJCeDhjSDgrZlBkOXJZSTFkMmRqYjI3OStQLy8zdmY5aStmVHNpSXlNeGI5NDhxS3FLZnYzNlljeVlNWWlQajhmOCtmTXhkKzVjZE83Y0dhMWJ0MGF6WnMwY281cisvdnR2N042OUc3dDI3Y0trU1pQUXRtMWJ6SjA3RnovODhBTmdIOWxWdFdwVlJFUkVvRXVYTHRpeVpRc1dMRmlBSmsyYUFQWjFkUUNVK3B2TThzQjh2TDN6OFdaVnJWclZwWGFLb3BUcnFGMFBENDhiTGhpVmgxdnhkMFZsd2FJVTNWWkNRME9EaFJBZkN5R0tuN1R0WmtJSUc0QWsrNytsUWtxcFNDbTk4cTV0Z2p4LzdBdHBEd0RlUWdpRGxGS3ZLRXFtRUNKZXI5Y2Z5YlpKYzFxMkxQekNjcFNhbW9yaHc0ZERTb214WThlNi9DbFBVZDU4ODAwMGI5NGNZOGFNd2RDaFF6Rjc5bXk4OGNZYitNOS8vbE9nN2N5Wk0zSGl4QW5NbmwzNFlNT0FnQUNueDEyNmRDa3dNaUk1T1JralJveEE3OTY5MGJsejV3SjlYRzhJOGJadDJ4QVFFT0RZeWhiMlQ4aWlvNk14Y3VSSStQdjdZKzdjdVFXbVFWUVVBb0MzaDlKUFVaUjczQjFMZVdNK1hsOXA1bU5ZV0JoV3JseUpDUk1tWVB2MjdUaC8vandXTDE3c1dIZmkrKysveDdScDB6Qjc5dXpyamhJcGF0UUY4L0hXVlJuenNTUk9uejZOTDcvOEVvcWlRTk9LMyt4czNicDEyTHAxSzRLRGcvSEpKNTg0MW4zS3RXblRKbXpidGcxbXN4bWFwcUZUcDA1WXNHQ0JZNU9BdkFzM2QrellFUjA3ZHNUZXZYdXhlZk5tVEpreUJXbHBhUWdLQ2tMNzl1MHhkdXhZTEYyNkZQLzk3Mzh4Wk1nUXZQWFdXN0RaYklpSWlNQ1pNMmZ3eWl1dllPREFnUUNBUFh2MllNdVdMVTV2c0hOMzU3d1ZSMG94SDBzeEg3TndTK1VqMGUySVJTbTZyV2lhcHRoM1JheW9mNkJ5NHhKU1NwOGJYVCtzMEk2RkVGS1cvSVZ5bmsramRFSUlmd0FoUWtpZml2QWR0RnF0dUhidEdrYU5Hb1dHRFJ1V1NwL3QyN2ZIMHFWTHNYVHBVclJxMWFySVQ1RDgvZjJoMCtsY2VsNmJ6WVk2ZGVvVWVET2F1K0RyblhmZVdlZ2IxYUplZ0FGQVZsWVd0bTNiaG80ZE96b04wZGJwZEJnNGNDREdqeCtQQVFNR1ZOZzN3TGtVSVR5a2xMZmRSSHZtbzJ0S014OERBZ0l3YmRvMHJGNjlHZzBhTklCT3AzT01aanh4NGdSVVZVVlVWTlFOcmZ2QWZMeTFWY1o4ZEpYVmFzV1lNV09nS0FxZWZQSkpyRnExcXRqMlc3ZHVSVmhZR0diTW1PRzBJVUd1Z0lBQUJBUUVZUFRvMFdqYnRpMzgvUHl3ZCs5ZWJOaXdBZDI3ZDBkQVFBRGF0bTNyK09CbTQ4YU5xRmF0R2laTm1vU3NyQ3djUEhnUUZvdkZNZUl3TkRRVVgzenhCY2FQSDQ4V0xWcWdidDI2U0U5UHgrYk5tK0huNTFkc3JKbVptUUJ3eTY3bHdud3NtY3FRajBTM0t4YWw2TFp5L3Z6NVM5V3JWeDlTVWFmdlNTbkRGRVhwSjZWVUFJeVJVbHBLc2UvcVFvZ2xBSHp6SFFjS0tZRFlIMXVsbE1lbGxMOXJtbWFXVXU2T2pZMk5ydGRJM3hZQ3BiZGY2ZzBLQ2dyQ3NtWEw0Ty92WCtUVXVMaTRPTUMrbGsxOGZPRXpJaDk5OUZHbis2OVhyeDdHamkyZE5mODFUWU9tYWFVK0pIanQyclZJU0VqQVUwODlWZUJjdDI3ZHNHYk5Hbnp4eFJmbzBxVUw3cnp6emxKOTd0SWlBYVJuMmI3dzlWQ091enVXOHNaOGRFOCt3ajc5THIvWTJGalVyMThmT3AwT1ZtdlJud1VVdFVZSDgvSFdWaG56MFZVSERoekFIMy84Z1hIanhoWFlaajV2bTl5Ri9idDA2WUx4NDhjWFdlakp2OU1XN0FzUHg4WEZvWHYzN3Jqenpqc3hhOVlzeDdsVnExYmhubnZ1UVpzMmJlRHA2UW1qMFZoZ0Y4M2NSWkZMNnVyVnEvRDA5THdsUjBveEgwczFIOHR1aTFVaUtoVXNTdEh0SmpNbUpxYjRqd0hkU0svWGR4QkM5QUxnTGFXMFdDeVduMHFyNzRpSWlGQlZWUjNqOHZNdEhnazR6OXUvSXFYY0pLVmNwV25hb2N6TXpJUWpSNDZrbEZZc3BTazRPQmp4OGZIWFhSdW1zRVdKYzNYcjFzM3B6YWJOWm9PVTBuSHN4SWtUT0hEZ2dOTTFaOCtlUlhwNmVvRlBsZXZYcis4MEdpSjNsNkNrcENRY09YTEVxZTNWcTFjQit4YngrYytoaUo4UjdJdS9MbG15QksxYnQwYWpSbzBLbkZkVkZlKzk5eDc2OU9tRGtTTkhZdEdpUllVdUl1dHVRaEhJc29ualIvOG92Zi9QYnhYTVIvZmtZMjdiMnJWck8wWmRwYVdsNGErLy9vS1Vzc0FDemZudDM3Ky9RR0dLK1hqcnE2ejU2SXJtelp1amQrL2U2TjY5Tzc3KyttdW5jN2xyUG0zY3VORng3SWtubnJqdXlLTUhIM3dRS1NuLy95M0p6czZHcG1sbzA2Wk5nYmFabVprNGV2UW90bTdkNmpoV3IxNDlmUFhWVjA3dExseTRnRnExcnY5NVlsWldGcjcvL252NCsvdGo2OWF0RmJZSWZEM014NHFmajBVVnlmS3kyV3c0ZnZ3NGF0U280ZEk2VHovODhBT1NrcElLN0lEbmJxbXBxZmp2Zi8rTGdRTUhGdGpBNU96WnM1ZzBhUkplZSswMU5HM2FGREV4TVpnL2Z6N0dqaDFiNkdqSzBpYWxMUFpuY0NNV0wxNE1iMi92SWhkMFAzWHFGSDc0NFFmSDlHRzZlU3hLRWQxR2hCQmFucStCbkYvbUVrQTZnR1JOMCtLa2xJc3VYNzY4NmZ6NTh3WDNYSzZncWxldjd2U0NOcStkTzNkaTZ0U3ArT0NERDRwY1dEbi9tMHl6Mll4eDQ4Wmh6Smd4YU5teUpXSmlZdkRoaHg4VytrSTg3eG8yR1JrWjZObXpwOU9iNEtTa0pNQytKWFZSVzlRdVc3WU15NVl0Yy9GdWdSa3paaUFoSWFISW5WbGdmMUUvZE9oUVRKMDZGU05IanNUTW1UT0wzWW1GeWgvenNmenpFUUJHang2TnRMUTByRnExQ29xaUlDc3JDeU5HakNqMm50YXZYNDhMRnk0VW1rUE14OHFoc3ViajllaDBPcnoxMWxzRmpzK1lNUU9yVnEyQ3Btbm8zYnMzYXRhc2lUbHo1cmpVNStUSms1MUdISzVZc1FJblQ1N0VxRkdqQ3JUOTRJTVBFQm9haXI1OSt6cU8rZmo0T0xXeFdxMTQrdW1uMGFGRGgrc1d2RDA4UFBEKysrOGpMUzBOaXFKZzlPalJMc1ZNRlV0Rno4ZU1qQXdNSHo0Y1RaczJ4U3V2dkZKa3U1U1VGUFRwMHdkRGhneEIvLzdYSDdEMTIyKy80Y3laTTA1RnFkd1BacTduUnY2bVpHVmxJVEV4RVltSmlZaVBqOGVGQ3hkdzRjSUZQUHZzczA2NzQxbXRWc1RFeEJTNisyMWFXaG9PSERqZ2VMMmJtSmlJQXdjT09ENlV6U3MxTmRXeGRNWE5DQTRPaHIrL3YyT0gzbEdqUmptOXBzakl5RUJHUm9aTGZRVUdCaFpZR2lBNk9ob0JBUUZGRnFXT0hUdUdUei85RkE4OTlCQkNRME1MYldPMVdyRnUzVHIwN05uVDhiTng5V2VabDZxcXBWNTBxNGo0aXFnY0dBeUc5Z0JlQjlCTUNCRWlwWXdYUXV5eTJXd1RZMkppanJyUWhkRHI5UU1VUlhsWlN0bEVDS0VEY0VoS3VjQnNObjltSCtWYkdNVmdNTHdraFBnNE1UR3gycWxUcDY2Ym5YcTl2cDRRNG9nUXd0TnF0ZDRaR3h0N3R1UjNUQldZd1AvL2dVOEdZQUZ3QU1BK0tlVUJpOFZ5MnQwQjNnaEZVUnk3OWVTWHUwMTFZR0Jna1czeTI3VnJGeTVldkZoZ3lQOTMzMzFYYkI4UFB2aGdnV081dTQyOStlYWJCYVlrWEwxNkZZTUdEVUsvZnYzdzBFTVBGYmkyc0Jjd2UvZnV4ZHExYTlHclZ5OUVSRVFVZXgrOWUvZkd5Wk1uc1hyMWFnd2JOcXpJTi9Ma05zeEhGNVJtUGlZbEplSGd3WU5vM3J5NTQwVm8xYXBWQzUxMmw5ZVBQLzdvV0o4bUwrWmpwVklwOC9GR2VYbDVvWFhyMWhneVpBanExcTJMOWV2WEY5azJJU0VCcTFldlJ2ZnUzUkVhR29xb3FDaW44OXUzYjhmRml4Y0xIWW5vNStlSDZ0V3JGenRLTVM0dURxbXBxUWdNREx4dTNFSUlMRjI2RkJrWkdRZ0pDVUZTVWhMbXpadUhKNTU0QWpWcTFManU5VlJoVk9oODlQYjJocmUzTnhZc1dJQzc3NzRiWGJ0MkxiUG5ldkxKSjNINjlQVnZkKzNhdGFoWHI1N2o4YnAxNjNEbXpCbEhnU1k5UFIzSnljbElTVWxCU2tvS2twS1NpcHl5bTV5Y2ZFTzcwMTdQenAwN1M2WGYwYU5INC9ISEgwZHdjREEwVGNQYmI3K05yNzc2eXZHYVlQNzgrVmkrZkxsTGZXM1pzZ1UxYTlaRVhGd2NUcHc0Z2NjZWU4enAvSmRmZm9sbXpacWhRWU1Ham9KU3ExYXQ0T2ZuaC9YcjErT2xsMTV5dEZVVUJSNGVIb0I5MnZPSEgzNklEUnMyNE1NUFAwVHQyclV4Y09CQXhNVEVsT2hlQncwYVZPZ0dMNVVOaTFMbFl4YUFLZ0NpQWFRSUlhSUE5RlVVcFlmUmFHeGpNcGxpaTd2WVlERE1Ga0s4RHVBdkljUzNVc3BBQUoyRkVQTU5Ca056czluOFlyNUxoTUZnZUZRSU1RNkFzWWh1QzZVb3lpUUEzQSt6OHBKU3lsZ0EzMlJuWjMrdmFkcFpIeCtmZjZLam83UGRIVmhGOHNzdnY2QkdqUm9vamEyWUR4OCtEQUM0Nzc3N1VMOStmYWR6dVo4VzFhaFJvOUFGbXZOL01uTG16Qm1NSGowYU5XdldkSGxMM1JFalJ1RHk1Y3Y0OGNjZk1XalFJRXlkT3BVdnpDc081cU1MU2pNZjkrN2RDeWtsT25Ub1VLTHJrcEtTY01jZGR6Z2RZejVXT3N6SFBGNTk5VldYMjE2NmRBbUxGaTJDcDZjbklpTWpIVlBUYzUwN2R3NnBxYW5Zdm4xN2dXdVRrNU54L3Z6NUF1ZXFWS21DNXMyYkF3QjI3OTROMk5lcmNrWGVOK1ptc3htTEZpMUM0OGFObVd1M2xncWZqMlBHak1IQmd3Y3hZY0lFaElXRjRlNjc3eTZUNTNuNzdiZVJscFoyM1hiNS8vOWV0MjRkRGg4K0RCOGZIL2o2K3NMWDF4Zisvdjd3OS9kSDdkcTFVYVZLRlFRRkJTRW9LQWhWcTFaRnRXclZjTWNkZCtDT08rNXdhYXJoaldqWHJoMldMRmxTNFBqeDQ4Y3hlZkpraElTRVlQejQ4Zi9IM3AzSHgzanRmM2p1QUpBQUFDQUFTVVJCVkFEL25HZG1za2xpRFdwTk5hUlNpWGttMVZ0VnFyVmV1dEdybDI2SzduUkRXM3B2aTFMS1JaV3F0dHFpcUorcXRsUXBYU3d0V3BxWk1ZaWQyRXRDZ3V3ejg1emZIeWJUVERKSkpvdEp4T2Y5ZW5reHozS2U4NHg4TXpQZk9lZDdTcXdEbHpjNktTZ29DQk1uVHNSamp6MkdVYU5HNGNNUFA0UmVyMGVQSGowS3ZlY3VTczJhTlFIWGEvb0hIM3lBZSsrOTE3M1A0WERnbzQ4K1F0T21UZkhVVTA4VkduMDFmLzU4ai90cDBhSUZsaTFiQnJnU1Y3Tm16Y0xycjcrT2h4OStHQk1uVHNTZ1FZTjhHaW4yOXR0dm8xMjdkdWpldlR0aVltSjh1bytySFpOUy92R0N4V0w1RFlCN0tLcXFxaDhJSVo2VlVyNElvR0JTcWFBb0FJK2F6V1ozeXJkTm16Wk5EUWJENzBLSXdTYVQ2UU96Mlp3QUFQSHg4VGRxbXZhakVLSUpnR05TeW1RaFJJUXZuVFNaVFBGU3lvZUVFRTRBNVZ2TG02cWM4K2ZQbjZ0YnQrNXRPM2JzMkpQL1o1RThIVDU4R01lT0hjTWpqenhTSWNObE4yellnTkRRVURSdjNyeGM3YVNscFdIWXNHSEl6TXpFOU9uVFMxeDFLSStpS0pnMGFSTGVldXN0ckY2OUdnTUdETUNDQlF1S0hHNU0vc0Y0OUUxRngrUEdqUnVCVW55NGhhdGV4ZW5UcDNIcnJiZTZ0ekVlcXhmR1kvbWNQSGtTQU5Db1VTTXNYTGdRKy9kN253UXdkZXBVcjl1VGtwSUs3V3ZWcXBVN0tiVmh3d2FFaFlVVm01aHUxS2dSQmd3WWdEcDE2bmhzUDM3OE9BRGcrdXV2TCtWZFVXVzVXdUt4VnExYUdEZHVISVlPSFlySmt5ZmpvNDgrS2xNN2h3OGZ4b0VEQndCWGZhYno1OCs3cDhBYmpVYmNjc3N0WmU2anlXVEMzTGx6eTN6K2dRTUhzRzdkT3ZkSTRaOSsrZ2xIamh4QjU4NmQ4ZHR2dndINXZtQXRhTm15WlI3eGVQLzk5Nk5CZ3dhRkVsNW56cHpCcTYrK2lycDE2K0xERHovMGVEMWNzMllOMnJWclYreW82T2pvYUF3Yk5nd3pac3pBOTk5L2ovdnV1dzh4TVRHbFR1YTBhOWNPS1NrcEhyKy85dXpaZzl6Y1hQZm96d2NlZUtESVVYRkxsaXpCc1dQSFBMYTFiOThlOCtmUHg4aVJJeEVRRUZDb0hsZFJKazZjaUJ0dXVBRjkrdlFwMVQxY3paaVU4Z09MeGJMSnkrYi9BL0NzRUtLT2wzMEZQV1kybTVQemI5aTFhOWR4VlZVL0JQQ1dsUEkyMXlnc09CeU9lb3FpQkFJWWw1MmRQVFV3TVBCM0FMNGtwWFFBUGhaQzdBTndETUNWRzRkS2xlTEVpUk5aSjA2YzJGM1ovYWhJVHFmVDY1ejEvUEsrMWNqS3l2SW92RnFRd1dCQVVGQVFWcXhZQVJReDlhZTBqaDQ5Q3B2TmhtN2R1cFY2cm4vZXFuMTVIOFFQSERpQTVPUmtqQnMzRG0zYnRpMTAvTVdMRjVHZG5lMjFnTExCWU1ENDhlUFJzR0ZEWkdabThnTndGY0I0OUg4OFhycDBDUnMzYmtUcjFxMDlhbVdVeEdxMUlqMDkzZU5ETGVPeGVxbU84VmpSOGxhUTlUWmlJekV4RVhDTkVzaGYxeTNQZ1FNSDhOVlhYK0h1dSs5R2JHeXNlL3YyN2R1eGZmdDIzSG5ubldqZHVyWFg2Kzdac3dkSGpoenhXQUFoSUNBQVFnaWNQMy9lZlZ4a1pDUkdqaHhaNlB3ZE8zWWdKQ1FFelpvMUs5TjlrLzlkVGZGNDY2MjNZdno0OGVqUW9RUDI3dDJMNWN1WGUrelB6YzBGWE5QVzhoS2srZlh1M1JzN2R1ekF4eDkvN0hIOFcyKzlCUUNZTUdFQ0dqUm80SWM3OFM0bEpRVy8vdm9yTk8xeWJuRGZ2bjA0ZGVvVVdyUm80VjZ3cEtnYVNkOTk5NTNIbDBtMzMzNTdvWHM1Zi80OGhnMGJCcnZkanJsejUzcThIbDY0Y0FIdnZ2c3VEQVlEWnMyYVZleEl0RWNlZVFSTm1qVEJuWGZlV2VaN2pZaUlRSk1tVGZESEgzKzR0MjNac2dWdDJyUnhqNlpxMHFSSm9UcVZlWDcrK2VkQ1NTa0FhTjY4dWJ1R0pSV05TYWxLSXFWczVRclU3U1VkYTdGWWtvdllkUUdYcC9pNEMxMWN1SERoejZTa3BPc0FPSEY1UkpaUC9WRlY5U1VBSmlsbE55SEVTNzdlQjFGbDJyZHZIeDU5OUZHZmpoMHhZa1N4K3g5ODhFR01HREVDMzMvL1BabzBhZUwxRFhMQmVlWUZGUnpXKys2NzcwSks2WFVKZW04V0xWcUV0TFEwQkFRRTRNQ0JBM0E2bmU3aDJPM2F0Y1BYWDMvdDhXRjY4dVRKeU1yS2dzRmdnTlZxQlFEY2ROTk5SYlkvZE9oUW4vcEJWQlpWUFI3WHJWdUgzTnhjM0hYWFhVV2U4L0xMTDBPbjA2RkdqUm93R0F4SVMwdkQxcTFiQWNEalBNWWpYV3RhdG13SkFKZytmVG9TRXhQZGRWUE9uVHVIYjc3NUJoRVJFV2pWcXBYNytMUzBOR3pZc0FIZmZ2c3RkdTdjaVhyMTZxRlZxMVllU2FtREJ3L2krKysveDZlZmZvcUdEUnVpUzVjdTZONjlPOXEwYWVNK1p2WHExUUNBVHAwNnViZnA5WHEwYXRVS1M1WXNRV1ptcHZzRFkwRkpTVW5Zc0dFRDdyMzNYbjRncEN1bVY2OWVnQ3VCbXZlN1AwOWV3Zi9UcDA5N1RlaTJiOThlQXdjT3hNQ0JBOTF0Tld2V0RCOSsrR0dGOU8zMDZkUDQ1Sk5QeW5SdW5UcDEwTGR2WDdSdjN4NXBhV25vMHFVTGhnNGQ2cjdmdkZxbysvYnR3ME1QUFZUby9NOC8veHhSVVZGRnR2L1hYMy9obVdlZVFVNU9Eajc1NUJPUGFiZHdUYXY3NUpOUDhPeXp6MkxRb0VHWVBuMTZvWHAxZVlRUTdvUlVSa2FHTzRubXE1Q1FFT2gwT2p6d3dBT0lpUGg3TEVmZHVuWFJ0MjlmOStPalI0OWl5NVl0WHR2SXF5RUwxeGZMWDN6eEJSNTQ0QUVFQndlN2YvOWtaV1doYTlldVhzOGZNbVFJQmc4ZVhLcCtWeWRNU3ZsUlRFeE1nS0lvRFF3R1EyOGh4R1FwNVorWm1abStMV1hpWFVkYy9zRjNmNXZnU3pIemdveEdZMHNBNHdBc3MxZ3NQNWxNSmlhbDZLclF1SEZqakI4L3ZrTGFhdDY4T1ZKU1VtQTBHb3NzV0R4a3lKQmlwK2w4OE1FSDduOUxLWkdkblkyT0hUc1dtUnhXRkFXaG9hSHVOL2NIRHg1MEw3MHRoRURidG0xeDk5MTN1NDh2T0xvanJ6WU5YTVdhSDM3NFlYVHIxcTFVOTAxVVVhcHlQTUkxTFFJRmtrdmViTnk0MGYyR1ZnaUI1czJiWThpUUlSNGZ1TUY0cEd0TXExYXQ4TW9ycjJESmtpVll2SGl4ZTNTRXdXREFUVGZkaE9IRGgwTlJGQnc0Y0FBelpzekE5dTNiNFhRNkVSOGZqMG1USnVHdXUrNHFOR0o0d0lBQkdEQmdBSGJ1M0lrZmZ2Z0JQL3p3QXhZdlhveEdqUnJoalRmZXdDMjMzSUs5ZS9kQ3I5Zmp0dHR1OHpoMzNMaHhtREpsQ3Rhc1dlTWVYVkpRU0VnSXVuZnZqdUhEaDEvQlo0YXVSWnMzYjNiWFRnc0pDVUhuenAxeDY2MjN1dXNKNWRtelp3OGVlZVFSakI0OXVzUmFob2NQSDhhWk0yYzhSdlZ0Mzc3ZEk5bFJrdDY5ZTBPbis3c0N5NWt6WnpCdjNyeFMzTm5mV3JSbzRaR1FxU2hTU216Y3VCR1RKazJDWHEvSHpKa3pFUllXaHBNblR5STdPeHM1T1RudVA3bTV1ZWpmdno5bXpacUZZY09HWWNxVUtlallzU1BnU21xdFc3Zk8zVzZ6WnMzUXVYTm5QUDc0NHpoOCtIQ3AralIvL256VXJWc1hqUm8xQWx6Sjlzek1UTlNxVlF2SWwzRDY5dHR2OGUyMzN4YlpUdDVvcnQyN2QyUFdyRmxZc1dJRnBrMmI1djQvemZ0czBMTm5UNC9QQnRPblQ0ZmRYbVhLcFZVS0pxWDhSRlhWdjRRUURYRDVCekpYU2prK05UVjFhbG1TU0xnOFIvZ3VLV1ZmS2VWdXE5VzZ1YXo5aW8rUE4yaWE5Z1VBdThQaDRLczJYVlZxMXF6cC9zYW1vbmlyZWRHblR4K2Y1blhuWDhGTENJSC8vZTkvWGxmc3lsT25UaDEzalJzQUdEdDJMTjU4ODAwNG5VNElJVXFjOGxkVWZRNml5bENWNHhFQVhuenhSZlRwMDZmWWFUenZ2dnN1NEpxSzZIUTZZVEFZZks1bHhYaWtxOTFERHoza2RjUkRudjc5KzZOLy8vN0Z0dEd3WVVQazVPUmcyTEJoNk5HamgwOVRqMkpqWXhFYkc0dmh3NGZqOTk5L3gvZmZmKzlPQW4vODhjZllzMmRQb1FSMHk1WXR5MVVyaDZnODVzeVo0MTdJcGttVEprVW1uUEtTSTAyYk5pMnh6VFZyMXJqL3ZXblRKblRvMEFGZmYvMDFObTN5ckFLVG01c0xLYVhYWXVBOWUvYjBTRXJGeDhkWDJLZ3J1RVorclZ5NUV2SHg4V2pjdUhHWjJ2anV1Kzg4VnVBcjZYY0tYS01qcFpRWU9YSWt4bzhmais3ZHUrUEVpUlB1T2w0NU9Ubm8xS2tUT25mdWpDZWZmQklYTDE0RVhFbWdtVE5uUXEvWEZ6czZ1WEhqeHRpNmRTdW1USmtDS1NVeU1qS2cxK3ZkWDdTTkdqVUtBUERDQ3kvZzRZY2Y5dHJHMUtsVGtaQ1FBTGgrcDMzNDRZY1lPWElrSG4zMFVVeVlNTUdkVElOckp0Ty8vdlV2OStOWnM4b3pScVY2WUZMS2Z6NERVQTlBSXlIRVB3Q01yMTI3dGhvV0Z2YkV6cDA3VTB2VGtORm92RjlLdVVnSWtlRndPQXF2R1Y4S21xYTlKWVM0V2RPMFIydzIyNG55dEVWRW5zTEN3aEFXRmxhcWN4UkY0VFFEb2l2RTE3b3lPcDNPNDQwOUVma21MQ3lzek5PRmREb2RPblRvZ0E0ZE9yaTNDU0d1bWRXbjZPb3hiOTQ4YUpxR0NSTW13R1lyZWhIMXZQcEVKZFZidE52dCtPNjc3OUN3WVVNa0p5Zmo5ZGRmeDgwMzM0ekpreWNYU2o2OThzb3JPSGZ1SEQ3NzdMTmkyM1E2blJYMk9wWTNlbmpTcEVuSXpjM0ZLNis4NGs2a0ZGVlQ2ckhISG5OL3FhT3FLdDUvLzMwQVFJOGVQYkJwMHlaRVJrYWlUcDA2Q0FzTFEzaDRPRUpDUWlDbHhObXpaOUdxVlNzMGFOQUFRVUZCN2hweUtTa3BHREprQ05hc1dZUHUzYnZqNXB0dmRxL00yYTlmUC9kMTh4Y2kvK21ubjVDWm1ZbVJJMGU2azBDblQ1L0dkZGRkVjZpL3ZYdjNSdS9ldmJGbHl4WTgvL3p6dU91dXV6eFdBcHd3WVVLeFh4Z1gvQUpMVlZYTW16Y1BMNzc0WW9VczFGTGRNU25sSnhhTDVmVzhmMGRHUmdiVnFWUG5IU0hFaTY0ZjdBZDhhU00rUHQ0Z3Bad0M0Q1VwNVFrQTk5dHNObk5aKzJRMEd1OEQ4QnFBUlZhcmRYRloyeUVpSWlJaUlyb1c1SlZkS081THhQVDBkUHo4ODg4d0dBeDQ5dGxuOGZiYmJ4ZTU4dXQzMzMwSHU5Mk8yMjY3RGFkT25jTHJyNytPRjE1NEFjdVdMVVAvL3YzeDExOS9lVjBVdytsMElqVTExZXZxZEE2SHc5MVBwOU5aN01qOWdvS0NncUFvQ2pJek0vSHR0OTlpOGVMTEh4UGJ0R21ERVNOR29HN2R1dTdwaXlrcEtmajY2NjhMdFhIUFBmZTRWOS9MbndRS0RBd3NjbVR4bGkxYk1HYk1HRXllUExuUWxQbDY5ZXJoMDA4L2RVK3BLNG1tYWZqb280L1FyRmt6ZDlMcWp6LytjSy9VbHovNW5WL2VBaXQvL3Zrbit2VHBnODgvLzl6OS9NNmVQYnZJVlJZZERrZWhMNzZhTld1R1pjdVdsWHF4bzJzUm42RktrSlNVbEoyVWxEVGNaREwxRVVMMFZWVTFvcGhpNXNEbFh3SU5wSlFyQVB4RFNyazhOemYzcWQyN2Q1OHY3cHppcUtvYUk0UllLS1hjNjNBNG5pbHJPMFJFUkVSRVJQUzN6ejc3RE5uWjJaZzVjeWJXckZtREVTTkc0UG5ubjNjWE5jK1RsWldGdVhQbjRyNzc3bk92U2hzZkg0LzU4K2ZqaGh0dXdMcDE2L0RmLy80WG4zLytlYUZSZzBPSERrVkdSZ1lXTGx4WTZQcVptWm51YWEvcjE2L0hhNis5NW5QZnYvamlDMFJIUjJQbHlwV1lObTBhWW1KaThOZGZmNkZQbno2NDhjWWJBUUJQUC8wMDRDcDA3aTBwMWE5ZnYySUxuWmVGdCtSYlViNysrbXNjUG53WU0yYk1jQ2VGNHVQajBiSmxTNHdaTXdaTGx5NUYzYnAxUGM1SlMwdkRwazJiMEtKRkN6UnUzQmhKU1VsNDlkVlgzYXNqOXVqUkE1MDZkY0s4ZWZOUXUzWnQzSC8vL2U1emYvcnBKNlNrcEVCSzZURXk2dGl4WTJqUW9FR3hOVENKU2FuS3BBSFlBNkFaZ09ZQWlreEtxYW9hQWVBM0tXVlRLZVZUVnF1MUlpYlJQdzhnVEFqUldxL1hwNXRNcGtJSDZQWDY0eWFUQ1pxbTliRmFyVVZYZFNNaUlpSWlJaUtZeldZc1dyUUlxcXFpUTRjT3VPMjIyeEFhR29xWk0yZmkxS2xUR0RWcWxEdHhzWFRwVWx5NGNBRVBQZlNReHlpY3ZCVXZGeTFhaEtpb0tLL1RXSHYyN0lueDQ4ZmpsMTkrS2JTSVIycHFhcUdWS1ljT0hWcHNMYWhkdTNiaGl5KytjRDl1MjdZdDNuLy9mYlJ1M1JwZHVuUXB4elB5TjdQWmpBTUhEbmpkZCtUSUVjQTFZdXJjdVhOZWo3bnBwcHM4VnVqMEppMHREYk5uejhaZGQ5M2xVY3RKcjlkajdOaXhlUFRSUnpGMjdOaEN0WnlXTFZ1RzZPaG9oSWFHSWpnNEdCTW5Uc1FMTDd6ZzdtOVVWQlM2ZHUwS25VNkhNV1BHWU1LRUNlNlJXMjNhdE1GYmI3MkZ6ejc3REVPR0RIRzNPWDM2ZE96ZHU5ZWpLUHVKRXlkZ3NWamNqNTFPWjdIM2N5MWdVcXJ5Q0NsbEt3RFNicmNmTCtIWXVRQmFhSnIyengwN2Rxd3I0VmpmTGk3RUJnQmVJMEJLMlZzSUVRbGdQb0FNUlZGS3Q0UUJFUkVSRVJIUk5XYjM3dDBZUG53NFFrSkMzSVd5aFJBWU5Xb1Vnb09EOGZubm55TXpNeE5qeDQ2RlRxZERkSFEwQmc0YzZIVVUwTmF0VzdGbnp4NU1uRGpSNjdYdXZ2dHVmUGJaWjVnOWV6WTZkKzdzbms2WWtwS0NuSnljUXJXVGJyMzExbUpydE9sME9vK2tWT3ZXclFGWGtpZVAzVzczV04zdTZOR2pYdHM2ZXZTb1I3S2xidDI2cUZldkhqWnMySURseTVkN1BTZXZkdFdhTld1d2R1MWFyOGNNR1RLazJLU1V3K0hBMkxGamtaNmVqaDQ5ZW1EejVzMUlUMC9IcFV1WDNIL3ExNitQTFZ1MllPWEtsYmozM252ZDk3aHc0VUlNSHo0Y1AvMzBFd0FnSmlZRzMzLy9mYUc2WHAwN2QwWkVSQVFtVDU2TUNSTW00TXN2djhTY09YTlFwMDRkUFBiWTMrV2VjM056WVRhYmNjc3R0M2hNOVZ5NGNLSFgwVzNYTWlhbHJqQlZWYnRvbXBhelk4ZU8zL0p0MWhtTnhuRkNpT3NCck51MWE5ZVpmTWQzRlVJME5Kdk5pM0I1bUdFektlVjlBTlpYVkVJS2w3UFVTd0VzOWJiUFpESkZBb2gwT0J4dnNQZzVFUkVSRVJGUjBhU1UrT2FiYnpCMTZsUVlEQWJNbURHalVGTG94UmRmUkhaMk5yNzg4a3RrWldWaDBxUkorTWMvL29HYmI3N1phNXNmZnZnaG1qWnRpcTVkdTNyZHI5ZnJNWGp3WUl3ZlB4NC8vUENEZXdYY3ZPTHJWMktSZ09UazVHSlg2Y3p6NnF1dmVqd2VPSEFnWG5qaEJRd2ZQaHpEaDN0ZjhEMnZ5UGo0OGVPTHZPZVNyRjY5R3IvKytpc0FlRXhaREEwTlJjMmFOUkVlSG81bXpackI0WEJnMnJScGFOKytQU0lpSWpCMzdsd0VCQVNnWjgrZTdxUVVYRFd3Q2hKQ1lPellzWGppaVNkd3p6MzNJQ01qQTBPR0RNR0FBUU1RRUJEZ1BzNWlzU0FuSndlMzNYYWJ4L25EaGcwcnRGcnh0VDY5ajBtcEsweEtlYjFPcDV1cnF1b09JWVFaUUlDVThoWWhSRXNwWlpLaUtFL21IUnNkSFIwbWhGZ0RRSytxNm1tTHhmS3psTEt0cTUwV3FxcDZuVUluaEVnMW04MkQvSGxmUkVSRVJFUkUxeUlwSlpLVGs5MmpnZDUvLzMzTW56OGZ6Wm8xdzVRcFU5elQ3d3A2OWRWWGtabVo2UjVKWkRBWXZCWk0vK21ubjdCcjF5NU1talNwMkZYMGV2ZnVqVGx6NXVEVFR6OUZ6NTQ5b1NnSzFxeFpnMXExYXFGdDI3WVZlTWVYMWExYjEyT2E0ZkhqeHpGaHdvUkN4NDBaTXdhTkdqVnlQMjdZc0dHRjl3VUFMbDI2aElzWEw4SnV0d091dWsvSGp4OUhkSFEwR2pWcWhIcjE2cUZPblRxRmlvMWJMQlpNblRyVnZUSmlSa1lHQmc4ZWpLQ2dvQkt2S2FXRXcrSEFpQkVqTUhueVpQVHUzUnY5Ky9mM1NFZ0J3RysvWFI2VGtwZVUwdWwwYU4rK1BWcTJiSWtHRFJwVTJITlFIVEFwZFlWcG12YURvaWp2Q1NGNlNDbjdDU0gwQUE0Qm1DaWwvRjlDUW9KN1BPUytmZnN5VENiVDd3Q2FPNTNPZmE3end4VkZnUkNpdWF2MlZDRlN5alBldGhNUkVSRVJFVkhGeWNuSndSdHZ2SUh0MjdkRHA5Tmg4dVRKR0RKa0NHclhybzErL2ZwNUhWMlRSd2lCTjk5OEUxbFpXY1VtUUZhdVhJa2JiN3dSM2JwMTg5aWVsWlhsa2NReUdBd1lNR0FBRml4WWdFT0hEaUVzTEF5Ly92b3JCZzBhVkNnUmMrYk1HWVNGaFJWNXphTHFPRGtjRHZlL0F3TURQVVoyRmRWZVRFeE1oUmM2THlncEtRa3Z2L3d5MHRQVHNXWExGc3lkT3hlREJnM0MwS0ZEU3p4WFZWVXNXclRJWGR0cjZOQ2hxRjI3ZHJIbjVJMXkrK0tMTDVDZG5ZMGZmdmdCZXIwZVU2Wk13ZTdkdS9IMDAwK2pVNmRPQ0FvS2dwUVNQLzc0SXlJakk5MHJKd1lHQnVMOTk5OHY5aHJwNmVuUU5NMmpXUHExZ0VtcEs4dzEvZTBsSHcvWHpHWnp4L3dickZicllnQ0x5M3A5aThWU2ZDVTRMOHhtODkxbHZSNFJFUkVSRVZGMTlkSkxMMkhidG0wWVAzNDh3c0xDTUdyVUtLeGJ0dzYzMzM0N2xpeFpnckN3TUs5SkJVM1Q0SFE2NFhRNjRYQTQ0SFE2OGU5Ly94c2hJU0dGam4zdnZmZHc0Y0lGNU9ibTRzTVBQMFJZV0JpeXNyS3dmZnQyZE8vZTNlUFkvdjM3bzMvLy9nZ0tDc0pycjcyR3NMQXdQUHp3dzRYYUhEbHlaS251Yzl1MmJmampqejl3Nk5BaG9KZ0VsSy82OWV2blVZK3FLQ1d0Rk5peVpVdTg4ODQ3R0Rod0lBd0dBK2JObTRmZmYvOGRNMmZPeFBMbHkzSDc3YmVqVWFOR0NBb0tnc0ZnZ01GZ2dGNnZoOEZnZ0JBQzJkblo3ajlaV1ZtNDVaWmJvS3Bxa2RleldDekl6czdHUng5OTVKN2kxNzkvZndCQTM3NTljZU9OTjJMS2xDa1lQWG8wYXRldWphKysrZ3FIRGgxQ2NuSXlldmJzV2V5OXBLZW5ZK3pZc1FnTEM0UEJZRUJpWWlJQUZKcjZXZDB4S1VWRVJFUkVSRVRrZytqb2FMUnYzOTVkRjJqNTh1VllzbVFKZnYvOWQyellzQUhaMmRsZXo1TlNldng5MDAwM1lkQWc3eFZZaEJEdWxkMVdybHlKdExRMENDRVFGUldGd1lNSGV4eWJOK0pLMHpUazVPVGd0ZGRlUTJob2FLRTJ4NHdaZyt1dnY3N0krOXErZlR0bXo1N3RmcHlhbW9yNTgrY2pJQ0FBblRwMXdqLys4WThTbjV2aXZQRENDN2gwNlZLNTJnQ0E4UEJ3OTlTOFNaTW1vVldyVm1qVnFoVk1KaE9XTGwyS2JkdTJJU1VsQlE2SEE1cW11Wjl2YnhSRktURnhwTmZyVWFkT0hmenJYLy9DZ3c4K1dHaEVWVXhNRE9iUG40OWR1M2JoekprenFGV3JGbmJzMkFFQTZOU3BVN0Z0aDRhR0lpRWhBUmN2WGdRQUJBUUVvR1BIanJqLy92dEw4WXhjL1ppVUlxSlNjMHBIdWw3bzdKcFRjOC9GSnZKVlptWW1IRTRISU9GMFNrZDZaZmZuYXNkNHBQSmdQRllzeGlPVkIrUHg2dkRNTTg5NFRMMXIyTEFoWG43NTVYSzMrNS8vL01mcjlwOS8vdG1uOHhWRndZd1pNd3B0NzlxMUt4SVNFa284UHpZMjFpUGgxYU5IRDNUdjNyM1lxV1RSMGRFZWJkOTU1NTFGWHF0ang0NWV0NWZWb2tXTEVCd2M3SDdjcGsyYklsZm15MHRPQ1NIY2Y0cFNjSXBkYkd3czFxeFpVMmc2WkVINXJ6OTQ4R0IwNzk3ZHB4RlA2OWV2aDZacDBEU3R4R3RVVjlmbVhSTlJ1VWlaZXhveU9Ddlhic2ZaNUpUSzdnNWRaYzRtcHlBN093Y0FjcVRNUFYzWi9ibmFNUjZwUEJpUEZZdnhTT1hCZUx3NitGSU11N3FveXJXTjhpZWtTdUt0bUh4cGxDVlpsRmRMeWhlS29wUzdqMWV6YS9mT2lhak1UdXpmZjBZQ0dYYTdIYnNUOXlJcnkvc3daYUtDY25QdFNOeTdEems1T1FCa3pvbjkrN2xRUXpreEhxbXNHSThWai9GSVpjVjRKS0pyRlpOU1JGUVdEa2h0cVpSU1c3RnFOZjQwVzVDVm5WM3NuRzI2dGtrcGtaMmRqWjI3RS9ITmlsWFFORTBENUFJQURoOU9wK0l4SHFsVUdJOVhGT09SU29YeFNFVFhPazdmSTZJeXliMTBibFpBZVAxZTZSa1puWjRmL2hydXZLTWoyc2ExUWVORzF5SE1TM0ZGdW5aZFNrL0h5Wk9uc0hOM0luN2U4Q3N5TWpNaGdhMzJpeW4vcSt5K1ZSZU1SL0lWNC9IS1l6eVNyeGlQUkVSTVNoRlJHWjA2ZFNxelVWaTlwd3hTZkhMaDRzWGJWcXhhcmF4Wit5TkNRa0t1MlNKOTVKM2RZVWRtWmhic2RqdWtsQklTdnpuaEhIYnExQ2xXQWE0Z2pFZnlGZVB4eW1NOGtxOFlqMFJFVEVvUlVUbWMybWZiVjd0Rmk3dkRBOEltQ01qN2N1eTVocHdMZGdNQVhXWDNqYW9VSnlEdEFyQkxJZGRlY21TT09IL3c0TVhLN2xSMXczZ2tIekVlL1lEeFNENWlQQkxSTlk5SktTSXFsOVREaHkra0FzOUhSTVNNRHFtamo5Q2tvNTVPTWRTbzdINVIxZUhRWktaT3lPU004NDdrNU9SRUxuRjlCVEVlcVNTTVIvOWhQRkpKR0k5RVJFeEtFVkVGU1U1T1RFY3kwZ0VjcWV5K0VGM3JHSTlFVlFmamtZaUlxR2hjZlkrSWlJaUlpSWlxRlFsSExpQTFUV3F3TzdpWUlWM2JIRTRuTkUwRElLU0VNNmV5KzVNZmsxSkVSRVJFUkVSVXJXZ09uQUdRbTVPZGc1U1VsTXJ1RGxHbE9uOCtGWm1aV1JCQ09wMTI3VVJsOXljL0pxV0lpSWlJaUlpb1dqbWVuWFpLUU9SbVpXZmp3TUhEY0RpY2xkMGxva3FoYVJvT0hEcUU5UFIwU0luY0U0cjlXR1gzS1Q4bXBZaUlpSWlJaUtoNk9YRWlTNVBhV2szVDhOM3FINUNhbWxyWlBTS3FGSmxaV1ZqeTVYSTROUTBRK0JJSEQxYXA2WHNzZEU1RVJFUkVSRVRWamwzTGZqMUFDZTUyOHRUcHlBY2ZIWVNCRHc5QWJKc1lSRVRVUTNCZ1VHVjNqK2lLeWNyT1JrcktPZXpldXcrZkxWaUUwMytkZ1pSeTkwVkh4bXVWM2JlQ21KUWlJaUlpSWlLaWF1ZlUvdjBwMTBmSHZRZ2hwaDQ5ZHFMbDIxT21vMkdEK3FoVHV6WUNBZ01xdTN0RVYweE9UZzVTVTlOd05qa1pkcnNEVXNvalV0TmVPWC93NE1YSzdsdEJURW9SRVJFUkVSRlJ0WFJrbjIxbDgraTRuUUMrbEVEcmt5ZFA2VTZlT3Eyd2xBMVZiMUtURUE0aDRaQ1FQK2RxV1UrZDJyKy9TbGI4WjFLS2lJaUlpSWlJcXEyaisyeEhJaUppN3F4UlU5OUdFNklSZExLUjBCQmEyZjBpdWxJMEJhblM2ZHlUYlhmdVQwNUsvS3V5KzFNY0pxV0lpSWlJaUlpb1drdE9Ua3hQVHNidmxkMFBJdkxFSVl0RVJFUkVSRVJFUk9SM1RFb1JFUkVSRVJFUkVaSGZNU2xGUkVSRVJFUkVSRVIreDZRVUVSRVJFUkVSRVJINUhaTlNSRVJFUkVSRVJFVGtkMHhLRVJFUkVSRVJFUkdSM3pFcFJVUkVSRVJFUkVSRWZzZWtGQkVSRVJFUkVSRVIrUjJUVWtSRVJFUkVSRVJFNUhkTVNoRVJFUkVSRVJFUmtkOHhLVVZFUkVSRVJFUkVSSDdIcEJRUkVSRVJFUkVSRWZrZGsxSkVSRVJFUkVSRVJPUjNURW9SRVJFUkVSRVJFWkhmTVNsRlJFUkVSRVJFUkVSK3g2UVVFUkVSRVJFUkVSSDVIWk5TUkVSRVJFUkVSRVRrZDB4S0VSRVJFUkVSRVJHUjN6RXBSVVJFUkVSRVJFUkVmc2VrRkJFUkVSRVJFUkVSK1IyVFVrUkVSRVJFUkVSRTVIZE1TaEVSRVJFUkVSRVJrZDh4S1VWRVJFUkVSRVJFUkg3SHBCUVJFUkVSRVJFUkVma2RrMUpFUkVSRVJFUkVST1IzVEVvUkVSRVJFUkVSRVpIZk1TbEZSRVJFUkVSRVJFUit4NlFVRVJFUkVSRVJFUkg1SFpOU1JFUkVSRVJFUkVUa2QweEtFUkVSRVJFUkVSR1IzekVwUlVSRVJFUkVSRVJFZnNla0ZCRVJFUkVSRVJFUitSMlRVa1JFUkVSRVJFUkU1SGRNU2hFUkVSRVJFUkVSa2Q4eEtVVkVSRVJFUkVSRVJIN0hwQlFSRVJFUkVSRVJFZmtkazFKRVJFUkVSRVJFUk9SM1RFb1JFUkVSRVJFUkVaSGZNU2xGUkVSRVJFUkVSRVIreDZRVUVSRVJFUkVSRVJINUhaTlNSRVJFUkVSRVJFVGtkMHhLRVJFUkVSRVJFUkdSM3pFcFJVUkVSRVJFUkVSRWZzZWtGQkVSRVJFUkVSRVIrUjJUVWtSRVJFUkVSRVJFNUhkTVNoRVJFUkVSRVJFUmtkOHhLVVZFUkVSRVJFUkVSSDdIcEJRUkVSRVJFUkVSRWZrZGsxSkVSRVJFUkVSRVJPUjNURW9SRVJFUkVSRVJFWkhmTVNsRlJFUkVSRVJFUkVSK3g2UVVFUkVSRVJFUkVSSDVIWk5TUkVSRVJFUkVSRVRrZDB4S0VSRVJFUkVSRVJHUjN6RXBSVVJFUkVSRVJFUkVmc2VrRkJFUkVSRVJFUkVSK1IyVFVrUkVSRVJFUkVSRTVIZE1TaEVSRVJFUkVSRVJrZDh4S1VWRVJFUkVSRVJFUkg3SHBCUVJFUkVSRVJFUkVma2RrMUpFUkVSRVJFUkVST1IzVEVvUkVSRVJFUkVSRVpIZk1TbEZSRVJFUkVSRVJFUit4NlFVRVJFUkVSRVJFUkg1SFpOU21MUURIQUFBSUFCSlJFRlVSRVJFUkVSRVJFVGtkL3JLN2dBUkVWRWxVVlJWZlVvSU1mMzgrZk4xa3BLU3NuMDVxVzNidHJmcmRMcFJVc3IyQUVLRkVNY0JmSjJSa1RGKzM3NTlsNjU4dDRtcVBjWW1FUkhSTllJanBZaUk2Rm9qVkZXOTEyUXliUmRDekFFUTdPdUpScU94bjZJb0cxMGZlbjhSUW53anBRd0M4RXFOR2pWK2k0dUxxM0ZsdTA1VXJURTJpWWlJcmpFY0tVVkVGU0lpSWlZMHBJNCtRcFBPZWpyRndEZi81T2JRWktaT3lPU01jemtwS1NtVk8xb2hQajcrUmszVGZoUkNOQUZ3VEVxWkxJU0k4UFY4SVVRY2dQK2xwcWFPelJ1OTBhUkprK0Q2OWV0L0M2QzdUcWQ3R3NEMEszb1RQb2lJaUFuVjFkWHFHVFJkQk9PUjhxdEs4WmpmdFJLYlJFUkU1SWxKS1NJcWw0aVltTkFhbXY1MUFYRVBoQWhTcEFpU1F2SjNDN2taRkRnZ2xPelFpS0NjMEhwdDEyVW85amVURXhQVEs2TXZEb2VqbnFJb2dRREdaV2RuVHcwTURQd2RnTThmZkFITXRGZ3N5ZmszbkRoeElxdCsvZm9UQUhRSDBLRXlQL2cyYUJCWEk3ZzIvcE1YajFBazQ1RThWS1Y0eksrNnh5WVJFUkY1eHplcVJGUm1qYVBpbWhnMDhTbUFyaEJDMGV0MENBZ01nRTZucSt5dVVSWGlkR3JJemNtQncrbUVoR3hkUXpQY0ZCVFY1cm5qQjNjZDhuZGZMbHk0OEdkU1V0SjFBSndBb0twcXFjNHYrS0UzZjlPdXYzUEsyOGV5YWh3VjE4U2dWMllEOG00SW9laDBPZ1F5SHFtQXFoU1ArVlhuMkNRaUlxS2lNU2xGUkdYU3FGRjhpTjdnbUM4Z3VoZ01CblRwM0FtM3RJdEg0K3NhSWl3c3JMSzdSMVZJZWtZR1RwdzhCYk5sQjliOS9JdVNtMnZ2cnRQclAydlFJSzdYbVRPMkRILzJ4ZGVDeVdYUUVaZW5FTzIrUXUwWDYrOTRSQmVESVFCZE9uZEN1M2dWVFJvM1lqeVNoNm9Vai9sVjE5Z2tJaUtpNGpFcFJlUUhScU14VWdneEg4RHZGb3RsbEErbkJDcUtzdDVrTWhWM3pEbXoyVnpQeS9aU3Ixcms2dDgrSVVTQXcrRm9hclBaVHBSMGppSE0rYktRdURNb09BaHZ2VEVLM2U2NkUrSGhZUkJDbEhRcVhZT2tsT2g3MzkzbzBlMHV2UEw2bThqS3lyNDlxQlpHNHd6K1c5bDlLNi80K1Bqck5FMTdIVUN1cG1ueks2TVBlZkVZR0JTSThXK09aanhTc2FwelBPWlhGV0tUaUlpSWlzZlY5NGl1SUZWVkc2bXFPbFZSbEQxQ2lEdDhQVTlLNmRRMGJaT1Vjbm5CUHdCK2NSMW1LM0JhbVZjdFVoUmxnaEFpd05makd6VnFGS0lJMlY4SW9mVHUyUTMvN040Vk5XdUc4d013RlVrSWdmQ3dNSFRwM0FrOXUzV0JFRUpSRk9YUkprMmErUHh6V2hXWlRLYldtcVp0RWtJMEVrSTh2MlBIanBQKzdrT1RKazJDOCtMeHJqczZNaDZwUk5VMUh2T3JDckZKUkVSRUplTklLYUlyeEdReXpRQXcxQlZuQ1FEaWZUMVhDT0dRVW82eFdDd2JpbWozTGszVDNzamJWcDVWaTB3bVU3eVU4aUVoaEJPQVQ4Vm5Bc0xyMTRkQWtGNnZSOXZZTnFoUmc0dDdrVytDZ29KZ2pJdkY2clUvSVNjMzEyQXdoTlVIY0xTeSsxVVdScU54b0pSeXRoQkNwMm5hNDFhcmRVRmw5RU1HMWFrTElZTDBlajFpMjhRd0hzbG4xU2tlODZzcXNVbEVSRVFsNDBncG9pdEVTaGtqcGR3QW9KT1U4cDJLYUxOTm16Wk5wWlRQU0NsWFc2M1d6WG5iSFE1SFBRQjVxeGJkQk9Dc2owM3FBSHdzaE5nSDRHZGYrK0hVN0JHUU1pZ2dJQUFORzlRdjA3MlVSbnA2T3B4T1o1SDc3WFk3MHRMU0lLVXM4elcyYmR1RzlldlhsL244Yjc3NUJ1Kzk5NTVQeDM3MDBVZjQ5Tk5QaTl5ZmxaV0YxTlRVTXZlbHFydXVZUU1FQndjQkVnSE9RTDIzS2FoVm5WNVYxYm1Lb3N3WFFoeTIyKzIzVk9hSFhxSFQ2dVRGWTVORzExM3g2ekVlSzlhcFU2ZXVXTnUrcUFieG1GK1ZpazBpSWlJcUdaTlNSRmVJMCtuc1k3Rll1cG5ONWw4cnFrMkR3VEFHUUlDbWFSNTFQeTVjdVBDbnhXSzV6bXcyajAwc3hkTGVxcXErQk1Ba3BYd2VnTjNYODNTS29ZWVUwT3QwQ2tKRFEwdDdHNlUyYWRJazlPdlhEdzZIdyt2K1gzNzVCVjI2ZE1HNWMrZktmSTNGaXhkajFxeFpwVHJuaXkrK1FGSlNFZ0RBYXJYaWwxOStLZkVjQU5peVpRdCsvLzMzSXZlLy8vNzc2TldyRjA2Y0tMRzBWNUhTMDlPUmxwWldwai9wNlZkMmRmaXdzREFZOUFaQVFLZEFkN1ZWNFZaTUp0T1hRb2duQUh4dzhlTEZkanQzN3R4Wm1SM1NPNVdRdkhqMFIxRnp4bVBGbVQxN052cjI3WXVUSnl0dlp0bFZIby81VmJuWUpDSWlvcEp4K2g3UkZXS3pWZXdxUnJHeHNTMkVFQU1Cck42eFk0Y2wvNzZ5ckZwa05CcGJBaGdIWUpuRll2bkpaREs5VkpIOXJTaW5UcDNDanovK2lNY2ZmeHg2ZmRYNWxYWHUzRGxNbXpZTjZlbnBlT3FwcDRvOTF1RndJRGMzRnlFaElTVzJtNUNRZ0tWTGw2SjE2OVk0Y09BQURodzRVT3p4Tld2V2hMZUMrS05HamNMV3JWdDl1SlBDV3JkdWpVV0xGcFhwM09yT1pESzlBS0NQbEhLQ3hXSjV3NGRUcWhYR1k5bmlzU2k5ZS9mRzU1OS9qamx6NW1EQ2hBaytuMGVGWGV1eFNVUkVkTFdxT3U4b2lhaFllcjMrUlFCNnA5TTVzN3h0eGNmSEd6Uk4rd0tBM2VGd0RLK1lIbDRaYytmT1JjMmFOVEZ3NEVBQXdGOS8vWVdOR3pkNkhMTjM3MTRBd01xVkt3dlYwekVhallpT2p2YnBXa1ZOTjhyT3prWkFRQUFVNWUvQnBaczNYNTQ5R1I5ZmNxbXdMNy84RXRPbVRjT1dMVnNRR0JoWTVIRm56cHpCcUZHaklLWEVvVU9IOE4vL0ZyMFFscVpweU0zTlJXeHNMT2JQOTc2b1ZNT0dEZkhDQ3k4VTJqNTkrblJFUkVUZzBVY2ZMYlJ2M3J4NUpkN1B0U0krUHI2bXBtbVBLWXF5T2lFaDRaQnI4L05TeXB5Y25KenhsZHk5U3NGNDlLNm9lSHozM1hkOVN2Q3VXYk1HYTlhc0tYSi95NVl0OFgvLzkzOGx0bk90WUd3U0VSRlZIMHhLRVYwRm9xT2p3NFFRZ3dEczNiRmp4NC9sYlUvVHRMZUVFRGRybXZhSXpXYXIrRGtwRlNRcEtRbXJWcTNDNk5HajNSOXVqeDQ5aXBrelBmTnllZlZ0dk5XRkdUWnNtTThmZ284ZlA0N1RwMC9qdXV2K3JzdmpjRGd3Y3VSSWhJYUdZc0tFQ2U3UklhdFdyUUlBdlB6eXl4QkNJRHM3RzA2bkUzZmM4ZmNpaXpxZHp1Y3BSS21wcVhqdXVlZWdhUnBxMWFxRlZxMWFZZnIwNlFnT0xyd1kxb2tUSnpCeTVFZ2NQbndZZ3dZTktyTE5zTEF3OU9qUm85RDJqejc2Q1BYcjEvZTY3N3Z2dmtOYVdwcFBmYTd1bkU3bjY0cWl2Q3FsZkJCQXgram82REFBTFFCa0JBWUdmcW1xcXRmek5FMGJXaDFYK21JOGxqNGVlL1hxaFppWUdJOXRodzhmUm9zV0xZcThka3BLQ3VyVjh5enRGQjRlN2xPL3J4V01UU0lpb3VxRFNTbWlxMEJ3Y1BCZ0FHR2FwczBDVVBicXdaZEhLdHdINERVQWk2eFc2K0tLNjJYRis5Ly8vb2ZvNkdqY2YvLzl5TTdPeGhOUFBJRi8vdk9mN2xFUmVkYXVYWXZYWDM4ZEsxYXNLUFJoTHMrWFgzN3B0Vmh4NDhhTmNmZmRkd091a1JsZmYvMDFoZzRkNm40OGR1eFliTjI2RmQyN2QzZWZZN0ZZa0pDUWdONjlleVB2dzgvS2xTdHg3Tmd4REJzMnpIMWMvcEVjeFVsT1RzYXdZY09Ra3BLQ2p6LytHSGE3SFU4Ly9UU2VlKzQ1VEpreUJSRVJmeStrdUg3OWVvd2JOdzUydXgzVHBrMUR4NDRkZmJvR2xjbFdBSmRjQ3hZZ0tDZ29ISmRYeDZ3QjRMNmlUdExyOWFQODJVbC9ZVHlXUGg2am82TTlrbkFiTjI3RUo1OThnb2tUSjNwTkNoODdkZ3ovL3ZlLzhmenp6K09oaHg3eXFiL1hLTVltRVJGUk5jR2tGTkZWUUZHVUlRQWNkcnU5WFBNM1ZGV05FVUlzbEZMdWRUZ2N6MVJjRHl2ZXFsV3JzRzNiTml4WXNBQ0tvdURqanovR25qMTdNSExrU0V5Wk1nV25UcDNDakJremlqeS9UNTgrR0RCZ0FCNTg4RUhBTlFMbzhPSERIc2ZrNU9TZ1hidDI3Zy9CQUxCOCtYSU1IandZQVFFQm1EQmhBdGFzV1lOZXZYcGg3Tml4ME9sMEFJQmx5NWFoZHUzYUdEVnFsTHN1amRWcXhmbno1OUduVDU5UzNXZDZlam9lZi94eFpHZG40NE1QUG5CL2dIMy8vZmN4ZXZSbzlPblRCMDg5OVJUYXRXdUg5OTU3RDl1M2IwZDBkRFRlZnZ0dFhILzk5Y1cyYmJmYnZhN3M1WEE0a0oyZDdYVmZkbmFweTVOZDFTd1dTNXVpOWxtdDFtOEJ1SWVvdUVaWUNMOTFyZ3BoUEpZL0hnR2dmZnYyYU5HaUJkNSsrMjIwYmRzV0RSczI5TmcvYytaTU9KMU94TVhGbGFyZjFSRmprNGlJNk5yQXBCUlJGUmNYRnhjTklGWksrZVB1M2J2UGw3TzU1d0dFQ1NGYTYvWDZkRzhGZWZWNi9YR1R5UVJOMC9xNDN2aFhpbm56NWtHbjAySDA2TkhJemMxRmNuSXlIbmpnQVJpTlJuejExVmNsTHRGKzl1eFpaR1Q4WFd0KzRjS0ZIdnZ0ZGp1NmR1MksxcTFidTdmVnFGRURGeTlleE9MRmk3RjM3MTZzWDc4ZUR6NzRJRjU1NVJYM0tBc3BKVjUrK1dVY09uUUlUcWNUbHk1ZGNyZW5hWnI3Y1o2U1JtZUVob2JpeVNlZmhORm9SR1JrcEh1N3FxcFl2SGd4bm5qaUNZK2w3Ujk0NEFHOCt1cXJQaFdaVGtwS3dqMzMzT04xMzhtVEo0dmNsLzg1SVFManNVTGlFUUFDQWdJd2R1eFlEQnc0RUV1WExzV0xMNzdvM3JkNTgyYXNYNzhlUTRjT1JaczJSZVpqaUlpSWlLb1ZKcVdJcWppZFR2ZHZYSjZXc0x5OGJRa2hOZ0J3ZXRzbnBld3RoSWdFTUI5QWhxSW9oNzBkNXk5RGhnekJ5Wk1uRVI0ZWpybHo1NkorL2ZvZUgrREthOHVXTFVoUFQwZTNidDNjMityVnE0ZWJicm9KYytiTWdSQUNMNzMwVXFGaTRPZk9uVVBQbmoyTGJMZHo1ODRlajF1MGFGSGlhSTM3NzcvZi9lOExGeTVnKy9idDJMSmxDelp1M0lpMHREUkVSa1lpTWpJU216ZHZ4dkxseTdGNTgyYkV4Y1doZGV2V2FOcTBLUm8zYm93NmRlcWdWcTFhSGgrT216VnJodi84NXorRnJ2Zm1tMitpWWNPR2VPNjU1d3J0ZSsrOTk0b3NNRTNYTHNaaitlSngxYXBWMERUTjNXNlBIajBRR1JtSmxTdFh1cmZsRlpHdlc3ZXV4M1lBdU9XV1d3cU5xaUlpSWlLcURwaVVJcW9DVkZYdEtvUm9xR2xhb2FMalFvaGV1RnlnZFcxNXIyTTJtNWNDV09wdG44bGtpZ1FRNlhBNDNxZ0t4Yzk3OWVvRkFGaXhZZ1ZTVTFNeGE5YXNRaXQ1bGNkMzMzMkhSbzBhRlJvVjlQVFRUMlB0MnJWbzE2NmQxOVhwYXRhc2lWbXpaaFhhdm5EaFFodytmQmhqeG96eDJCNFNFb0xFeE1RaSs3Rm56eDVzMjdZTkJ3OGV4TzdkdTNIMDZGSEFWVnVuVjY5ZTZOYXRtM3NxejhXTEY3RnAweVpzMmJJRkNRa0pXTGR1bmJzZElRUSsvZlJUdEczYkZuQk4wYXRac3ladXZ2bm1RdGNNQ2dwQ3JWcTF2TzZyV2JNbUM1MVRJWXpIOHNYanVISGpvQ2lLUjlKNHc0WU5YdnN3WmNxVVF0dmVlZWNkSnFXSWlJaW9XbUpTaXFpU3VWYldXd05BTDZVY2tYOWZURXhNZ0pUU0tJUTRaN1Zha3lxdmw1WGo5T25UbURadEd2cjI3WXZiYnJ1dHd0cmR2MzgvMXE5ZmorSERoeGZhMTZSSkV3d1lNQUNMRmkzQzJyVnJDeFVqTmhnTVh2dXlkdTFhbkRwMXl1dSs0ajRFWjJWbFlmYnMyWWlNakVUTm1qWHg0SU1QSWo0K0hrMmJOblVmczIvZlB2ZS9XN1pzaVpZdFcyTGd3SUU0ZS9Zc2poOC9EcmltSGVWOUFJWXJLV1V3R0h4NlBvaDh3WGk4ckN6eENBRDkrdlhEeUpFalMzdytpSWlJaUs0bFRFb1JWYko5Ky9abG1FeW0zd0UwMXpUdGVGN3hYbHl1UDlKV0NCRUlZR09sZHJJUzVPYm1ZdFNvVWFoYnR5NmVmUEpKN05xMUMwZU9IRUZvYUNqZytpRGJ0MjlmQUhEWHFoa3laSWk3K0hGeEJidm56Sm1EV3JWcXVjOHY2TG5ubnNQbXpac3hjZUpFUkVWRjRZWWJiaWgwek5kZmY0MDllL2E0SDl0c05xU21wdUx0dDkvMk9PNjExMTRyOWo1TkpoTTJiOTRNZzhHQWdRTUhZdm55NVlXbTd1VG01Z0t1ZWpUNTJlMTJ0RzdkR2dzV0xDalVibVptSmdJQ0FqdytRT2R2THowOTNldSsvSFYvaVBJd0hqMmZDNVF5SHFXVUVJSjF1SW1JaUlnS1lsS0t5QThzRnN0WHhhd01wSm5ONW80QVlEUWFQUXFnV0szVzdXVlpVYWk0Vll1S1lqYWI3L2JoTUw5WnZIZ3hkdTNhQmIxZWozLys4NS91N1VPR0RFSFhybDA5aWhBZlBIZ1FQLzc0STdwMDZlSmVmV3Z1M0xsZTIxMjNiaDAyYmRxRTU1OS9Ic0hCd1Y2UENRd014UGp4NHpGbzBDQTgvL3p6bUQ5L1B1clhyKzl4ek5hdFcvSG5uMys2cC9Ka1oyZkQ2WFRpN05tekFJQXpaODdnd0lFRFBvMk15RCtpNmI3NzdpdFVCeXB2Qk1uMDZkTTl0ci85OXR2WXYzKy8xelpUVTFOeDl1elpJcGVWUDMzNmRKSDdXT2ljQ21JOC9xMjA4ZWgwT2lHbDVNaEZJaUlpSWkrWWxDS2lLaWtxS2dvZE9uUkFaR1FrcnIvK2V2ZmZ0V3JWQWdvVU1GNjdkaTErL1BGSFBQVFFRNmhYcng0QW9HL2Z2Z2dNRFBSb015VWxCWk1tVFVKVVZCUWVlZVNSWXEvZnVuVnJ2UFhXV3hnOWVqU2VmUEpKZlBEQkIyamN1SEdoUHVhdHhEVm16QmhZclZiMzQ1VXJWMkxjdUhFVjlHeVVqdDF1eDdsejU5Q3JWeSt2OXpsaXhBZzBhdFFJSTBhTUtMVHZuWGZlZ2QxdTkxTlA2V3JCZUN5N3ZCVUFLN0lHRjVFL3hjZkhOMHRJU0RoWjFFSXBKWW1LaWdvTUR3Ky9VOU8wUTFhcjlVQUY5S2RtYm02dXNuUG56dUtYL1N3Z0xpN09CTUJnczluK0tMalBaRExkQThCdU5wdC9BQ0RpNHVJYVY0WDZta1JFMXdJbXBZaW9TdXJZc1NNNmR1eFk1dlByMUttRHhZc1h3MmF6WWRLa1Njak56Y1hJa1NPUm5wNk8yYk5uKzdTRWUvZnUzWkdTa29KcDA2Wmg4T0RCbURKbFNxRTZNYjVvMHFRSjdyampEdVNmbWxtVUZTdFdZUFhxMVI3YjhxWUxkZWpRd1dONzNuU2hndmJ2M3crbjA0blkyRmhFUjBjWDJoOFFFSURRMEZDdisyclVxTUZDNTFRSTQvRnZwWTNIdi83NkMzQTlCMFFWUlZYVlp3QmNaN0ZZeG5qWlhWeEFPVngvaThqSXlNQ0NPNU9Ta25JQXVKZGdqWXVMcXkrbDNLV3E2c2NXaThXbm9tZ21reW5lYkRidnlMdFdTRWhJQklBMUFONEc4RjlmMmloS1hGeGNmVTNUOWhvTWhxOEFQRldhYzNVNjNYUUFOMFJGUlVVZFBIZ3dwOER1LzBncG5RQitNQnFOUTRRUU00eEc0NnRXcS9XRDh2U1hpSWhLeHFRVTBUVWlNakl5S0RRMDlQcGR1M2J0QTZENWNFcVZvV2thVHB3NGdYMzc5dUhNbVRNbGpxckljL2JzV1NRa0pBQUEvdnZmLzJMbnpwMFlQbnc0WW1KaWZMNzJRdzg5QkVWUk1IWHFWRHo1NUpPWVBIa3k3cnp6VHAvNkROY3FYSjA2ZFVLblRwMTh1bDdYcmwzeDdMUFBlbXliT0hFaUFPRDExMS8zMkQ1bnpoeWNQSG15VUJ0NXEzcTFhVlBxV1p6a0o1R1JrVUhoNGVGUk5wc3RrZkZZdmVNeHI5WlYvaW1PVkRtdTV0ZEJWVlc3Q0NIdU5wdk5MK1B5ejNJYkFGRUE5S3FxZGdEd2J5SEVYVTZuczR0T3B5dHloSS9ENFdocXM5bE9HSTNHNW9xaUhDbTRQenc4UE5abXMrM0tlMnl6MmM2cXFqcERDUEdHeVdUYVlEYWJWeFhYVDVQSkZBZmdUMVZWMzdGWUxLUExmK2VlYkRiYldaUEo5RDJBd2ZIeDhkTVRFaEwyK25LZTBXaHNKNFM0QThBelhoSlNrRkptQVFqRjVkSUpuNWxNcGlZQTNqZVpUSjNOWnZPREZYMGZSRVQwTnlhbGlLNFI0ZUhoOWZSNi9WWlZWUTlLS1JjcGlySkswN1FVcTlWNnFheEQ4cStrQlFzVzRPREJnemh5NUFpT0hEbmlMcFRjdW5YclFoK0NGVVVCWEN2TzVYZnMyREZFUmtiaS9QbnoyTE5uRC9yMTY0ZUhIMzdZNi9YT25qM3JybjlUVVAvKy9YSGRkZGRoeVpJbGFOKytmYkg5M3JadEc4NmNPWU1WSzFZZ05EUzBVREZrdUtielhIZmRkVjdQcjFHamhzZEtYd0RjdFhZS2J2YzJIY2poY09DSEgzNUF2WHIxeWxRYmlsUDMvQ004UEx5ZVRxZjdWVlhWUTFMS1JWTEsxVUtJczR6SHk2cExQQUxBcWxXckVCWVdocHR1dXFuWXZ0S1ZkN1c5RHVZbnBXd3FoSGpKYURRdXNGcXRWdGUyVzFSVlRRWVFEdUEzVGRObTZ2WDZkRTNUdW5scFlxd1FJdHJoY0tRVmFQY3hBSHNBTkJkQ2ZJWExDYkN1UW9pZ2ZJZFpwWlRKQUl3bWs4bWpVU0hFcndrSkNSZnl0ZmNzQUNtRStMUXM5eGtURXhNYUZCUjB5WmRqcFpSN0N2WW5QMDNUK2xpdDFtOXgrZmZTR0NubEFZdkY0clZmUW9nTUFIWHpUaldieldOTkpwTU5RRVJaN29PSWlIekhwQlRSdFVVUlFzUURNRWtweHdnaHJLcXEvaUdsL0YybjAvMlJrSkJ3dXJJN21HZjE2dFZJVGs1R1RFd01Ibm5rRWJScTFRcFJVVkdGUGdqQ05SMEhBR2JQbm8xMjdkb0JBTkxTMHJCMTYxWTg4c2dqcUZldkh1YlBuKzh4ZldiWnNtV3cyV3dJRGc3R3NXUEhzSC8vZmp6d3dBTkY5dWVPTys3QUhYZmNVV0svclZZckZpeFlnTkRRVUx6NDRvc0FnTDE3OTJMbHlwVUlEZzdHNmRPbmNmVG9VYTlMMWNNMTFlZlhYMy8xMkhiKy9Ia0FLTFE5YjFwUWZrdVdMTUdwVTZmdzdMUFArclRhMThhTkcyRzFXaEVjSEl5TEZ5L0NZckdVYTVvVytVNElvUUNJQjJCU0ZHV2NsTktzcXVvZlFvaHRRb2l0ak1lclB4NjNiTmtDcTlXS3h4NTd6R3RDakNyRlZmTTZtRjk2ZXZxU3NMQ3dkeFJGR1EzZzM3ajhPeVJWU3ZtZnJLeXNIL2Z1M1h0T1ZkVVhzckt5Z2hNVEUzODJHbzFQNkhTNitRa0pDWGFqMGRoYkNIR2JsUEwreE1URTlBSk43N0ZZTEgvR3g4ZW5TK21ldGJjSVFJUDhCN2xlVDhZWDdKZW1hZTBBL0FrQWJkdTJiU3lFZUJ6QUxxZlQyYkJ0MjdZTmNYbmFYSVNyamFadDI3YTkzZHY5S1lweXlXS3g3RWhNVE14V1ZYVkEvbjFTeWxCRlVlcElLWTk1TzFkS1dRZEFoaEFpcDhEMjdiaWNaR3NQb0RlQWZnQWNScU94VzI1dTd0WUN6MFdHbERJNE5qYTJ0c0ZnYUtwcFdsTXBaWDBoUkZOVlZUOTNPcDB6YkRhYnVlai9JU0lpS2lzbXBZaXVJVkpLSVlTQXVQenVzaGFBemxMS1RrS0lOQ2xsc3FxcTI2U1VDM056Y3pjbUppYm1WbVpmUC83NFk5U3NXZE9uWTF1M2JvMS8vZXRmV0xWcWxiditpMTZ2aDZxcWVQVFJSd0VBRVJHZVgzWTZIQTczc1NFaEliampqanNLVGRNcHpxdXZ2Z3Fucy9BWDYwODk5UlNlZXNxenpJWEJZTURTcFVzQjF5aVMyTmhZUFBiWVkxN2J0ZGxzWHFjQUFjQzc3NzdyOGZqY3VYT0ZwZ1JsWjJlamZ2MzY2TisvZjVGOXIxR2pobnUweDhXTEYvSDU1NSs3OXpWcTFBaURCdzh1OGx5cWVLNTREQmRDZEpaU2RwSlNYZ0J3VmxYVmJRQ1c1T1RrL014NExGNVZqY2RaczJhaFhyMTY3dnVteW5jMXZRN21kL0Rnd1J4VlZlY0JlRVZWMWVieWNnYnBzTVZpK2I5OGgvMG5JQ0RBWmpRYWd4UkZtYVJwMnQxeGNYRkRoUkNmQWZqUVlyR3M5T1ZhbHk1ZGF1NXdPRVRkdW5WckE3Q2ZPM2ZPbmJ5cFhidDJpOVRVMU1ONWoxMDFxSURMOGZRR2dDQUFzVHFkN3RlQzdRb2hIdFBwZE42RERVZ0FjRE1BUjRGN0VpYVRhYnVVVXArYW1ucHJVbEpTZHNFVFZWV2REK0FXcDlQWjJXYXpuUzE0V1FBekFQeG1zVmkrVWxXMU9ZQlZnWUdCUDduYWJRcWdxWlF5WGdoUngyQXduTWZmSXo0enBaUW5BQnpUNi9WY3FZQ0k2QW9wOVZMelJIVGxHSTNHem9xaUxKRlNCa2twKzFpdDFnMFYxWFpjWEZ3VHZWNmZDQ0FzMzdlaGJ2bEgxVWdwVHdKWUtxWDh2K3pzN01PS29seksvK1k4OGtaalp3aTVKRHdzck9GSHM5N0ZyYmZjWEZIZHJMYWtsTkEwRFVJSTkvU21LeVVwS2FsVTlXdWtsTzRQOUw0VW5DNnYzN2Y5aVJkR2pFTHl1WE5wa09pVHRMZmlmczZ2RnE1NDNBMGczTmQ0ZERxZHkzSnpjdzhVaXNlb3VGdGhFTitFaDRVMW5EbjFIZHpSc1VPaDlzaVR2K0p4NTg2ZHlNbkp3YzAzVjkzZmtkZFNQRmJrNjJCbGlJK1B2MUZLdVVkS09WSUlvWk5TdmlHRUdDV2x2Q2lFNkFqZ1lZZkRVZDltczJXNGFqdjlEQ0JRU25raU9UazUvc1NKRTFsNWJSbU54a2hGVVk1b21qWklVWlM5QUpvRCtEK0h3K0d1S2FXcTZnb0FOMWdzRmlNQWg4bGs2Z0ZnbGRQcGZIakhqaDFmNXU5YlhGemNQM1E2M1JZaHhCcW4wL2xPL24ydWtWSmZTeWsvMXpSdHJyZDd5eHNwNVcyZnFxcVBDaUUrQi9DZTJXeCtLZjgrbzlGb0ZFSWtBUGpPWXJIY1gvQmNrOGswRE1BTUtXVzh4V0xab2FycUFpRkVQNGZEY2J0ZXIvOVdTbmxjQ0hIY1ZaL3JKazNUK211YWR0eGdNQnhMU0VoSUtjTi9FeEVSbFJKSFNoRlZUWHJYZTYyS2JETWlmOHpudmZuTy84WTgzNzhiQ3lHR0N5R2VDd2tKMlFOZ3U5Rm90RG1kemswN2QrN2NWYWhsS3BFUXdxZlZ2aXBDYVFzcUN5SDhrb3dxU0hOcUNESTRPMVgwRDNwRmsxS2VGa0tjcWVCbUk2U1V1cnc0OUNVZWRUcmQwSkNRa0VRQTI5dTJiYnRMMDdRTmpNZXk4VmM4eHNiR1h2RnJWQlNwU1FUcVpWUVZEOGZ5cXNqWHdjSlpyU3NzSVNGaHI2cXEzU3dXeTAreHNiRzE5WHI5UHdBTUI2QURjRjVLT2RCbXMyVUFnTmxzdHNYRnhmWFE2L1cvQU5pVVB5R1ZuNklvODd4dGR5Vno3Z1V3T0c4VlBiUFovS09xcWwvcGRMcEZxcXBtNTQyOGlvK1BEOUUwN1RNQW1ibTV1Yy91MnJYcmVQNjJYTWxBU0NtUDc5aXg0N2ZTM3JmRllsbG9NcGtlbEZJT2lZdUxtNWh2TkpSUUZHV09sUEt2ckt5c0lVV2MvcFJyVmIxVnFxcUdBS2dONEEzWFZMeG1lUWVwcWpvS2dNbHF0YTZxNnZYRmlJaXFHeWFsaUtxbUVDSEVHMEtJQ3Z0V1ZrcXBTQ2tEQzlZWktxcnVrT3VOZVpBUVFwVlNHaFZGeVJGQ25ERWFqZnZzVG1uSnNFdU90S1J5VVFBRUd3elBDU0dxZENGWklZUVRRSnJyN3dvaHBWUUFCSHU1VmxISEEwQWdBRlZLYWRUcGREbUtvcHd4R28zN0hBNGtwRHMweGlPVml3QVFaRkFlVlJTbFZXWDM1VXFweU5kQkFFdlMwdEsrVFVwS1N2TjY4aFZpc1ZoK3d1VmFUZ0pBckpUeUxvdkZjalJ2djZxcXJ3RjQyZlZRQUtnQjRFRlZWZThYUW9RQUdHazJtei9PTzk3aGNOeHFzOWtTMnJadEc2M1Q2WGJoOGpkaTNRQk1sMUl1c0ZncytaTldtc1ZpZVZSVjFSb0F2bXpidHUyOU8zYnNXS2RwMnFkQ2lCZ0F6eFJNU0pXVnlXU0swelROWGNWY1NybGRTcG1vS0VxdmZJblRPQUMzQ2lIbUJ3VUYzWk0vb1NxRU9HK3hXRlk2bmM0SmlxSzBrRktlRTBKTUFMQTNPenY3ZjE0dW1TeUVFSEZ4Y1hWdE50djUyTmpZWm9xaVJDbUtjZ09BR3dCa1dTeVdOeXJpM29pSXlCT1RVa1JWaUtacHB4VkZPZTJxeWFCSUtZTjhPTTBuUWdnaFpla1RTZm0rTmRZTElVSUJOQlJDQm5QeUwxVUVjZmtiL3FyNjA1VFhMeUdsRE00YkxWQWhEVmRnUEVMUmFsVFpaNUN1S29vUWhvcDgzYWxxS2pUdWdMQWFOV3BjMmJuWUJaaE1waWdwWmRkTGx5NTlZVEFZSGdVUUpZVDRPZjhLZEpxbS9kTnF0VTdHM3lPVWpqdWR6azRBMHZSNmZaS21hUjZqSzNVNm5ST0FRNi9YTzZXVTBPbDBKZ0N6QVpnQmpHblNwRWx3Z1dsL2R3b2gvaWVsdkU1UmxLOGpJeU9qWExXNTVwdk41bzhxNmw2bGxQY3FpakplU3BtUnQ4MWI4dEMxdjU4UW9sK0JYVFlBSy9PbUdacE1wcWVsbFBXa2xIMFNFeE56bzZLaUFtdlVxQkdsS01vTlFvZ2JBSFJ4UFI4SkpwT3BZYjdQU0JjQkhKSlNicTZvZXlNaUlrOU1TaEZWSVRhYjdZQ3FxbzlJS2V0WGROdFN5Z2doeEh3QUlRVzJBMTdlN0xrZU82U1VCNldVZjJxYVpwRlNicmJaYkFtUk54cHZoOENERmQxSHVyWm9BREx0OWxraEJzUEZ5dTVMRVpvTElRYTdSaldObDFKdXE2aUdYZkU0enpXS0lmOTJ3SWQ0bEZMdTBEVHRWNXZObGhBWkZYY3pESUx4U09VaUFXVG1PajhMTVNnSEs3c3ZWMHBGdmc1V1pKTGFWMUxLOWtLSU9hR2hvVHVGRUtNQnZDMmxEQmRDREpSU1BnRUFkcnY5bktxcW96Uk5XNWgvV3FKZXIxY0JiTFNzZGdXWUFBQWdBRWxFUVZSYXJWdUt1NFlRNG95VWNoT0FrVUtJUGZYcjEzLzV4SWtUN21TVG9palRBWnhWRk9WZVRkTnVTMHBLK2lzc0xPeWhTNWN1WlpsTXByNmFwb1VYYkZOUmxOcXV0dU9NUnVQajNxNnIwK25XZWx2NVVFclp4R3ExbG1zMG1pdVpOMVVJTWROaXNXd0JnUER3OE40QWxydXVjUjdBY2RmLzl6WXA1UW9wNVVGTjB3NENxRzJ6MmZhVjUvcEVSRlE4SnFXSXFoYk5ZckVrQWtpczZJYmo0dUthNkhRNkxlOXhjVVZlcFpTcFVzcFZVc3FsbXFZbDV1VGtwT3pidCs5U1JmZXB1a3BMUzhPbVRac1FIeCtQeG8wYlYzWjNxaXhGcHlEWHFXemF2N3RxRmxhT2k0dTdWYS9YOTNkTjM3R1p6ZWFLWG5qQVBSM1FsM2gwT0J6TGhSQzJheUVlRHgwNmhETm56cUI5Ky9aRlRxM3lKajA5SGNIQndVWFdpN0xiN2NqSXlFRE5talZMMVc1KzI3WnRRMFpHQnU2ODg4NHluVjlWQ1VVZzF5a09WdFY0ckFqVjRIWHdKZ0NaUW9od0lVU3kyV3dlcTZycVFDbGxtc1ZpK1FvQVltSmlRb1VRa3hSRjJlaDBPdDFUNmN4bTgzY0F2dlBTWm51VHlWVFA2WFEyVVJRRkRvZmpwTTFtNjQzTHlad0VBRU1CZklUTHo1OEpRQnROMHdaWnJkYlRlVW1kblR0M3BnSkFuVHAxcHJpbXUza2xoTGhIQ0hHUHQzMmFwblVEa0Q4cEpYQTVwalZ2eC9zcUxpNnVocFR5S3lIRVNVM1RQbEJWdGFzUW9vMm1hVWxDaUhaU3lvT3VwSmVpcXVvRkFBY3NGc3ZudUR3VnNoT0FkU2FUYVpMWmJCNVhubjRRRVZIUm1KUWl1b1lJSWJSOC93WXV2L0dXQURMeC8remRlWHhVMWZrLzhNOXpaN0l2SUNRb0VOdW8wWmdBeWR5SldNVWlXaEVxN3FoVUVEY1EvSXBTRVVFQi9WVkFKQXFpSWtVVXRJSVFGelpsRVJwb1FhQ0FvcG1aSkJBSUlDQkxnQUFCSVpCbFp1NzUvWkhKbUdXeUVoT1d6L3YxNm92TXVlZWUrOHcwNTVYazhaem5BQ2NOdzhoVVNuMXk1TWlScFRrNU9XZWFNdGJ6V1U1T0RzYU1HWVB4NDhjektVVlZVaVZuMHdNVjVxT0llT2NqZ0ZtNXVibmZYTWp6OGRDaFF6Q1pUSWlNL0syMFdFcEtDaFl0V29RZmZ2aWhUa1g0azVPVHNYWHJWc3lkTzlmbmZhdFdyY0tvVWFPUW1wcUtpSWlJZXNXYmtwS0NmZnYyWFhCSnFZdkZlZjV6TUZFcFpTOHVMdjRoSUNCZ2tOVnE3YWlVc2dBb3RscXRONkFrOFpxTGt2ZmtYY2xsTXBrK3RGcXQrUUJ3OHVUSlhqdDM3anhwR0lab21nWVJlVXNwWldpYVZpbExxNVNhTENMenJGYnIvVGFiN1d1ejJmeUNVdXJJaVJNbnZ2UVZuSWpjVUZCUVVHbmkrZm41dFRhWlREWUE3eFVXRnI1VnhYdkxxL0RhSHlVMXI4NnF0cWJKWkJvc0lvbEtLYVZwMm5aUGN3R0FQbmE3L2FjeVhRMEFQNG5JVFNqWnB0Z0p3RGNpa3UxME90OC9teGlJaUtoNlRFb1JYVndFdi8waWZoS0FBOENQQUw1WFN2M29jRGgrcVhFRUltb1E0cG1Jbm45T0FiQjc1dU9QU3Fudkw1YjVPSEhpUkd6WXNBRXJWcXhBV0ZoWXZjZkp5Y25CeXBVcjhjUVRUelRKYVpKMDNqaWZmdzdxQUw0S0NBaTRCY0JjVDF0cFhhdi9vU1FKTXdJbDc2OXNMYVlkU3FsakFOQ3NXYlBTWkZVSVNoSlAxOW50OXF5a3BLUnJsVkpieXo3TWJyY3YxSFhkQVdCS1ltTGlDYVZVSHdERDkrelpVK2dydUxTMHRLTysyaE1TRXN3b1dRMTFPaXNyNjFBdDMydHpBSzZxbmxWYklySWV3SFFSMlFwZ3EyRVkyWjcvajMyZG52aHZwZFI0WGRjSEE1Z0lZSnZMNWVwV1hGemM2RnMxaVlndUp2eXRqZWppb3BSU0dRRG1PNTNPNVlaaDdBOEtDanFXbHBibWJPckFMa1MrdG9ZQXdKa3paeEFjSE96ekdsMDhsRktHcHhqdmZNTXdVcDFPNTk2TGJUN201dVppM2JwMTZONjkrMWtscEFCZ3hvd1phTmFzR1I1Ly9ISEFzd0pyelpvMTVmcHMyN1lOQUxCNDhXS0VoSlFyNXdXTHhZTFkyTmhhUGF1cXVWMVlXQWgvZjM5b1dxUFd2NmE2T1M5L0RyWnYzLzV5RWJsVUtaVm1zOWtXZW42SEYxM1g5NHJJTXB2TjlqUThXK3cwVFlQYjdmWitFN3BjcmtrWkdSa1ZDNXhmQ2dCRlJVVVZWeWlWWlNpbG50VTBiYTNKWkZxaGxOcGFWRlQwejkveGJaYjFCNlhVNGJNZHhHYXpyUU93cm1MN3RkZGUyM0xidG0zSHlyWVpockhDWkRLOUNlQjlwZFFDdDl2OWVFWkd4bWxkMTEvWGRiMm4zVzd2NEZsUlJVUkVEWWhKS2FLTFJGNWUzckdXTFZ0MlNrOVAzOHBmcWhySER6LzhnTC8rOWEvbDJuNzg4VWVNR0RFQ0V5ZE9STmtUaytqaWtwZVhkeXd5TXZJV3U5MmVlVEhQeDA4Ly9SUnV0eHR4Y1hHdzIrM2U5cnk4a3IrVDA5UFRxMHp3WEhYVlZRZ1BMNm1wdkdmUEhpeGR1aFFqUjQ3MEpwdCsrZVVYdlA5KytWMDNibmRKR2E5UFB2bWswbmpQUGZkY3JaTlMrL2J0dzhHREI5RzZkV3R2bTh2bHdyQmh3eEFhR29weDQ4Wnh0ZFk1Nkh6K09lam41L2NubEh3UDIwcmJyRmJyblFDaUFQVFRkWDJ6M1c2ZllqS1pkSlFrblVhNTNlNlhxaG15SFlDVFdWbFpOU1YrY3BSU2gwU2tyWWprbXMzbTVnQnlHK3A5VlVFQVdBRnNhNkR4VEltSmlRa21rNm1UVXVvbUFKMUU1QlNBRGlpcHcrVWZHQmc0Q01Dcm52NkZSVVZGejJWbFpaMUd5V3FyV0tXVStYejduaUVpT2wvd055YWlpOFQrL2ZzTDl1L2Z2NldwNDdnUTdOcTFDeXRYcnZSNTdkNTc3L1YrdldMRkNyejQ0b3NJRFEwRkFHemR1aFZEaHc2RmlGUlppSmt1RHA3NW1ON1VjVFNsZ3djUFl1SENoUUNBU1pNbStld3pjT0RBS3U5Lzc3MzMwTGx6WjhDekJUQTJOaGIzM1hjZkNnc0w4ZFJUVCtHT08rN0ErdlhsVDNGUFRVM0ZxRkdqc0dqUm9pcHJTczJkT3hmSGp4K3YxTjYyYlZ2Y2RkZGRnR2VsMU1LRkMvSHNzODk2WDQ4ZVBSb2JOMjVFdDI3ZGF2MFpVT002ejM4TzNneWdJQ01qWXlzQXhNVEVoQ3VsM2dId0g2WFVUQkg1ekdxMUdnQzZLS1YrQWZDdzJXdytVTTE0WFFHa1ZiR05EUUEwaThYU1QwUW1BSEFDZUJ2QUVKUEp0TmxxdFE2MjJXenpBYmdCSUNrcHFabmI3YTd5NUFBUkNVZkpLWHdCRm91bGVWWDlDZ29LM05uWjJhZDBYZitMaUVRQm1GTDdqOGMzWGRkbkFuaEFSRUtWVW9hSXBBUDRXaW4xYlZKU1VqUERNQjREOEFLQUt3QjhZeGpHVEJHWkd4Z1ltSktVbEhSM1dscmFHUUFKQUg0NDIxaUlpTWczSnFXSWlPcm9sMTkrd1dlZmZWYXV6VEFNRkJjWDQwOS8raFA4L2YwQnoxYWUrZlBuNDRrbm5zQ1dMVnN3ZVBCZ2FKcUdxVk9ub24zNzlrMFVQZEc1SVRrNUdZWmhJRGs1dVZ5UmN3Q1lOV3NXMXExYmgrblRwMWU3VWdvQWxpNWRpazJiTm1IV3JGblFOQTNUcDAvSDFxMWJNV3pZTUV5WU1BRTVPVGw0NzczM3FvemovdnZ2UisvZXZkR3JWeThBd0pJbFM3QnIxNjV5ZllxS2l0Q3hZMGR2VWdvQUZpeFlnSDc5K3NIZjN4L2p4bzNEOHVYTDBhTkhENHdlUFpwSlovbzlKQ21sTWdHNG82S2lnc0xEdytjcHBWcUxTQSs3M2I3VFlyR1lEY000YURLWjNnUFFUeW5WWGtSZUFnQ3oyZHpiWXJGc0IrQW5JcnZkYm5lbWlOeXVsSHJaVTB1cWpXRVl0M2orZzRuSllyRU1FcEhuUmVRYUFLdEU1TW0wdExTOWlZbUppelJOK3dyQWw3cXU3d2Z3NmZIang4Y2JobkZBMDdTUW10OENobW1hTnF5cWk4SEJ3VnNBSklySWFBQUZaODZjcWJ5a3NZNUVKTXRUVCtzN3BkUTZ1OTErSWpZMk5pd2tKR1NTWVJqZmlFaUlVbXE5VXVwSnU5MitCaVdKckdlVVVoOEQrTjVUVXlzV3dPaXpqWVdJaUh4alVvcUlxSTV1dmZYV1Npc3dQdjMwVTN6NDRZZUlpWW5CM3IxN0FRQmhZV0dZUFhzMnJyenlTb3dhTlFvaElTR1lObTFhcmJjSUVWMm9saXhaZ3ZYcjE2TjM3OTQrVnhZdFdWSnljbjFpWW1LTjIrQSsvZlJUbUV3bWpCdzVFc1hGeFRoeTVBZ2VlT0FCV0N3V3pKOC8zK2VxcDdKeWMzTngrclMzSmpSbXo1NWQ3cnJUNlVUWHJsMFJGeGZuYlFzSkNjSEpreWVSa3BLQ2JkdTJZZlhxMWVqVnF4ZUdEeC9PZWxMMHV6aHo1c3hmQXdNREV3RWdNakx5UXdDM0FyalhaclB0QkFDSHd6SExhclV1QlhERTdYWXZ6TWpJbUcyeFdOSTFUZnM3Z0NHYXBnV2paRlZmZjdQWmZGb3BkYWE0dUhoT1FFREF2UUQrSlNJdUFITUEzS3hwMnZ0S3FTeTMyLzIzOVBUMGVhV3JxZExUMC84WEd4dDdiVkJRMEhPYXByMEk0Tkk5ZS9ZVXRtalJvajhBdjdOOWp5Snl3bUt4M0FYZ3owcXAvMWV4NWxOOTJHeTJDUlhic3JPelQxbXRWck9JZksyVW1semhGRDdZN2ZaL1dhM1dYS1hVNndCNkFmakticmZQTzl0WWlJaklOeWFsaUlnYXdNcVZLM0hqalRkNnQrb0JRSjgrZlRCanhneTg4TUlMaUltSndlVEprM0haWlpjMWFaeEVUVzNidG0xSVRrNUdWRlFVQmcwYWROYmo5ZS9mSHdjT0hFQjRlRGhtekppQlZxMWE0Zm5ubjIrUVdBRmd3NFlOeU0vUHgrMjMzKzV0aTRpSVFMdDI3VEJ0MmpTSUNJWU1HWUpISDMyMHdaNUpWRkYyZHZhcDBoUDJYQzdYMjJheitVdTczYjY4YkIrbDFCdEtxVXN6TWpKT295UlI5VG1BejMyTmw1U1VwRy9ac2lVUHdLZWUvNGtuK1NTSmlZbjI5UFQwLzFVVFIzSjhmUHlVNHVKaUowb1NQMTgxNEZzVnE5WDZrdDF1OTcybnQ0SFliTForTlZ4ZkNtRHA3eGtERVJHVllGS0tpT2dzN2RpeEE5bloyZWpUcDArNTlqLys4WSs0ODg0N3NXVEpFcnp5eWl0TVNCR1YxSTJCbjU4ZjNubm5uUVk1aGJKSGp4NEFnRVdMRnVINDhlT1lNbVZLcFpQMXpzYVNKVXZRcGsyYmNpdWxBT0RwcDU5R2Ftb3FPbmJzeUlRVU5hck16TXhNQUprVjIrMTIrOGJhanBHV2xyYTNRbE5wYlNsVlZVS3FyS3lzclB6YVBxdU9sTTFtbS9nN2pVMUVST2NnSnFXSWlNN1NSeDk5aEJZdFdwUmJTVkhxbVdlZXdlclZxekYrL0hoODl0bG4zbnBUUkJjclhkZXhZTUVDRkJZV1l2SGl4VDc3bEc2Qi9mYmJieUZTdVg1eXk1WXRjZE5OTjNsZkh6eDRFSk1tVFVMUG5qM1JxVk9uQm90MSsvYnRXTDE2TllZT0hWcnBXbFJVRkhyMzdvMDVjK1lnTlRVVjNidDNiN0RuRWhFUkVWMHNtSlFpSWpvTFc3ZHV4ZXJWcS9IM3YvOGRBUUVCbGE1ZmV1bWxHRDU4T0Y1NzdUVzgrZWFiK01jLy90RWtjUktkU3lJaUlyQnMyVEtNR1RPbTJuNWp4NDcxMlo2WW1PaE5TaFVYRjJQRWlCRm8yYklsQmd3WWdNMmJOMlAzN3QzZXJiVGJ0MjlIejU0OUFjQmJPNnAvLy83ZVl1U0ZoWVZWUG4vYXRHbG8zcnk1OS82S0JnMGFoUFhyMTJQOCtQR0lpWW54Rmw4bklpSWlvdHBoVW9xSXFKNmNUaWZHakJtRDVzMmI0OEVISDZ5eTMxMTMzWVcxYTlkaTBhSkZhTjI2TlFZTUdOQ29jUktkaTI2NzdUWmNmLzMxUHErOSsrNjcrUGUvLzQzbHk1ZjdMQnp1NS9kYlRlV1VsQlJzM3J3WlpyTVpkOXh4aDdlOWYvLys2TnExSzZLam83MXRPM2Z1eE1xVkszSGJiYmQ1dHc3T21ESERad3dyVnF6QTJyVnJNWGp3WUFRRkJmbnNFeEFRZ05kZmZ4MVBQdmtrQmc4ZWpKa3paNkpWcTFaMStCU0lpSWlJTG01TVNoRVIxZE9ISDM2SUhUdDJJRGs1dWNZYU5tUEdqTUhCZ3dmeDRZY2ZRaW1GZ1FNSE5scWNST2VpZ0lBQW42c0xTNjhCUUlzV0xXbzhmUzhtSmdZMzNYUVRvcU9qY2NVVlYzai9iZDY4T1FEZ2xsdHU4ZlpOVFUzRnlwVXIwYWRQSDBSRVJBQUFldmJzV1NtT28wZVBJams1R1RFeE1lamJ0MisxejQrTGk4UFlzV014Y3VSSURCZ3dBQjk4OEFIYXRtMWJ5MCtCaUlpSTZPTEdwQlFSVVQyc1dyVUtzMmJOUXBjdVhYd2VhVjlSVUZBUTNuLy9mVHo1NUpQNDZLT1BjT1RJRVF3ZlBwdzFwb2pPVXVmT25kRzVjK2Q2MzkraVJRdWtwS1FnSXlNRHljbkpLQzR1eHJCaHc1Q2ZuNCtwVTZmV21CUURnRzdkdXVIbzBhT1lOR2tTK3ZYcmh3a1RKaUF4TWJIZU1SRVJFUkZkTENxdmlTY2lvbXBsWm1iaTFWZGZSZHUyYmV0VUkrcVNTeTdCakJremNNMDExMkRod29VWU1HQUFYQzdYN3hvcjBjWEVNQXpzM2JzWEsxZXV4Snc1YzJwOVgyNXVMdExTMGdBQXI3NzZLakl6TXpGa3lCREV4OGZYZW93K2ZmcGcrUERoT0hic0dBWU1HSURWcTFmWDZ6MFFFUkVSWFV5NFVvcUlxSTUrL1BGSCtQdjdZL0xreWQ0dFFtVWRQbndZQUh3ZWR4OFpHWWxQUHZrRUkwYU13TDMzM2x1clZSaEVGNUxpNG1JVUZSVlYyOGZwZEFJQTh2UHp2UVhKZlFrS0NrSktTZ3AyN3R5SjNidDNZL2Z1M2Q3QzVYRnhjWlcyM3BYV3A2cVlETjY3ZHkraW82T1JsNWVIclZ1MzRxR0hIc0lqanp6aTg1bTV1YmsrNXpZQVBQend3MmpkdWpXKytPSUwzSGpqamRXK1J5SWlJaUppVW9xSXFNNzY5ZXVISGoxNjRMTExMZ01BbkRwMUNtUEdqRUd6WnMyZ2xNS2FOV3RnTnB0eDlkVlgrN3cvT0RnWTc3Ly9maU5IVFhSdStQTExMekY1OHVSYTliM3R0dHVxdmY3V1cyOWgyYkpsT0hMa0NPTGo0OUczYjE5Y2M4MDFpSW1Kd2VXWFgxNnBmMVJVRkFCZzZ0U3A2Tml4SXdEZ3hJa1QyTGh4SS9yMjdZdUlpQWpNbkRrVExWcTA4TjR6Yjk0OFpHUmtJQ2dvQ0h2MzdzWDI3ZHZ4d0FNUFZCbFRseTVkMEtWTGwxcTlQeUlpSXFLTEhaTlNSRVQxVUpxUUFvQ3dzRERZYkRiOCt1dXZFQkcwYWRNR1E0Y09MZGVIaUVwMDd0elpXMlQ4YkxWdjN4N1RwMDlIczJiTmF0VS9MaTRPRHo3NElKWXVYWXBseTVZQkFNeG1NM1JkeDZPUFBncDRWak9XNVhLNXZIMkRnNFBScFVzWFBQUE1NdzBTUHhFUkVkSEZqa2twSXFvenQzTGxtOFhrTk53R3pwdzUwOVRobkJOV3JWclYxQ0djTjg2Y09RT1gyd1VvdU4zS2xkL1U4Wnp2WEdaMTJnL2lOTndHOGsrZmJ1cHdhblRGRlZmZ2lpdXVhTExuanh3NUVpTkhqcXgxLzk2OWU2TjM3OTYvYTB4TmlmT1JpSWlJbWhJTG5STlJuU2xWZkJBS0JjVk9KM0tQSEczcWNPZzhrM3ZrS0FvTGl3Q2dTS25pZzAwZHovbXV1RWpsbHM3SFE0ZHltem9jT3M5d1BoSVJFVkZUWWxLS2lPcHMvL2J0aHhWdzJ1bDBZa3ZXTmhRVUZEWjFTSFNlS0M1MkltdGJ0cWZRdFNyYXYzMzc0YWFPNlh5WHUzdnpVZTk4M01yNVNMWEgrVWhFUkVSTmpVa3BJcW9QRjVUeGxWTEtXTFIwR1g2eTJWRlFXQWlsVkZQSFJlY29wUlFLQ3d1UnVTVUxYeTlhQ3NNd0RFRE5BdUNxeGUxVVBYZnBmRnp4MzFXY2oxUWp6a2NpSWlJNlYwaFRCMEJFNTZjMmJkb0UrNGUzV2k2Q204UER3bkJybDg1SVRHaVB0bTFhSXl3MHRLbkRvM1BJcWZ4OEhEaVFnOHd0V2ZqdmQrdHc4dVJKR0VxdGQ1NDgwaTBuSitlY0xVcVdrSkJ3Zzlscy9sb3BGU2dpdlcwMjI3K2JPcWFxK0pxUENlM2pFUlhWbHZPUnlqbGY1eU1SRVJGZG1KaVVJcUo2YXhPYkVPc0grVmdFblVSRTgvZnpRM0J3TU14bW5xRkF2M0c2bkRoenBnQk9weE5LS1FXRi83bmdmbTUvOXVhTXBvNnRPdWRUVWdxZStlZ1ArUUNDVzBSRTgvUHpRd2puSTFWd3ZzNUhJaUlpdWpEeE4xVWlxcmVjN0l6c1M2Njg4cTV3LzdCeEFuVnZrYlBZcitoWHB4OEFVMVBIUnVjVU42Q2NBamlWcU5SVHJqTXY1dTNjZWJLcGc3clE1R1JuWkVkRXhONFhFaEU0WHFEdUxYWVcreFZ6UGxKbG5JOUVSRVIwenVCS0tTSnFFSkdSOGFIQkxjeVJobkpIbURTL2tLYU9oODRkTGtPZE1ZazZjaWJQZGVUSWtheno1c2o1ODIybFZGbVJrZkdocHBaR2hKOWhpdVI4cExMTzEvbElSRVJFRnlhdWxDS2lCbkhrU0ZZK2ppQWZ3TzZtam9Yb1lsZG1QdTVwNmxpSWlJaUlpS3JDMC9l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WW5UUjBBRVJIUk9jWnN0VnFIS3FXZUFSQU5RQ21sbGp1ZHprZTNiTm1TVjlQTnVxNS9KaUtQVm5INWJwdk50dFRYQll2RkVpMGlNd0Y4YjdmYlI5UW1VS3ZWT2gzQUFLWFVKM2E3L2FuYTNFTkVSRVJFZEs0d04zVUFSRVJFNXhDeFdxMXpBZHl2bE5vdElnVUEvRFZONitIdjc3ODJQajcraHF5c3JQd2F4b2hRU2hrQXZxNDB1TWpCaW0yNnJyY0JNRlJFbmdVUXFKVDZ2amFCSmlVbFhhdVU2bGVYTjBkRVJFUkVkQzVoVW9xSWlNaEQxL1crbm9UVTRvS0NnZ2toSVNIekRjTUlWRXB0MWpUdHo0R0JnYzhEZUtPR1lWb0NPR3EzMngrczZYbFdxL1U5QU05NmZoNm5BVWlxYmF5R1lVd1E0WUpuSWlJaUlqcC9zYVlVRVJIUmI1NVRTaW1YeS9WQ1FFQ0FHeVdybXdEZ0U1VHM0M3U4cGdGRUpBTEFrZG84VENrVnI1VDZEc0ROU3FrM2F4dWt4V0s1VDBUdVZrcE5yZTA5UkVSRVJFVG5HaWFsaUlpSUFMUnIxNjRGZ0k0aXNqa3pNM05YMld1YXBoMENrQzBpVjhmSHgxOVd3MUFSSXBKYm0yZTYzZTc3N1hiNzdUYWJiVjF0NDR5SmlRa1hrWDhDK0IrQTJiVzlqNGlJaUlqb1hNUHRlMFJFUkFETVpuTzhpSWhTS3RQWGRhWFVOaEdKOWZQeml3RndxS3BoQUlRcnBhN1VkZjFqQUFVaXNzdnBkQzZxbU9nQ2dJeU1qTk4xalRNOFBQeHRBSmNCNkFIQXY2NzNFeEVSRVJHZEs3aFNpb2lJcUVRYmxDU2ZEdnU2V0xyNnlXUXlYVkxWQVBIeDhSR2V2bjhVa2Y0aThoeUFkOHhtOHc1ZDE4ZWNiWUFXaStVK0FBTUF2R3V6MlRMT2Rqd2lJaUlpb3FiRWxWSkVSRVFsaWFSZ3o3K0Z2cTRycFFwRkJFcXBnS3JHeU1yS09wcVVsQlFKNE5kZmYvMVZDdzBOL1lPSVBBemdaUkg1aDlWcTNXT3oyVDZ0VDN5NnJyY1JrWStWVWx0T25UcjFhblY5SXlQalEwMHRqUWcvd3hScDB2eEM2dk04dWpDNURIWEdKT3JJNldORlI0OGV6VDdWMVBFUUVSSFJ4WTFKS1NJaW9wSzZVUzZVSktXcSt0bm9qNUxrMUpscWhuR2xwYVVkTGZONkI0RFhkVjNmQ2VCenBkVHpBT3FjbElxUGovY1hrUVVBZ2wwdVYrK2RPM2NXK2VwMzZhVUpJVUdYNEJXQjNBMlJRR2dxVUluaXozcnk4dFBnZ21pRm9aR0JSYUVSaVN0T2E4NS9ITW5LeW0vcXVJaUlpT2ppeEY5VWlZaUlBQmlHY1Z6VE5DaWxXbFRSSlFJbHlTdWYyL3VxWTdmYjUxcXQxazlFcEIwQUFhRHFjbjlBUU1BSEFHNEEwQzh6TTlObnphdTJNUWxSZm1adEtxRHVnb2htTXBrUUVPQVBrOGxVMTNEcEF1WjJHeWd1S29MTDdZYUNpZ3N4L05vRnhyUWZ0Ry9uNXArYk9qWWlJaUs2K0RBcFJVUkVWR0s3NTkrNEtxNWZDOER0Y3JtMjFXTnN0MUtxUUVUODZucGorL2J0THhXUi9wNlgvN0phcmYrcTJFZEUrbDhhYnU3dmNpc1VLai9jZHN2TjZKaWtJNnB0RzRTRmhkVWpYTHBRNVo4K2pmMEhjbUN6cDJQRmYxZHB4Y1hPYmlheitWK1hYcHJRNC9EaHVoZmVKeUlpSWpvYlRFb1JFUkVCY0RnY08zVmRQeUFpSFhWZGozUzczZDVyU3FsV0FPS1ZVbXZxYzJKZWh3NGRPb2hJQ3dBWmRWMGw1WFE2ei9qNyswK3Q0bklrZ0Y1dXc4aDF1aEdwbWN6eXhtdXY0UGEvM0lydzhEQ0lTRjFEcFl1QVVnbzk3NzBMM1cvL0M0YVArZ2NLQ2dyL0hOZ2NJM0VZMWRZcUl5SWlJbXBvVEVvUkVSR1ZVQ0x5TVlEWEFFeDBPcDBmbXMxbUtLVWdJaytKaUJpR01ibTBjMUpTVWpQRE1CN1RORzFaV2xyYXp3Q1FrSkRRWHRPMElvZkRzYU8wWDBKQ1FwVFpiSjdwZVRtanJrRmxaMmVmQXZDY3IydTZybDhuSXIxY2J2Z1Z1Q0IzL09VVzNOR3RLMEpDV051Y3FpWWlDQThMdzIyMzNJeS8zbjRidmxteVRCT1JSNk9pb3Q3WXYzOS9RVlBIUjBSRVJCY1BKcVdJaUlnOFhDN1hSTFBaZkwrSVBCNFFFSENEVXFxWnBtbitBRG9EbU9Od09MNHA3ZXQydTBkcG12YVNVcXFYNXpwTUpsTjdBQ202cm04VWtlMEEyaWlsL2d3Z0JNQlhOcHZ0Zzk4amJnVXhtYzBtZEdnZno0UVUxVnBnWUNBc0NSMndMUFUvS0NvdTl2UHpDMnNGNEplbWpvdUlpSWd1SGt4S0VSRVJlV1JrWkp5MldDeGRORTE3UTBUK0JpRElNQXhEUkQ2eTIrMkRLblRmQ09DVVV1cTcwZ2EzMjIwM21VeXBJdExSVTVqOHRJallEY1A0eE9Gd3pLcnIxcjNhRWxFbWZ6OS9STFZwL1hzTVgwNStmajZDZ29LcUxLRHVkRHB4K3ZScE5HdldyTjdiQnpkdDJvVFRwMC9qMWx0dnJkZjlYMy85TmZidTNZdm5uMysreHI0ZmZmUVJ6R1l6K3ZmdjcvTjZRVUVCQ2dzTGNja2xsOVFybHByazVPU2dUWnMydjh2WXRkSDZza3NSRkJTSW9xSmlmM2VBT2FLbXBKVFZhazFRU28wRjBGbEVBZ0ZrR29ieFp0bUViVlU2ZE9od3BaK2ZYMVVGMWROc050dDFWVnpUZEYwZktDTHY1T1hsdGRpelowOWhUYyt5V0N6UklwSXRJdjR1bCt2eWpJeU0vVFhkUTBSRVJJMlBTU2tpSXFJeUhBN0hDUURQSmlRa3pEYWJ6VjhEQ0JTUmJ3QVlGZnA5QXlDOGJGdEdSa1kyZ0I3MWVhN2RicC92T1ptdkx2ZjhGQjJUY0NQODVPdndRQzJrTVlxYUp5Y25ZK3ZXclpnN2R5N001c3EvUnF4YXRRcWpSbzFDYW1vcUlpSWk2dldNbEpRVTdOdTNyMDVKcWM4Ly94eWRPblZDZEhRMEhBNEhIQTVIclpKU0d6WnNnTCsvZjVWSnFYLys4NTlZdUhBaDVzMmJoNmlvcURxOWo1cE1uVG9WczJmUHhvSUZDOUMyYmRzR0hidTJ3c0xDNEdmMkF3UW1UWm1xL1FheVdxMDNBRmp0K1Q1ZHFwUnlpc2c5bXFaOWJiRllublE0SERPcnUxL1R0Tkp2aU0xS3FleXkxNVJTdnBKVm91djYzU0x5R2dCclhkNlhwbW5qQVBqWDVSNGlJaUpxZkV4S0VSRVJVYTNrNU9SZzVjcVZlT0tKSjN3bXBKcktzV1BITUduU0pPVG41MlBnd0lIVjluVzVYQ2d1TGtad2NIQ040NmFscGVHcnI3NUNYRndjZHV6WWdSMDdkbFRidjFtelpyQmFhNTg3dWZQT08vSFpaNTloMnJScEdEZHVYSzN2YXlJbXBkUXNFVEVycGJvNEhJNE4rSzJ1MlFZUmVTYzJObmFCcHdhYVQ1cW10VVJKQXVvRHU5MCtyYnFISlNVbFhXc1l4a29SaVFLd1Z5bDFSRVFpYXhPbzFXcE5Va3IxRVJFM0FOOUwrb2lJaU9pY2NPNzhSa2xFUkVUbnRCa3pacUJaczJaNC9QSEhBUUNIRGgzQ21qVnJ5dlhadG0wYkFHRHg0c1dWNmx0WkxCYkV4c2JXNmxsSytkN3BXRmhZQ0g5L2YyaWE1bTFidjM0OVVKTElxSEhjdVhQbll0S2tTZGl3WVFNQ0FnS3E3SGY0OEdHTUdERUNTaW44L1BQUGVQWFZxZyttTXd3RHhjWEY2TkNoQTJiTy9HMngwTHZ2dm9zNWMrYlVHTlB5NWN1eGZQbnlLcTlmZmZYVitQTExMMnNjNS9lazYzbzNFYmxHS1RXck5DRUZ6Mm85WGRlL0VKSEhnb0tDN2did2VhQ1hCbTRBQUNBQVNVUkJWRFhEbEs2VU9sTFQ4MXd1VjRTbWFRRUF4aFFXRnI0ZEVCRHd2ZWUweVpxWUFFd1hrV3dBZXdGMHE5VWJKQ0lpb2liQnBCUVJFUkhWYU0rZVBWaTZkQ2xHamh6cFRUYjk4c3N2ZVAvOTk4djFjN3ZkQUlCUFB2bWswaGpQUGZkY3JaTlMrL2J0dzhHREI5RzY5Vzkxc2x3dUY0WU5HNGJRMEZDTUd6Zk91MXByNmRLbEFJQVhYbmdCSW9MQ3drSzQzVzUwNmRMRmU2L0paTUtxVmF0cTllemp4NDlqMEtCQk1Bd0R6WnMzeHpYWFhJTjMzbmtIUVVGQmxmcnUzNzhmdzRZTnc2NWR1L0RrazArV3U5YWpSdy9FeDhlWGE5dTFheGV1dlBMS0twOTk5T2pSU3RzZXc4UERxK3pmaVA2S2twUDdGdnU0dGh6QVl5TFN1YnFrbElpVXZySGNtaDcyNjYrLy9yUm56NTdXQU53b1NZclZLa2hkMTRjQXNDcWxiaGVSSWJXNmlZaUlpSm9NazFKRVJFUlVvNGtUSnlJMk5oYjMzWGNmQ2dzTDhkUlRUK0dPTys3d3JsSXFsWnFhaWxHalJtSFJva1ZWMXBTYU8zY3VqaDgvWHFtOWJkdTJ1T3V1dXdEUFNxbUZDeGZpMldlZjliNGVQWG8wTm03Y2lHN2RmbHY4WXJmYmtaYVdoanZ2dk5PYnVGaThlREgyN3QyTDU1NTd6dHV2N01xcTZodzVjZ1RQUGZjY2poNDlpdW5UcDhQcGRPTHBwNS9Hb0VHRE1HSENCRVJHL3JaWVovWHExUmd6Wmd5Y1RpY21UWnFFenAwN2x4c3JOamEyWEJKdXpabzErUGpqanpGKy9IaDA3OTY5MHJQMzd0Mkx2LzN0YnhnOGVERDY5T2xUcTNnYlVUdVVyQXJMckhoQktiWE5VOVQrNnVvR01BeWpwYVpwRUpFaFZxdjFFYVZVbmxMcWU0ZkQ4UzBBVjltK3RTbG1YcEhGWXJrYXdCZ0E4K3gyKzMrc1ZpdVRVa1JFUk9jNEpxV0lpSWlvV2t1WExzV21UWnN3YTlZc2FKcUc2ZE9uWSt2V3JSZzJiQmdtVEppQW5Kd2N2UGZlZTFYZWYvLzk5Nk4zNzk3bzFhc1hBR0RKa2lYWXRXdFh1VDVGUlVYbzJMR2pOeWtGQUFzV0xFQy9mdjNnNysrUGNlUEdZZm55NWVqUm93ZEdqeDd0UGYxdjNyeDV1T1NTU3pCaXhBaHZuU2lIdzRHOHZEemNmLy85ZFhxZitmbjVlT0tKSjFCWVdJZ1BQdmpBbTFENjV6Ly9pWkVqUitMKysrL0h3SUVEMGJGalIweWVQQmsvL3ZnalltTmo4Y1liYitDS0s2Nm9jZndiYjd3UlYxNTVKZDU0NHcwa0ppYmlzc3N1SzNmOS9mZmZoOXZ0UmtKQ1FwM2liaVJ0VVBJWkhhNTRRVVJ5UGY5V2UwUmhtWlZTOTN0ZVEwUmd0VnEzdVZ5dSt6d0hCZFJMVWxLU24yRVlud053dWx5dW9mVWRoNGlJaUJvWGsxSkVSRVJVclU4Ly9SUW1rd2tqUjQ1RWNYRXhqaHc1Z2djZWVBQVdpd1h6NTgvM3VlcXByTnpjWEp3K2ZkcjdldmJzMmVXdU81MU9kTzNhRlhGeGNkNjJrSkFRbkR4NUVpa3BLZGkyYlJ0V3IxNk5YcjE2WWZqdzRkNVZUMG9wdlBEQ0MvajU1NS9oZHJ0eDZ0UXA3M2lHWVhoZmw2cHB0VlJvYUNnR0RCZ0FpOFdDNk9ob2I3dXU2MGhKU2NGVFR6MkZ5Wk1uZTlzZmVPQUJ2UFRTUzdVdSt1N3Y3NC9SbzBmajhjY2Z4MWRmZlZYdWRNRDE2OWRqOWVyVmVQYlpaOUcrZmZ0YWpkZklnbEh5SGlxdFlDb3VMaTRNQ0FpQVVxcnFJbDBsLzMrTjBEUnRhRnBhV3FHdTZ5MEJKSHBPMXZ1enlXUmFHaDhmM3k0cks2dTRQc0VaaGpGV1JLNHpES052UmtiRy92cU1RVVJFUkkyUFNTa2lJaUtxVnYvKy9YSGd3QUdFaDRkanhvd1phTldxVmJtRXl0bmFzR0VEOHZQemNmdnR0M3ZiSWlJaTBLNWRPMHliTmcwaWdpRkRodURSUng4dGQ5K3hZOGZ3MTcvK3RjcHhiN25sbG5LdnI3enl5aHBYVDkxMzMzM2VyMy85OVZmOCtPT1AyTEJoQTlhc1dZTVRKMDRnT2pvYTBkSFJXTDkrUFJZc1dJRDE2OWNqSVNFQmNYRnh1UHp5eTlHMmJWdTBhTkVDelpzM0wxZnp5akFNNzdqZHUzZEhkSFEwRmkvK3JUeFRhUkg1bGkxYmxtc0hnT3V2djc3U3FxckdKaUl1QUFnS0NqSURLSmM0VWtyNWU3NDhVOTBZRG9malJPblhkcnY5Q0lEL3hNVEVyQXNQRDk4a0lnbisvdjQ5QUh4VDE5Z3NGc3U5QUY0R01NZmhjS1RVOVg0aUlpSnFPa3hLRVJFUlViVjY5T2dCQUZpMGFCR09IeitPS1ZPbVZEcFo3MndzV2JJRWJkcTBLYmRTQ2dDZWZ2cHBwS2Ftb21QSGpwVVNVZ0RRckZrelRKa3lwVkw3N05tenNXdlhMcnoyMm12bDJvT0RnNUdWbFZWbEhGdTNic1dtVFp1d2MrZE9iTm15QmIvODhndmdxWFhWbzBjUDNINzc3ZDZ0ZFNkUG5zVGF0V3V4WWNNR3BLV2xZY1dLRmQ1eFJBU2ZmUElKRWhNVEFRQmp4b3lCcG1ubFZsUjk5OTEzUG1PWU1HRkNwYlkzMzN5enlaTlNTcW5qSWdLbjA5bWlZdkxKYkRaSG9PUjlWOXJhVjVPZE8zY1dXYTNXcndBa2lFaUh1aWFsZEYyUEY1SFpTcWx0THBmci8rcjZmQ0lpSW1wYVRFb1JFUkZSalE0ZVBJaEpreWFoWjgrZTZOU3BVNE9OdTMzN2RxeGV2UnBEaDFZdUF4UVZGWVhldlh0anpwdzVTRTFOclZRYzNNL1B6MmNzcWFtcHlNbko4WG10dXFSVVFVRUJwazZkaXVqb2FEUnIxZ3k5ZXZWQ1VsSVNMci84Y20rZjdPemZ5aDVkZmZYVnVQcnFxL0g0NDQ4ak56Y1grL2J0QXp6YkFFc1RVcVVlZXVnaERCczJyTWJQNHh5MkhjQjFtcWJGQVNpM1BjNWtNbDJMa3NUVmx2b01ySlE2NVNtVXJ1cHgrMkFBWVNJU1p6YWI4NjFXYTZVT1pyTjVuOVZxaFdFWTl6c2NqanF2eENJaUlxTGZENU5TUkVSRVZLM2k0bUtNR0RFQ0xWdTJ4SUFCQTdCNTgyYnMzcjBib2FHaGdDZXgxTE5uVHdEdzFvN3EzNysvdHhoNVlXSFZCNmxObXpZTnpaczM5OTVmMGFCQmc3QisvWHFNSHo4ZU1URXh1T3FxcXlyMVdiaHdJYlp1M2VwOW5aR1JnZVBIaitPTk45NG8xKy9sbDErdTluMWFyVmFzWDc4ZWZuNStlUHp4eDdGZ3dZSktXK21LaTB0MnJ2bjcrNWRyZHpxZGlJdUx3Nnhac3lxTnE1U0NKK2x5M2xKS2ZTY2lmVFJOdXhQQXlncVg3L0Q4dTd5ZXc5K0NrcFZXZFU1cWljaDNBTnkrcmltbDdoU1JhQUF6QVp6V05HMlhyMzVFUkVUVWRKaVVJaUlpb21xbHBLUmc4K2JOTUp2TnVPT09PN3p0L2Z2M1I5ZXVYY3NWQmQrNWN5ZFdybHlKMjI2N3pYc2Ezb3daTTN5T3UyTEZDcXhkdXhhREJ3OUdVRkNReno0QkFRRjQvZlhYOGVTVFQyTHc0TUdZT1hNbVdyVnFWYTdQeG8wYjhkTlBQM20zMWhVV0ZzTHRkaU0zTnhjQWNQandZZXpZc2FOV0s1WDgvUHk4WDk5Nzc3MTQ1WlZYeWwwdlhkSDF6anZ2bEd0LzQ0MDNzSDM3OWtyanVkMXVLS1hLalh1ZW1xZVVtaUFpQXhJU0VqN095TWpZakpMdGM5Y0I2S3VVY3RqdDlyV2xuWFZkN3lvaWw5bHN0am1sYlZhcjlXNmJ6YlljZ0t0TXYyZEVwS2RTYXYveDQ4ZnJuTlN5Mld4ZkFmaksxeldyMVJvTklOcmxjdjAvRmo4bklpSTZOekVwUlVSRVJOV0tpWW5CVFRmZGhPam9hRnh4eFJYZWY1czNidzVVS0NpZW1wcUtsU3RYb2srZlBvaUlpQUFBOU96WkV3RUI1UTltTzNyMEtKS1RreEVURTRPK2ZmdFcrL3k0dURpTUhUc1dJMGVPeElBQkEvREJCeCtnYmR1MmxXSXNQUm52dGRkZWc4UGg4TDVldkhneHhvd1owMENmUnQyVW5nRFlrRFc0bW9MRDRUaWg2L3JmQVh4bU1wbSsxM1Y5c1lob0FPNVJTaFVycFo0czNYNFhHeHNiSmlMTEFaaDFYVDlvdDl2LzZ4bG1vcTdyTTBSa3JWTEtDY0FpSXZFQWZsVksvVzNQbmoxVkw2bWpDNHJGWW9sMk9CeDdtam9PSWlKcWVreEtFUkVSVWJVNmQrNk16cDA3MS92K0ZpMWFJQ1VsQlJrWkdVaE9Ua1p4Y1RHR0RSdUcvUHg4VEowNnRWd0I4S3AwNjlZTlI0OGV4YVJKazlDdlh6OU1tRENoVXQybTJvaUtpa0tYTGwyOFd3dXJzMmpSSWl4YnRxeGNXK24ydlp0dXVxbGNlK24ydllvT0hUb0VlRDZEODUzZGJwOXR0VnBQaU1nckFPNVRTaFVBV0s1cDJpdHBhV25iU3Z0bFoyZWZ0bHF0M3dQNG85dnQ5aGJoVWtyTkJQQVlnTHRGeEtTVXlnRXczZVZ5dlptUmtiRzd5ZDdZQlNZcEtlbmFzN25mTUl5VGRyczlwK0VpS2k4aEllRUtUZE4yV0szV0lUYWI3WjlKU1VsK2JyZTdYUzF1UFZGVklpcytQdDQvSUNEQUppTHpiRGFiTndOdHRWcUhLS1Z1c2R2dDkvbTZqNGlJbWg2VFVrUkVSSTBzT2pvNk1EdzhQQ1lqSXlNTGdOSFU4ZFNGWVJqWXYzOC9zck96Y2ZqdzRScFhPWlhLemMxRldsb2FBT0RWVjE5RlptWW1oZzRkaXZqNCtGby91MCtmUHRBMERXKy8vVFlHREJpQXQ5NTZDN2ZlZW11dFlvYm5WTHliYjc0Wk45OThjNjJlMTdWclZ6enp6RFBsMnNhUEh3OEFHRFZxVkxuMmFkT200Y0NCQTVYR0tLMTFWWGFMNC9uTVpyTXRBYkNraG02R3pXYXJsTVcwMisxdkFuaXpQcysxMiszdDYzcVB6V2E3cSt6cjZPam93TkRRMENzMmI5NmNmYjdOdXpvd0s2VzIxcUpmbFVUa0t3QVBBOEMxMTE3Yk1pZ282SmV6SE85Qm04MzJiMitBWnZQZkFad1JrUzlSa3RDOTFHdzIyMnN4MUJ3QWxZL2hMTm5tZTdlSXRBUHdXWVZMMTRuSXZXY1RQeEVSL2I2WWxDSWlJbXBrNGVIaEVTYVRhWjJ1Nno4cnBlWW9wWmFKU0s3RDRUaFZWZEhtcGpScjFpenMzTGtUdTNmdnh1N2R1NzJGeStQaTRpb2xwVFJOQXdDNFhLNXk3WHYzN2tWMGREVHk4dkt3ZGV0V1BQVFFRM2pra1VkOFBpODNOOWRiajZxaWh4OStHSzFidDhZWFgzeUJHMis4c2RxNE4yM2FoTU9IRDJQUm9rVUlEUTJ0Vkp3Y251MTFyVnUzOW5sL1NFaEl1WlAzQUhoclgxVnNyMnA3M3RLbFN4RVdGb1oyN1dxekVJUitUK0hoNFJGbXMzbWpydXM3bFZKek5FMWJhaGpHMFhOMTNwME5wZFNiU2ltZnRiYXFvMmxhdWFST1NFaUlLS1ZDbEZLYkFLeXVUeXdpNGwzZHBPdDZwRkpxZ0lpOG5aYVdkaFFsQnhNY1RFaEl1THk2TWN4bTgzY0FqbFh6akNlVVVrVUFQcTFOVEIwNmRMakViRFozdDl2dFg5YnQzUkFSVVVOalVvcUlpS2dKZU9yeEpBR3dhcG8yUmlsbDAzWDlCeEhaSkNJYjA5TFNEaloxaktXV0xWdUdJMGVPSUQ0K0huMzc5c1UxMTF5RG1KaVlTb2taZUxiSEFjRFVxVlBSc1dOSEFNQ0pFeWV3Y2VORzlPM2JGeEVSRVpnNWMyYTU3V3p6NXMxRFJrWUdnb0tDc0hmdlhtemZ2aDBQUFBCQWxmRjA2ZElGWGJwMHFURnVoOE9CV2JObUlUUTBGTTgvL3p3QVlOdTJiVmk4ZURHQ2dvSnc4T0JCL1BMTEwralVxWlBQK3c4ZE9vUjE2OWFWYTh2THl3T0FTdTJsMi9USzJyQmhBeHdPQng1NzdER2ZDVEZxRXBxSUpBR3dLcVZlRXhHSHJ1cy9LS1crTjVsTVA1eEw4KzVzaU1nQnU5M3VxT3Q5VnF2MVRCV1gxdG50OWhIeDhmR2hmbjUremRMVDB5c3ZDL1N3V0N6M0FmQnpPQnp6Zk1RMVhDbDE1dlRwMDVQYXQyOS9xWitmbjlWdXR5ODNtVXlHVXFxNlNkSk1LWlhuNjRLdTYvR2VreFkvdHRsc1IycnhOczErZm43ekFmekZhcldlOXF6K0l5S2lKc0trRkJFUlVSTVNFUUVRTGlLM0tLVnVWa3I5Q2lCWDEvVk5BTDRvS2lyNmIxWldWbkZUeGpoOStuUTBhOWFzVm4zajR1THc0SU1QWXVuU3BkNTZUR2F6R2JxdTQ5RkhTM2JlUkVaR2xydkg1WEo1K3dZSEI2TkxseTZWdHMxVjU2V1hYb0xiWFhtaHk4Q0JBekZ3NE1CeWJYNStmdmpxcTVJRkpKcW1vVU9IRG5qc3NjZDhqcHVSa2VGelN4NEF2UHZ1dStWZUh6dDJyTklXdlNsVHBpQWlJc0w3dnFucEthVkVSRXJuWFhNQXR5aWxiaGFSRTBxcEk3cXViMUpLelM0dUxsN1QxUE91SVZpdDFyVktLV3ROL1pSU0x6a2NqZzlxNmhjUUVEQlhSQ3k2cnQ5anQ5dC84dkc4R0FDemxGSUZIVHAwK0U5bVp1YngwbXNXaXlWYUtmVjNBRU95czdOUFdhM1dOd0VNc0ZnczdRRE0welN0MmlKeEl1SXpLUVhnSlFES01JeUpOY1h2aVhFcWdMOEFtTXVFRkJGUjAyTlNpb2lJcUFrcHBjcSsxQUJjQXVBU0VZa0Y4R2hBUU1BQlhkZS9jcnZkODRxTGkzZG9tbmFxc2Y5WXJtMUNxdFRJa1NNeGN1VElXdmZ2M2JzM2V2ZnVYWS9JU2xSTWNsVjMwdDVWVjEyRm4zNzZDWVpoUUVTODJ3MHJtalZyVnIzaktUVnExQ2dVRlJWZEVFWE9MeFFpb3VCNzNyVUEwRUpFWWtYRU8rK1VVbDhXRmhidWFvcDUxeERjYnZjNFRkTnEvQVpVU3RscU01NWhHTU0xVFVzVmtUVldxN1d2eldiN3V2UmFWRlJVa0ZKcW5vZ0VHWVp4WjltRUZFcVN3Rk9VVXR2c2R2c01UL0pxQUlESkRvZGpSL3YyN2UvMjkvY1A4UFZNcFZTSWlEZ013NmlVbE9yUW9VTUhFZWtMNExqZGJ0OVJVL3hXcTNVMGdJRktxZldhcGoxWm0vZE1SRVMvTHlhbGlJaUlxbWMyRENQQllyRTA1SEgxa1VvcFU4bGlqWklDM0tqd2gzS1pyOXVLeUZDVHlmUnNjSEJ3Rm9BZkV4TVROeHVHOFYxbVp1Ym1Cb3pwb2lFaXRUcDk3MngxNk5EaGQzOUdRMUdHUW9CWnhWZ3NscVlPNWZjVVdmWjMzOXJNT3hFWkZCd2N2QlhBanhhTEpjUHRkcS8xekR0VmFmUnpVSHA2K29vR0htOUxVbEpTSjZWVXFsSnF2dFZxL2J2Tlpwc0tRQ0lqSTJlTGlBWEEvNlducC8rdjdIMFdpNlVqZ0xzQVpPbTZ2aHpBVlVxcFhFM1R4bGtzbHVZQVRobUdjY3JYTTkxdWQ1Q2ZueDlFcE1oaXNUUS9ldlJvMGY3OSt3dFFzdkx4UFFDMW1jeWk2L3BrQUlNQjJEUk51ek10TGEycXJZcEVSTlNJbUpRaUlpS3FYckNJdkN3aURiWktRaW1sQVFpcTJGNzZSN0tQL2dBUUFFQlhTbGxNSmxPUnBtbUhMUlpMdHN1RnRIeVg0ZnRHb2xvU0FJRisycU9hcGwzVDFMSDhYcFJTbWxJcW9PSThxMkhlQllxSXJwU3lhSnBXSkNLSExSWkxOb0F2VHB3NDhjMmVQWHRPTkU3MGRXZXhXSzRXa1ZvdmMzUzVYRC9YcGw5YVd0cmVhNis5OXM5QlFVSExBUHhUMS9YTFBUWHlIZ0F3MFdhemZWVHhIcFBKdEVVcE5SZkFNUkc1Q3NDVkFCNVVTa1ZxbWxidENxZlMxWXdpTWw5RTBLcFZxNm43OSs5L3ptcTE5dlZzdzZ1eFNMM1ZhcDBONEJFQTZ3ekR1TWZoY1B4YW0vZEtSRVMvUHlhbGlJaUlmRkJLNVFJNENDQVFnS2FVQ215b3NVVkVsRkoxVGlTVldjVmhGcEZRQUpkQk0wTEFsQlExQUUzRXJ5Ry96ODgxRFRydmdMQ1FrQkRmZXovUEVacW1UUUhRdmJiOXpXYnpRN1h0dTIzYnRtTUpDUWwvTVp2TkMwVGtaWlI4VGwvYTdmYVhmZlgzckVyNlcweE1URUI0ZUhpNlVtcUozVzVmRUIwZEhkaXNXYlBPSnBQSjMrMTJleFAvSnBQcC93RGM1WGE3NzZvNGxtRVlPZTNidDc5Y0tUVkZST3hLcVVNaWNuME5JVDhDWUc1ZVh0N2plL2JzYWNoVnIwUkVkSmFZbENJaUl2SWhNek56ajY3cmZaVlNyUnA2YktWVXBJaDhDaUNrUWp2Z1krV0c1N1ZMS2JWVEtmV1RVaXJkTUl4MUdSa1phZEV4Q2RmQlQzbzFkSXgwY1ZFQXpoUzcveFhzcCsxczZsaCtMNTU1TnhOQWNJVjJvQmJ6empBTXUxSnFmVVpHUmhvQVY2TUdYdzlPcDdPMzIrME9RRW1COGs5RkpLU3dzTENYNS9XL0FXd3BLaXA2c2JSL2NYSHg4ZkR3OEdHMUhUOGpJK08wcnV2ZmlVaHA0aXNvSmliR2YrZk9uVVZWM1JNV0ZqWUdRQnUzMjkwVkFQYnMyVk5vc1ZpdVVrcU5NZ3pqanN6TXpGMG9PVkh2TGdCaFNxa0RHUmtadTFHeThtdWtpSVNucDZlL291djZPQkVKVkVyMUJURGV4Nk5FMS9XbkFkd05UeTBzaDhQeGR1MC9QU0lpYWl4TVNoRVJFZmxtMk8zMkxBQlpEVDF3UWtKQ2xObHM5bTQ1cVZCMEdTaGY3K2E0VW1xcHkrVmFJQ0laUlVWRlI3T3pzMzNXWHJsUS9Qenp6emg4K0RCdXZQSEdLcmRXMVVkT1RnNkNnb0p3eVNXWDFIdU1UWnMyNGZUcDA3ajExbHNiTEs1emdXaUNZcmZzM0w3RjhWMVR4L0o3U1VoSWlES1pURWJwNjlyTU82WFVWNFpoWkoyUDg2NXNvWEZkMTVzQjJKdVZsWFVJSmR2WlhFcXBnakt2dXdjRUJHVFdaWHlyMWZvR2dGRUFWbm0yNVQwVUhoNitMRDQrL3Q2c3JLejhpdjExWGU4S1lMaGhHSU0xVFF1eVdxMTNHWWFoM0c3M1lqOC92Lzh6bTgwYmRWMi9zL1JVUHhIUnpHYnppd0FHV3l5V1NacW12UUJnTWdEbGRycy9ONWxNQisxMmU1YXU2K1dlazVpWWVMMm1hZStLU0tmU05pYWtpSWpPWFV4S0VSRVJOUUZWY2pZOVVQNFBZU1VpWndDY05Bd2pFOENzM056Y2IzSnljaTdZZ3J5SERoMkN5V1FxZDRKZVNrb0tGaTFhaEI5KytBRm1jL1cvcWhpR2diZmZmaHQvK2N0ZmNOMTExMVhiZCt6WXNYQzVYUGo0NDQvckhXOUtTZ3IyN2R0M3dTV2xMaFlpWXBUNUd2RE1Pd0RlZWFlVSt1VElrU05MTDVSNUZ4MGRIUWdnQVVCcVZYMlVVc05FNUhBdGh6VHB1djVQQVA4SFlHbGVYdDVEZS9ic2NlbTZyb25JQXdFQkFmKzFXQ3pkSFE1SHhYcGJNMFJFRTVISnBYK0RpTWo3bVptWjM4Ykd4bllMRGc3K3Q0Z2t4Y1RFbEUyT1BhM3IrdVVBN2xKS2piVGI3VytpWkpYV1pnRGxEbnBJU2txS01BempFeEc1UnltVlp4akdFRTNUT2dIZ1NsSWlvblBZT2IwWG5vaUk2RUlsbnIrSVBmK2NBckFXd0RzQStpdWxiblE0SE4wZERzZm5GOG9meGxXWk9IRWk3cm5uSHB3NlZiOUZLR2ZPbkVGbVppYWVmZlpaZlB2dHQxWDJNd3dEV1ZsWnFMaXFnaTQ2WmVmZHlUTHo3b25TZVplZW5qNzNRcHAzTFZxMEdDb2lJUzZYYTBscG15Y1JWemJqZXpXQXJUV05sWlNVMUZyWDlWVWk4bjhBNW9sSVQwK05KcGZkYm44WXdEY2ljcjJtYWF1dXZmYmFsbVh2RlpGWlNxbGt3ekNlQW5DajArbHNZYmZibndlQTdPenNVMjYzdTV0aEdKZUhoWVhaUmNRRTRKaFNhcVVueWZSWWFVS3FLbWxwYVhrQWdwVlM3eWlscm5JNEhKTUJPS3ZxbjVpWWVLdXU2NE05cC84UkVWRVQ0VW9wSWlLaUpxQ1VNZ0JrQUpodkdFYXEwK25jR3hRVWRDd3RMYTNLUDZJdU5MbTV1VmkzYmgyNmQrK09zTEN3ZW8wUkdocUs2ZE9uWThpUUlmakhQLzRCbDh1RlRwMDZJVDA5dlZ5L3ZMdzhuRDU5R2k2WEMvLzV6MzhxalhQRERUY2dORFMwVnMvMHRlMExBQW9MQytIdjcrODlMWXpPU1VvcGxRRmd2dFBwWEc0WXh2NExlZDVacmRZaFNxblhBWHlSa1pGaEszUHBBSUE3ZEYwZkNpQkdSUDdvU2REZFhjMVlmekVNNHdzUmFhV1VldE51dDc4Q3dDalR4U1VpdlF6RG1DOGk5d1FIQjY4RTBMSDBkRHlielRhNm1ySC9DbUFxZ0Q4Q21GTDZONHBTYWhDQU5FM1RYa2hLU2twTlMwczdXczNiTmV4MisrMjEvV3hFSkVsRUpocUdZUWZ3djlyZVIwUkVEWXRKS1NJaW9rYVdsNWQzTERJeThoYTczWjVaNFkrNmk4cW5uMzRLdDl1TnVMZzQyTzEyYjN0ZVhoNEFJRDA5dmNvRXoxVlhYWVh3OEhBQVFGQlFFQ1pQbm95MzNub0xOOXh3QXpadjNveVhYL1o1Q0JnKysrd3puKzJmZi80NVltTmpheFgzdm4zN2NQRGdRYlJ1M2RyYjVuSzVNR3pZTUlTR2htTGN1SEUxYmp1a3hwZVhsM2VzWmN1V25kTFQwN2RlRFBQT1lyRThEK0JkQUd2Y2J2ZUFzdGRFNUI5S3FROEF2QUNnVUNuMXV0MXVYMmUxV3FzYjhneEtFa1c5N1hiN2w3NDZwS1dsT2VQajR4OEtDQWlZQzJCT2FVS3FWSHg4dkwvWmJOWTFUZXNzSXAwQnBJbElPODhXTzV2TDVYb29JeVBEcHV2Nm15SUNoOE94SnpFeDhVR1R5YlRNTUl5TnVxNy8zVzYzTDIrSXowZlR0Q3M4WCs1dWlQR0lpS2grK0JzVEVSRlJJOXUvZjMvQi92MzcwMnZSOVlKMThPQkJMRnk0RUFBd2FkSWtuMzBHRGh4WTVmM3Z2ZmNlT25mdTdIMGRHQmlJMTE1N0RRQ1FsVlZTbS83TEw3OUUyN1p0QVFDUFAvNDRjbkp5a0pxYVdpN1JsWmFXaGlGRGhuaGZ6NTA3RjhlUEgwZEZiZHUyeFYxM2xaeE9yNVRDd29VTDhleXp6M3Bmang0OUdoczNia1MzYnQzcStFbFFZL0hNdXkxTkhVZGpPWEhpeEVmTm16ZjNLeTR1Zmo4cks2dTQ3RFdielpZQjRNOTFHQzdBTUl4dEpwUEo0bmE3QzJyYThxYVVlZ0lsaWJIbVI0OGVMWXFNakx4R1JENVVTdWtpRWdEZ2tGTHFPNlhVZndIY0xDSXYyV3kyZDBxVFdDSVNxcFJ5b3lRNXZkcGlzWFFWa1FVaXNzeHF0ZmEwMld4ZjF5Wm9wVlNSaUNBbUppWjg1ODZkSnl0YzZ5Z2lKOVBUMHcvVTRYTWdJcUlHeHFRVUVSRVJOYnJrNUdRWWhvSGs1T1J5UmM0QllOYXNXVmkzYmgybVQ1OWU3VXFwMHI0NU9UbDQ4Y1VYNGUvdlg2NVBZR0FnZ29PRDRYQTRzR3ZYTHNCekF0ODExMXpqN1ZQeG5pVkxsbmo3bGlvcUtrTEhqaDI5U1NrQVdMQmdBZnIxNndkL2YzK01HemNPeTVjdlI0OGVQVEI2OUdpWVRLWjZmeTVFRFVFcGRVdUxGaTNNQUZ5QmdZR0RhbGdCVmZhK3kwUmtUOFYyRVhsT1JKNVRTdFY1ZTJwa1pPUW5McGRydU5sc3poR1JGS1hVS3MvSnBxVzZKaVFrdExKYXJXTUJuQUFRREtDdmlIaHJYRGtjanZVZE9uU0lNNWxNTnpzY2prVjFlSHc2QUlTRmhTM1dkWDFWbVJWeWlTTFNVU24xUlozZURCRVJOVGdtcFlpSWlLaFJMVm15Qk92WHIwZnYzcjE5cml4YXNxU2tIbk5pWW1LTjIrQ0tpb293Zi81OFpHWm00cTIzM3NMbGwxOE9xOVdLanovK0dLMWF0UUk4Vy9iKzhJYy93REFNYk5xMHFWeFNxbDI3ZHZqNDQ0L3hoei84QVFBd2UvYnNjdU03blU1MDdkb1ZjWEZ4M3JhUWtCQ2NQSGtTS1NrcDJMWnRHMWF2WG8xZXZYcGgrUERockNkRjU0cmJsRkkzMU9PK2NobmlYMy85OVZSb2FPaVRaeG5MOXN6TXpPTUFIcWlxdzVrelozNE5Dd3NiSmlMK25sTkl0eHVHOFdMWlBwNHg2cEtRd3FsVHB6NEtEdzl2QitCT0FHV1A1OHhYU3MwSDhIeDkzaEFSRVRVY0pxV0lpSWlvMFd6YnRnM0p5Y21JaW9yQ29FR0R6bnE4Z1FNSElqWTJGcU5HamNJVFR6eUJiNzc1QnMyYU5mT2VzcmRod3dhc1diTUdyN3p5Q3JaczJZTC8vZTkvNk51M0wrRFpkamRseWhSRVJVVlZlU3JmaGcwYmtKK2ZqOXR2LzYxK2NrUkVCTnExYTRkcDA2WkJSREJreUJBOCt1aWpaLzFlaUJxQXkyYXorWG0yd2ZtdXlGOEhPM2Z1TEFJd3MyRkNxL0U1QVo3VEVhVXVOYi9zZHZ0OU5ZejdkSU1GU2tSRURZNy9PWStJaUlnYVRVRkJBZno4L1BET08rOGdPRGk0UWNiczBxVUxQdjc0WTd6eXlpdmxUdkVyS0NqQVcyKzloU3V2dkJMMzNITVAvdnpuUHlNdExRMTVlWGx3dTkwWVAzNDg1cytmajV5Y0hCaUc3NytCbHl4WmdqWnQycFJiS1FVQVR6LzlORXdtRS83MHB6OHhJVVhuR2xkREpLU2FpTG9ZaXRBVEVkRnZ1RktLaUlpSUdvMnU2MWl3WUFFS0N3dXhlUEZpbjMzMjd0MExBUGoyMjI4aElwV3V0MnpaRWpmZGRGTzV0cmk0dUVxSm83Rmp4MkwvL3YwWU1XSUV6R1l6T25YcWhLQ2dJSHp4eFJmSXpzN0c5OTkvajVkZmZobTlldlh5R2NmMjdkdXhldlZxREIwNnROSzFxS2dvOU83ZEczUG16RUZxYWlxNmQrOWVwOCtCaUlpSWlKaVVJaUlpb2tZV0VSR0JaY3VXWWN5WU1kWDJHenQyck0vMnhNVEVTa21wTFZ1MklEZzRHRmRjVVhMSysrZWZmNDRWSzFZQWdMY3VWVUJBQU82KysyNzg2MS8vUW9zV0xmRFJSeDlWdVcwUEFLWk5tNGJtelp1alo4K2VQcThQR2pRSTY5ZXZ4L2p4NHhFVEUrTXR2azVFUkVSRXRjT2tGQkVSRVRXNjIyNjdEZGRmZjczUGErKysreTcrL2U5L1kvbnk1VDRMaC92NStWVnFTMGxKd1gvLysxK3NYYnNXYTlhc3didnZ2b3NiYnJnQjMzLy9mYmwrZmZyMHdmejU4M0h2dmZkV201QmFzV0lGMXE1ZGk4R0RCeU1vS01obm40Q0FBTHorK3V0NDhza25NWGp3WU15Y09kTmJYSjJJaUlpSWFzYWFVa1JFUk5Ub0FnSUNFQkVSNGZOL0FRRUJBSUFXTFZyNHZONnNXYk5LNHprY0RyUnIxdzRiTjI3RXE2KytpcXV1dWdySnljbVYrclZ0MnhhOWV2WEM3Tm16c1huelpwK3hIVDE2QVdGVTlnQUFCVUpKUkVGVUZNbkp5WWlKaWZFV1JhOUtYRndjeG80ZGk4T0hEMlBBZ0FFNGNPQkF2VDhUSWlJaW9vc05rMUpFUkVSMFhzdkp5Y0hodzRkeDNYWFg0Y3N2djhUbGwxK09Eejc0b01wQzZvTUdEY0psbDEyRzU1OS9IbnYyN0NsM3JiQ3dFTU9HRFVOK2ZqNWVlKzAxNzlhLzZuVHIxZzB2dnZnaTl1L2ZqMzc5K2lFOVBiM0IzaHNSRVJIUmhZeEpLU0lpSWpxdi9mVFRUd0NBNjY2N0RtKzg4UVkrK3VnanRHalJvbEsvd3NKQ2ZQSEZGM0M3M1pnNGNTS0tpb3JRcjE4L3BLV2xBUUFNdzhDcnI3Nkt6TXhNREJreUJQSHg4YldPb1UrZlBoZytmRGlPSFR1R0FRTUdZUFhxMVEzNERvbUlpSWd1VEt3cFJVUkVSSTJtdUxnWVJVVkYxZlp4T3AwQWdQejhmSmhNcGlyN0JRVUZ3V3cyWTkyNmRUQ2J6VWhJU0VCZ1lHQ2xmZ1VGQmZqc3M4OHdlL1pzNU9YbDRZNDc3c0ExMTF5RGQ5OTlGME9HRE1IVFR6K05KNTU0QWc4Ly9EQzJidDJLaHg1NkNJODg4b2pQWitibTVsYTVBdXYvdDNmL29GVmRBUmpBdjZ1K3RrWWpRbCtLSmk3UFJaVGdJaGtjN0t1SVhUdGtNWk96MHEycmM4SEJ3YVdUZzUyMEtKUktzYlJnS2JRRmg5S0N4ajhKUWtFMHRZazR4T1RsejMxNXQwdExLMnAxRUYvaSsvM0dldzZINzU3eDQ5NXpqaHc1a3UzYnQrZmN1WFBadjMvL0MzWUNBQUNsRkFEdzJwdy9mejZuVDU5K3FibUhEaDM2My9HVEowK20yV3ptNnRXckdSNGVmcXFRdW5YclZwTGsxS2xUS1lvaWh3OGZ6dEdqUjdOMTY5WWt5Y2pJU002Y09aTVRKMDVrWkdRazlYbzlaOCtlZmVJcnF3c1hMdVRhdFd2WnVIRmo3dDY5bThuSnlZeU9qajQzVTdQWlRMUFpmS24zQXdEb2RVb3BBT0MxT1hEZ1FPcjEraXRaYTNoNE9PUGo0Mm0xV3RtM2I5OVQ0eE1URTBtU2d3Y1A1dmp4NDltNWMrZFRjM2J2M3AyTEZ5K21LSW9reWNEQXdCUGo3WFk3bHk5ZlRwTDA5ZldsMld6bTJMRmpyeVEvQUVDdlUwb0J3QnJXM2xETjExS1VuWlZPNXVibnV4M25oUnFOUmhxTnhpdGJiOXUyYmJsMDZkSXpmL01iSFIxTm85RjRabUgxWC84VVVzOHlOamFXc2JHeFY1SjFOV3ExV21tdnRKTXFLeXRWZTY3YmVRQ0EzcUtVQW9BMWJIbXBtcTY5bllYbHNzeURCOVBkanRNVlEwTkR6M3hlRk1VTEM2bGVOejN6TUl1TFMwbXlWRlhMZjNRN0R3RFFXOXkrQndCcjJQVHY0dytyWkw0c3k5eTRkVHNMQzR2ZGpzUWFzYnhjNXVidGliOFBucStXN2sxTy90bnRUQUJBYjFGS0FjRGF0cEtxODBWVlZaM3ZybnlmWDM3OUxRdUxpNm1xcXR1NVdLV3Fxc3JpNG1LdTM3aVpMNy82T3AxT3A1TlVueWRwZHpzYkFOQmJubitJQWdDd0pnd09EdmE5dGVXOWI0b2k3Mi9wNzgvQjVvSHNIZDZUSFR1RzByOTVjN2Zqc1lvOG5wdkwvZnRUdVg3alpxNzg4R05tWjJmVHFhcWZ5OW1aRDZlbXBscmR6Z2NBOUJhbEZBQzhBUVozN2QzMVZvclBVdVNEb2lqVzFXcTFiT3JyeTRZTmpvL2tYMlc3VEt1MWtMSXNVMVZWbFNvL3RiUHk4YjJKOFd2ZHpnWUE5QjZsRkFDOEllcjFYZjJiNnU5OHVxN0lSMVZTUzRwYWtxZXZwYU9YclNSVldTUmxKOVczajh2V0o0L3UzSm50ZGlnQW9EY3BwUURnRFRNd3NHZnorbmM3OVZwbi9jRDZkYlZOM2M3RDZ0SHVWSzMxUlRYVGV0U2VtWm01T2RmdF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t2ZlgzbjhKNEpMVkIvOUFBQUFBRWxGVGtTdVFtQ0MiLAoJIlRoZW1lIiA6ICIiLAoJIlR5cGUiIDogImZsb3ciLAoJIlVzZXJJZCIgOiAiMTI1Njg1NzczMyIsCgkiVmVyc2lvbiIgOiAiMTYiCn0K"/>
    </extobj>
    <extobj name="ECB019B1-382A-4266-B25C-5B523AA43C14-2">
      <extobjdata type="ECB019B1-382A-4266-B25C-5B523AA43C14" data="ewoJIkZpbGVJZCIgOiAiNTAzMTQwMzkxNjg3IiwKCSJHcm91cElkIiA6ICIxNTAwNTM0MzA2IiwKCSJJbWFnZSIgOiAiaVZCT1J3MEtHZ29BQUFBTlNVaEVVZ0FBQW1jQUFBWS9DQVlBQUFER0lGcVlBQUFBQVhOU1IwSUFyczRjNlFBQUlBQkpSRUZVZUp6czNYbDRYR1hkLy9IUGZXWW1tYVJ0Mm9hV3RpdzJZS0dRYmprVEM1UkZ0dWNSVVpZSFpCTVVVRkFMS0Z1VnhmV25XRlNRVmFXZ1BDNXNMV1cxVkVRVUVPb2pYVWdtU1RlS0JRb1VhT2xDMmpUcnpKenY3NC9PaENSTlN0Zk1KSG0vcml2WG5MblBmYzc1bnJIT2ZMalBKZ0V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OVJpamJCUUJBTHZCOS8zOUhqQmloVmF0V0xmdTR2ckZZYk9xSUVTUEd2Ly8rKzNPN3B6b0FmWW1YN1FJQVlBZDRrc0k3K2RlT2MrNExra3EzY2Zzbm1ObVJ1MzYzQUtDVEx5Z0F5SFcrNy8vV09YZlJ6cXhqL2ZyMWd3Y05HblJ1VTFQVHc2KysrdXE2dHZOaXNkaVhKQzJ0ckt5c2lNVmlaeWVUeWYvVTFOUlU3blRoQUxBTkNHY0FlaVF6MjJSbTMrclk3cHp6bkhPL2x2UnFFQVIzZHJYOGloVXI2bU94MkE4S0NncWlrbTdOdEk4YU5TcGYwbS9NN0E1SmxXWjJhVGdjL2xRc0Z2dHlaV1hsNDd0em53QkFoRE1BUFpWenJqa2VqLyt4WTN0Wldkbm5uWE1Ga3I1YlZWWDF6TmJXWVdhUFNycTRiVGdiTUdEQUNaS0tuSFAzU2JJMWE5Wjhkczg5OS95VG1UMGFpOFcrWDFsWmVlUHUyaWNBRU9FTVFHOFFpOFhXbWxsVW0wTmJudExCeS9mOUxmbzY1MjdNQkN3emU4enp2RytPSHovKzBEWmR6amV6bCtMeCtISkpXcmx5WmVQS2xTdlA4WDMvTGtsN2Q5dE9BZWl6Q0djQWVqd3o2eTlwcHBrOWJtWmQ5dk04N3o1SmVabjNWVlZWYzN6ZmZ6a1VDbVdDblNmcGdDQUlidXF3YUJDUHh5ZnpuUW1nTy9CRkE2QzNXRkpWVmZYazFqckVZckdXRGsycGVEeCtlSHFlekN5SXgrTmxtU3ZaUzB0TDg2TFI2TmVjYzcrdHFLaElTRXJ1emgwQUFCSE9BUFJnSFlmSXJ2VjlmL0pXRnpBYjdKeVRKSldYbDM4aUNJSWxiV2Izay9SajMvZS9uMzUvajNQdUVUUDdoWmxkSEl2RnpxMnNyRnk2cTNjQ0FEb2luQUhvaWNJZFI3R2NjMytUTkh0ckM1blp0TXgwSXBGWUZ3cUZMazR2ZTVpa0t5UTlKbW1XSktWU3FkZHFhbW9xeTh2TFB4VUV3V05tTnQvMy9mUGk4ZmlzM2JkYkFFQTRBOUFET2VmQ2t0b2RvalN6cW5nOC9zRFdsb3ZGWXJkbnBtdHFhdW9semRCSDl6V1RwT1hPdVhjckt5dm5aUHBWVkZTOE9ucjA2TU1LQ3d2dlNTYVRiKzc2dlFHQTlnaG5BSG9jTXhzZ3FhNURjM2xaV2RtRkg3TmNmdWF3WnNhRUNSTU9sSFNDcEtSejdsUkoxOFZpc1pNckt5di9sdW16Yk5teU9rbm5hdlBoMEVnUUJHSG4zTEIwcUJ1WlNxWCtVMTFkUFhQWDdpV0F2b3B3QnFESGNjNE5rN1MremZ0bFpqYlJPWGRVbTI1N091Y2F6YXh0aUh0UDB0cTI2d3FGUWo5SUh3NDkxc3ltUzlyTE9mZDRXVm5aWnp6UE85RE14ampuUGlGcFh6UDdSQkFFdzlOWGRjck1Ka3A2T3hRS2JYRy9OUURZVVlRekFEMk9tZTNublB0NzVuMWxaZVdFV0N6MjNjMlRsYzlvOHlPZU5rbTZOeDZQWDFsV1ZuYXFjMjZQZUR6Kys3YnJpY1ZpSjB2NmtxUkprbzZWcEhnOGZwWHYreEZKOVdiMlA4NjV2YzNzTGVmY1hPZmN3NUxlbG5Tam1iMGFqOGRQNitUQ0JBRFlLWVF6QUQzS2hBa1REblRPN1dsbUN6TnRaV1ZsLzIxbVA1VjB2NlF0bmdyZ25EdEgwdG14V0t5d3NyTHkxNUkwWnN5WVlrbS9OYlBINHZINDNGZ3NsdW1laXNmamw2U25UKzJzaG5RUVRCTE1BT3dPWHJZTEFJRHQ0WG5lV2VuSjU1UytKWWJuZVE5SldwcEtwUzd0WXBuekpUMGw2VmV4V093cVNjckx5eHRnWms3UzVkMVpQd0I4SE1JWmdCNmpwS1FrNnB6N21xUlg0L0g0SytYbDVRUE43Qy9wdS82Zm1iNENVK21qQXVITXlGWkZSVVdpcnE3dUxEUDdwNlJieThyS3ZoYVB4OStTZEdnOEhuOHZ1M3NGQU8xeFdCTkFqMUZjWER4RjBpY2tmWFg4K1BIOWdpQjQxamszeXN3K20wd21tM3pmLzEzNmhQOERuSFA1UVJDOG0xbDIrZkxsemVQR2pUczlFb204N0huZUhiN3YveVVkMEFBZ3B4RE9BUFFZWnZhMmM2Nnlzckx5UGttcFdDeDJuNW05RTQvSFh4d3paa3l4Yys0Q013czc1NUptOWxKVFU5TWYyaTYvY09IQ0Q4dkx5ejhmQk1FK2pKZ0JBQURzQXVrVCtRRUFBQUFBQUFBQUFBQUFBQUFBQUFBQUFBQUFBQUFBQUFBQUFBQUFBQUFBQUFBQUFBQUFBQUFBQUFBQUFBQUFBQUFBQUFBQUFBQUFBQUFBQUFBQUFBQUFBQUFBQUlET3VHd1hBQUJaRUJvMWFsUS9TVnErZkhtOXBGUzJDd0tBakZDMkN3Q0E3dWI3L3ZqOC9QemJvdEhvV2NPSEQxKzBhdFdxMWRtdUNRQXl3dGt1QUFDeVlKQno3bkF6aTBvYWxPMWlBS0F0TDlzRkFBQUE0Q09FTXdBQWdCeENPQU1BQU1naGhETUFBSUFjUWpnREFBRElJWVF6QUFDQUhFSTRBd0FBeUNHRU13QUFnQnhDT0FNQUFNZ2hoRE1BQUlBY1FqZ0RBQURJSVlRekFBQ0FIRUk0QXdBQXlDR0VNd0FBZ0J4Q09BTUFBTWdoaERNQUFJQWNRamdEQUFESUlZUXpBQUNBSEVJNEF3QUF5Q0dFTXdBQWdCeENPQU1BQU1naGhETUFBSUFjUWpnREFBRElJWVF6QUFDQUhFSTRBd0FBeUNHRU13QUFnQnhDT0FNQUFNZ2hoRE1BQUlBY1FqZ0RBQURJSVlRekFBQ0FIQkxPZGdFQXNEdVZsNWNYQmtFd3RHMmJjMjY0bVlXY2M1Nms0Yjd2ajJ3N1A1VktyYTJwcWFudjltSUJnSEFHb0xkTEpwT2pRNkZRWmNkMjUxeG1ja2FiYVVtUzUzbUhTRnJRVFNVQ1FEc2MxZ1RRcTFWWFY5ZVkyY0p0N1c5bVM2dXFxcllJY3dEUVhRaG5BSHE3bEprOW9NM0JTMmEyUlllMjdXWTJVMUtxKzhzRWdNMElad0I2dlNBSS9peHA0elowM1poTUptZDNRMGtBMENYQ0dZQmV6L084MVpLcU81NWIxbFo2WG5VcWxYcTNPMnNEZ0k0SVp3QjZ2YXFxcWpwSmM4MHNVUG93WmthYnc1a21hZTdTcFV2WFpxOVNBQ0NjQWVnYlVtWTJUOUtHcmZScFNQZEpkR05kQUxBRndobUFQaUdWU3MyVHRDYnp2dVBGQWM2NWpZbEVZbjYyNmdPQURNSVpnRDZocHFabXBhVEt6czQ3UzdkVkxscTA2SjFzMUFZQWJSSE9BUFFaeVdUeXZxN21CVUZ3Yi9kV0F3Q2RJNXdCNkRNYUd4dWZON1BWSGR2TmJFMXRiZTB6MmFrS0FOb2puQUhvTTVZdlg5N3NuSnVlT2JUcG5KTnpUbWIyeElvVks1cXlYUjhBaUhBR29LOUpwVkxUemF3bDh6NDkvV2gycXdLQWp4RE9BUFFwalkyTmIwaGEybWIwN05WUUtMUXMyM1VCUUFiaERFQ2ZFZ1JCbmFRRjlwRUZpVVJpWGJickFvQU13aG1BUG1YNTh1WE42WnZOTmtocU1iTjVOVFUxOWRtdUN3QXl3dGt1QUFDNm0zUHUzK2tiMHZZTGd1RGxiTmNEQUFEUTF6bmY5Ly9oKy80Q2ppQUF5RFZiM2lvYlFLODBaUFRvQWRHRU45d0w1dzN6blBYUGRqM1oxaTlQSnpqbjVXMXFEcDdLZGkzWmxqTFZXekt4cWw3TkgzejR4aHRiZS80b2dHNUFPQU42dWVKUm80b0doQXQvNmNrN1M4NUNKdWZKak5FaVpaNnJ5ZGVnbkF1Y0xKQzVWQ0NiWFplc3YzVDk4dVViczEwVzBGZnhyUVQwWXA4WVZUckdSU0ozTzlQaHpqa3ZtcCt2QVFQNkt5OHZMOXVsSVllMEpCS3EyMWlucHVabW1WbGdUdjlXd3E1NGEzbE5aYlpyQS9vaXdoblFTdzBaUFhwQVAxZnd2T2YwcWZ6OFBIM2gxSk4xNU9HVE5HUklzUW9MQ3JOZEhuSklZMU9qMXF4WnA3a0xYdEhEano2aDVzMGhMYjR4V1g4TUkyaEE5eU9jQWIzVXlJUEtibmF5S1lXRmhlN1h0LzFDUjA0NlRPRndXSm1icndKdG1abVN5YVFxcTJ2MDFXOThVdzBOamViTXByMjVyT2F5Yk5jRzlEV2Nkd0wwUWtPSGx2YjNaSjkxenJsVFR6cFJoMDc4bENLUkNNRU1YWExPS1JLSnFHemNXSjEwNGdseXpqbDU3dVJodzhiM3kzWnRRRjlET0FONm9ZSkJvVDNOdVlKSUpLeXhwUWVyc0tBZzJ5V2hoOGpQejllNHNhWEt6OCtUU1pIb0lPMlo3WnFBdm9ad0J2UkNnZHhRbVVYeklua2FQb3pmVm15ZkVjT0dxYUNnUURJWENTdzFKTnYxQUgwTjRRem9oY0locjBCT0lTL2txYkNRay8reGZmcjE2NmR3S0N3NWhVSmVoTU9hUURjam5BRUFBT1FRd2hrQUFFQU9JWndCQUFEa0VNSVpBQUJBRGlHY0FRQUE1QkRDR1FBQVFBNGhuQUVBQU9RUXdoa0FBRUFPSVp3QkFBRGtFTUlaQUFCQURpR2NBUUFBNUJEQ0dRQUFRQTRobkFFQUFPUVF3aG1BSHVudXUrL1dDeSs4ME9YOFpES3BCeDk4VU04ODg4d3UyWjZacWJhMlZnME5EYnRrZlFEUUZjSVpnQjdwdWVlZTA1SWxTN3FjUDNQbVROMTY2NjI2K2VhYnRXblRwazc3cEZJcEpaUEpkbitwVktyVHZrOC8vYlNPUC81NFBmbmtrN3RzSHdDZ00rRnNGd0FBdTFwdGJhM3V2ZmRlbFpTVTZKMTMzdEcwYWRQMG5lOThaNHQrRjF4d2daWXVYZHF1cmFpb2FJc1J1WmFXRnQxMTExM3lQRThQUC95d1RqLzlkRVdqMGQyK0gyaXZwS1FrMnI5Ly8vMFdMVnEwVEZLUTdYcDJwUWtUSmh6b2VkN1Z6cm4vTXJOOW5YTk8wbG96bTkvWTJIalJxNisrdXE2VHhUemY5Ny91bkx0MS9mcjF4U3RXckdqYW1ScEtTMHY3UjZQUlgwaUtWVlpXVHRxWmRXSG5FTTRBOURvLy9lbFBWVjlmcjkvOTduZjY4NS8vckljZWVraUhIMzY0ampqaWlIYjlycm5tbW5hamFyTm56KzUwTk81WHYvcVYxcTlmcjd2dXVrdmYvdmEzZGVlZGQrcWFhNjdwbG4zQlI0cUtpb2FFdytHWGZkOWZibVlQZUo0M093aUN0VlZWVlhXU09oL3k3QUZpc2RqSlp2YUljeTVmMGlybjNEeEovYzFzUCtmY3FmMzY5YnRPVXR0dzVuemZQOWs1OXlOSnNaM2Rmbmw1ZVdFUUJCYzU1NjZYTkVMU3ZKMWRKM1lPaHpVQjlCanZ2LysrRmk1Y3FJVUxGNnE1dVZscjFxeHBmWjg1SFBuSUk0L29oUmRlME9USmsvWEpUMzVTbDE1NnFVYU5HcVh2ZmU5N1dyRmlSYnYxalI4L1hpdFdySkNaNmZEREQ5ZkFnUU0xYU5DZ2RuM216Sm1qaHg1NlNKTW5UOWJFaVJOMTdiWFg2dUdISCtid1p2WjR6cmx5NTl5dFpyYkFPZmVFNy90VHk4cksvcWU4dkh4RXRvdmJYaVVsSlZFeis2T2t2Q0FJTHF1c3JOeTdzckx5MDVXVmxiRjRQRDdFek01c2JtNytNTk8vdkx6OElOLzMzM2JPL1ZuU0VETmJzelBiOTMzL2kyYTJ5amwzcDZUM2RzbE9ZYWN4Y2dhZ3gzand3UWMxZmZyMDF2ZnZ2dnV1bm5ycUtVblNQLy81VDFWVlZlbW1tMjdTcEVtVGRPR0ZGMHFTb3RHb2JybmxGcDEvL3ZtNitPS0xkZmZkZDJ2VXFGR3Q2NWd4WTRiT09PTU1IWEhFRWFxdHJkWEFnUU5iNTFWWFYrdjY2Ni9YcHovOWFaMS8vdm1TcE05OTduTmF0bXlaYnJ6eFJrVWlFWDMrODUvdnhrOEFadWFjYzBvZjloc2s2Umd6KzdSenJ0Yk0xdmkrUDkvTTdtOXBhWGx4eVpJbExkbXU5K01VRnhlWFNTcVdWQk9QeCsvcU1Ec1ZqOGNmYmR1UVRDYUhlSjZYTCtuSFRVMU52OHpQejU4cmFlaE9sUEJKTTN2SHpHNEtndUN2NFhCNDlVNnNDN3NJSTJjQWVvd3JycmhDYytiTTBZTVBQaWhKT3YvODh6Vm56aHpObVROSFZWVlZ1dTY2NnpSeTVFamRlT09OMnZ6YnZkbmVlKyt0dSsrK1cwRVE2S0tMTHRMenp6L2ZPbS9kdW5VYVBIaXdKR25EaGcydDRleVZWMTdSNVpkZnJ2MzIyMDgzM0hCRHUvVmRjY1VWT3VHRUUvVERILzVRMDZaTlV6S1o3TVpQb1c5enpwblNWODltL3RLL1pjV1NSanZudnV4NTNyUDUrZmx2K0w1L1MxbFoyY1NERGpwb2o5TFMwcnhzMTk2WlJDSlJuNTRjSkNuMGNmMDNiTmp3U2p3ZUgxRlpXZm4vbGl4WjB2bVZMdHNobFVyZEZvL0h4MVJWVmYwcEVvbjBxdlA0ZWpKR3pnRDBHSkZJUkpGSVJQUG1iVDRsSmh3T3E3Q3dVUFBuejllVUtWTTBkT2hRL2V4blA1TnpUblYxZGUyV0hUNTh1TzY4ODA1OTk3dmYxVFhYWEtOSEhubEVlKzY1cDVxYW1sckRXVzF0clVhTkdxV1pNMmZxbDcvOHBVYU9IS21wVTZjcW1VeXF0cmEyM2ZxdXV1b3FtWm51dmZkZUxWNjhXTC8rOWErNzhaUG9IaGFZb2hINzVJUUpFNUxPdVNBSWdzRHp2RlFxbFFwQ29WQXFsVXFsUE04TE11K1R5V1FRQ29WU29WQW9TS1ZTcVZBb0ZDUVNpVlFrRWdrYUd4dURhRFNhMnJScFUxQllXSmphdUhGanFyQ3dNRml5WkVseVIwL3V6d1RtZEVEck9MMjNjKzVxNTl5bGhZV0ZTODFzZmxsWjJWem4zUHg0UEw1VWtuVysxdTYxY09IQ0piN3ZMM1hPSGV6Ny92ODJORFI4YTlteVpYVmQ5ZC9aay80N3FxbXBxZCtHYnVobWhETUFQVTdtYXNxMzMzNWIwNmRQMSttbm42NlRUanBKWjU5OXRzNDU1NXd1bDVzMGFaTHV2LzkrelpzM1QvdnR0NS9lZnZ0dFNXbzNjalpvMENBTkhqeFloeDkrdUk0NzdqaWRkdHBwWGE3dnExLzlxcVpNbWFMUm8wZnY4bjNNQlU1U2Z0ZzczM1B1QUVrV0NvVk1ra1VpRVpOazZWRXM4enpQbkhPdDg4MHNNNjI4dkR5VFpJV0ZoV1ptTm1EQUFIUE9XWEZ4c1VreTMvZXRUVkJLU2tvNDU1SkJFQ1FsSloxelNVbEpNMHQ2bnBkblpnVnRSekhWSnFSMWxBNXFVZWVjTDZuTU9YZWVwTFZsWldXdlNacGVXMXY3NUlvVksybzdYYmo3cElJZ09DOFVDdjNGT1hkQllXSGhpV1ZsWlRmVzF0YmVzNnVER0hvT3dobUFIdVdERHo3UWYvN3pIKzI5OTk2cXE2dlQ3YmZmcm4zMjJVYy8vT0VQbFV3bTlhdGYvYXJMWlFjUEhxeUJBd2ZxTTUvNWpKUStwQ2xKcjczMm10YXZYNi9hMmxxdFhyMWFSeDk5dEc2Ly9YWjkrT0dIdXVlZWU3cGMzNGdSSTdUMzNudnZocjNNSFo1ekVVbUY2UUNVU1VIT3pGcW4yN1pyYzFocW5aOTVkV21kTGU4NlNWZWUxLzZzRytkY3V4R3k3WkZlempubkNzeXN5RGszWE5LQWZ2MzY1Y1NwUGRYVjFmR0REanBvWEVGQndWVG4zRVhPdWRzSER4NThUWEZ4OGJXVmxaVVA3T2g2OTlsbm40STk5OXh6aTMrZ1RVMU5xM2JGSVZIc1BvUXpBRDNLQXc4OG9FbVRKdW10dDk3U21ERmpORzdjT0UyZE9sVlBQZldVUHZqZ0F4MSsrT0dTcER2dXVFTzF0Ylg2MFk5K0pFbHFibTdXWFhmZHBYQTRyQU1PT0VDU3RINzllbm1lcHh0dnZMRjEvWTgrK3FpaTBhaXV1dW9xUlNJUitiNnZVQ2lreVpNbjY0Z2pqdENYdi94bFNWSmRYWjF1dmZWV25YdnV1YTNyNjIxTVVrTkw2dmZSa041MHpvVkNvWkFYQkVISTh6elB6RUptNW5tZTV3VkJFSExPaFRMVGJkc3pmU1Y1WmhaeXpuVjhEV1hPZjg2OGIvUHFaZnFscDRza25TTXAwcTdPZEdqcllrUXRaV2JybkhQdkJrSHdIMG5UcXFxcS9wVWVwY3NaNmZ1WVRSNDNidHhONFhENGU4NjVDeVRkSDR2RmpxcXNyUHpHanF4ejZOQ2hSMGo2ZThmMi9QejhMMHFhc1VzS3gyNUJPQVBRWTZ4YnQwNlBQZmFZYnJqaEJrMmJOazJTZE5GRkYrbTQ0NDVUUlVXRkxydnNNajMyMkdNcUtTbFJOQnJWeXkrLzNMcHNUVTJOSG5qZ0FSMTQ0SUd0WWVyNDQ0L1hnZ1VMMm0zampEUE9VRjVlbnQ1NjZ5MmRkZFpadXYzMjJ6VnAwaVNGdzJIOTYxLy9hZzFuTDc3NG9tYk5tcVd6empxcld6K0Q3dVE4cDVhVVcvN2E0cXAvZHVObXZUYWpjYTYwdE5TMXRMUTRiYjdQMmI1bWRsb21uSFUya3RibVBMUVB6V3gyRUFRemd5QllibWIxWmxhL2VQSGkybHkrZ2UzQ2hRdmZrSFJSTEJhN1M5SnNTVitmTUdIQ2M5WFYxVE8zZDEycFZLb21GQXFkMlVuNzNGMVdNSFlMd2htQUh1UCsrKzlYLy83OWRkUlJSN1dHczd5OFBJMGVQVnBOVFUzS3k4dlRTeSs5cEpLU0VzVmlNZjMydDcvVisrKy9yeEVqUm1qKy9Qa0toVUk2NnFpak9sMTNmWDI5Tm16WW9FUWlvV2cwcXBFalI2cTR1RmgvKzl2Zk5HblNKRTJjT0ZGMzNYV1hHaG9hVkZoWXFPZWVlMDZqUm8zU3dRY2YzTTJmUXEvWExqaTF2U253K1BIam04TGhjT3Y4TmtITUpEVkkyaGdFd1VJeis5ODFhOWJNZnUrOTkzcnNnMUFyS3lzcmZOKy94amwzbitkNVowdmE3bkJXVTFQemdhUkh0NkVyY2t4T0hHOEhnRzNobk5ONTU1Mm5TQ1N5eGJ4b05Lcnk4bkw5My8vOW43VDVVVFNTcEtxcUtrblN5eSsvclBMeWNoVVZGVW5way84ZmZmUlIzWERERFRybm5ITjA5TkZINjc3NzdsTnpjM1BybzVtT09lWVl2ZkRDQzBva0VqcmtrRU9VVENZVmo4ZFZYMSt2dVhQbjZxU1RUdXJHdlVkYTVodzJTZG9vNlNWSnQwcTYwTXdtVlZWVm5WQmRYVDJ6SndlekRPZGM1dWF6QXorbUszb1pSczRBOUJoZitNSVhOR1RJa0M3blowYkxtcHFhMUs5ZlA0MFlNVUxWMWRVNjlOQkR0WFRwVWwxLy9mV3RmUnNhR25UTExiZG96Smd4T3Vxb28zVEZGVmRvL1BqeGV1YVpaMXJEMmJISEhxdVpNMmRxL3Z6NW1qUnBrZ1lNR0tCRml4WnB6Wm8xU3FWUyt0em5QdGN0KzQxMnpNeHFKRDJhU0NUK0dnVEJ5b0tDZ25VVkZSV0piQmUySTJLeDJIR1NqbTlxYXZyVmtpVkxWbVhheDQwYk45ak1wcVJ2dVB1djdGYUo3a1k0QTlCajdMUFBQbHVkSDR2RmxFZ2tXZ1BaeVNlZnJHSERodW1sbDE2UzUzazY3cmpqV3Z1T0dERkNMNzMwMGhhamNJMk5qU29vS0doZG4rLzdDb0pBbnVkcDVzeVoyblBQUFhYaGhSZHEwcVJKMm1PUFBYYlRucUl6Njlldlg3ZkhIbnNjWGwxZHZUU1h6eHZiVG5tU3ZwdWZuMzk5K241bks5TWpaZU1sRlpoWlZVTkR3eTNaTGhMZGkzQUdvTmNZTTJhTWJyMzFWazJZTUVHUzlJMXZiTDdJN2ZMTEw5ZkVpUk5WWEZ6Y3JuL0hZTForL1hvbGs4blc1MnVHdzJIZGUrKzlyZlAzM0hOUHZmbm1tMXE0Y0tGKzhZdGZkTU1lb2EyVksxYzJybHk1Y25HMjY5aVZuSE12bTluM25YTW5TQ3FWTkZyU0pqT3JrdlRvbWpWcnBxMWN1Ykl4MjNXaWV4SE9BUFI0Yjd6eGhpb3JLMXZmejU0OXUzVTZDQUxObXpkUFJ4OTl0QjU5ZFBPNTBYbDVlVHJsbEZNa1NZOC8vcmhTcVpUeTgvUDE5Ny8vWGVGd1dKczJiZEovLy9kL2Q3cXRscGJOajJ2ODJjOSsxaHJRTHI3NFlwMTk5dG03ZFIvUk8xVlVWR3lRTkRYOXQ5M2k4ZmpZWFZqTDJqYjNyRU1XRWM0QTlIaUxGaTNhNnMxbm85R281czJiMS9yWXAvNzkrN2VHc3dVTEZ1alpaNStWSkEwYU5FalhYbnV0eXNyS1drZmR0c1c0Y2VOMmVoOEFJSU9FRFBSQ0pRZVZIU05uMDRzR0RCaCt6Njl1MDJHSGZDcmJKZVcwSUFpVVNxVTZ2UXEwTDVvNy94VmRQdVU2clZtM3JsYW0wMWE4MnEzM09RUDZQRWJPQVBSNW51ZHQ4YmdnQU1nV3ZvMEFBQUJ5Q09FTUFBQWdoeERPQUFBQWNnamhEQUFBSUljUXpnQUFBSElJNFF3QUFDQ0hFTTRBQUFCeUNPRU1BQUFnaHhET0FBQUFjZ2poREFBQUlJY1F6Z0FBQUhJSTRRem9oVnhnRGM2VURBSlRVMU5UdHN0QkQ5UFUxS1JVa0pLa2xBdXNJZHYxQUgwTjRRem9oWnFUaVZWeXJqR1JTR2pOMnJYWkxnYzl6SnExNjlUVTFDeEpMYzNKeEtwczF3UDBOWVF6b0JkNjc0MGxxMHhXbjBna3RIVFpmOVRVM0p6dGt0QkRKQklKdmZyYWZ6YVB1Sm8xdmZmR0VzSVowTTBJWjBEdjFPTE1uall6UGY3a1Uzcjl6UlhacmdjOXhQdXJWdXZSeC84c001T2tKeVcxWkxzbW9LOXgyUzRBd080eHRMUzBmeitMdk9Uay9NR0RCK20wazAvU3AySmxHakprRHhVV0ZHUzdQT1NRaHNaR3JWMjdWcFhWTlhyOHo3TzFmdjJITWxQTkptczhjdTJ5WlhYWnJnL29hd2huUUMrMnp3SGpEdzJIM0c4aytjNDVyN0NnUUlNR0RWSTBtcC90MHBCRG1wcWE5R0h0QmpVMk5zbzJENWxWcGdLNzZwM1hhdVprdXphZ0x5S2NBYjNjSno0eGJyQlg0TjN0UEhkV3RtdkpGV2JXK3VWbmtwempxekREeko1U2t6dC94WXFxMm16WEF2UlZmQ01CZmNUZy9mY2ZXQlFxM0V1ZU44S1pWNVR0ZXJJcFA2U1MvSWpPOGp3WGFXeTJCNXRUNnRNbjVRV1cydVJrNzI1SWJIcS9kc1VLUWhtUVpZUXpBSDJPNy90SE8rZG1tRmxVMHYvRTQvRVhzMTBUQUdSd3RTWUFBRUFPSVp3QkFBRGtFTUlaQUFCQURpR2NBUUFBNUJEQ0dRQUFRQTRobkFFQUFPUVF3aGtBQUVBT0lad0JBQURrRU1JWkFBQkFEaUdjQVFBQTVCRENHUUFBUUE0aG5BRUFBT1FRd2hrQUFFQU9JWndCQUFEa0VNSVpBQUJBRGlHY0FRQUE1QkRDR1FBQVFBNGhuQUVBQU9RUXdoa0FBRUFPSVp3QkFBRGtFTUlaQUFCQURpR2NBUUFBNUJEQ0dRQUFRQTRobkFFQUFPUVF3aGtBQUVBT0lad0JBQURrRU1JWkFBQkFEaUdjQVFBQTVCRENHUUFBUUE0aG5BRUFBT1NRY0xZTEFJRGRxYnk4dkRBSWdxRnQyNXh6dzgwczVKenpKQTMzZlg5azIvbXBWR3B0VFUxTmZiY1hDd0NFTXdDOVhUS1pIQjBLaFNvN3Rqdm5NcE16Mmt4TGtqelBPMFRTZ200cUVRRGE0YkFtZ0Y2dHVycTZ4c3dXYm10L00xdGFWVlcxUlpnRGdPNUNPQVBRMjZYTTdBRnREbDR5c3kwNnRHMDNzNW1TVXQxZkpnQnNSamdEME9zRlFmQm5TUnUzb2V2R1pESTV1eHRLQW9BdUVjNEE5SHFlNTYyV1ZOM3gzTEsyMHZPcVU2blV1OTFaR3dCMFJEZ0QwT3RWVlZYVlNacHJab0hTaHpFejJoek9ORWx6bHk1ZHVqWjdsUUlBNFF4QTM1QXlzM21TTm15bFQwTzZUNkliNndLQUxSRE9BUFFKcVZScW5xUTFtZmNkTHc1d3ptMU1KQkx6czFVZkFHUVF6Z0QwQ1RVMU5Tc2xWWFoyM2xtNnJYTFJva1h2WktNMkFHaUxjQWFnejBnbWsvZDFOUzhJZ251N3R4b0E2QnpoREVDZjBkalkrTHlacmU3WWJtWnJhbXRybjhsT1ZRRFFIdUVNUUoreGZQbnladWZjOU15aFRlZWNuSE15c3lkV3JGalJsTzM2QUVDRU13QjlUU3FWbW01bUxabjM2ZWxIczFzVkFIeUVjQWFnVDJsc2JIeEQwdEkybzJldmhrS2haZG11Q3dBeUNHY0ErcFFnQ09va0xiQ1BMRWdrRXV1eVhSY0FaQkRPQVBRcHk1Y3ZiMDdmYkxaQlVvdVp6YXVwcWFuUGRsMEFrQkhPZGdFQTBOMmNjLzlPMzVDMlh4QUVMMmU3SGdBQWdMN08rYjcvRDkvM0YzQUVBVUN1MmZKVzJRQjZwMzMyS1JnWkdqQW9rUjhlbUdlaGFMYkx5YmIrQmZvZjUxeCtYWU05bk8xYXNzNmxtcXc1dVNHUjJMRGh2ZmZlYThoMk9VQmZSemdEZXJtOTlpb3Z6T3ZmOGcxNTNtZWNOTURrK2t1V24rMjZja0FvL1pyS2NoMDV3TFU0V1oxSmRaSmViTmtZdnZPOTl5b0lhVUNXRU02QVhxeDQxS2lpb2tpL1A4bmN5YzYxaGhHZ1MyWVd5R2xXUzZyeGErKzk5dHJhYk5jRDlFV0VNNkMzR2pVcWYyUzQzME9lYzZlSHd5SEZ5aWJJbnpCTys1V00xS0NCZzdKZEhYTEl4bzBiOWZxYmI2cG0wUkl0cUlncm1Vd3FNSnY5VnRPR004V1RFNEJ1eDlXYVFDODFNdEwvWW1jNk5UOHZUMWQ4YzdKT1BlbEVEUjgyVEptYnJ3SnRtWmsrV0xOV2YzMzI3L3I1TCs5UWMzUExpU1B6Qmw3MmxuUkx0bXNEK2hvT2N3QzlVRWxKU2RRTDU5L2puQnYrK2M5K1JsZDhjN0wyS0M0bW1LRkx6am4xNzlkUEJ4NHdTcSsvK2FhV3YvNkc1engzMEtEKzBidHJhMnVUMmE0UDZFdTRoQnpvaFZwQy9ZZkt1V2dvRkZMWmhMRWEwTDkvdGt0Q0QxRllVS0JZMlFSRndtR1pLWklJRnczSmRrMUFYME00QTNxaFNKNDNWTEpvZmw2ZVJnd2JsdTF5ME1PTUdENU1CUVVGY2xJazRwS0VNNkNiRWM2QVhzaVpWMlJTSkJRT2FlREFnZGt1QnozY3dzblZBQUFnQUVsRVFWVE00RUdEbEplWEozTUtLNVRIMVNOQU55T2NBUUFBNUJEQ0dRQUFRQTRobkFFQUFPUVF3aGtBQUVBT0lad0JBQURrRU1JWkFBQkFEaUdjQVFBQTVCRENHUUFBUUE0aG5BRUFBT1FRd2hrQUFFQU9JWndCQUFEa0VNSVpBQUJBRGlHY0FRQUE1QkRDR1lCZUpabE1xcmEyZG92MkRSczJxTEd4Y2F2THZ2dnV1MnBvYU5pTjFRSEF4eU9jQWVoUmtzbWtHaG9hMnYwMU5UVzF6di94ajMrc2IzN3ptKzNhSk9ubW0yL1dhYWVkcHJWcjEzYTU3aWxUcHVpY2M4NlJtZTNXZlFDQXJRbG51d0FBMkI2UFBmYVlicnJwcG5adFE0Y08xVFBQUENOSk92dnNzM1hSUlJmcHhodHYxRTkrOGhOSjBpdXZ2S0svL3ZXdk92UE1NelZreUpCTzExdFpXYW4vL09jL3V2TEtLK1djNjRZOXdhNVNVbElTN2QrLy8zNkxGaTFhSmlub3hrMkhmTisvVU5LWEpFMXd6aFZKYWpDek55VGRHWS9IZjkvWlFtVmxaU1hPdVQ5S21odVB4Ni9ia1EyUEh6KytYemdjL282a2M4eXN4RG5YWkdZTEpQMDhIbzgvdDlON3RnM0t5OHNqcVZUcUF1ZmNhYzQ1Mzh6MmNNN1ZtZGxxNTl5L2dpQzRyNnFxNnY4Nlc3YTB0TFIvTkJyOWhhUllaV1hscEoydFpWZXZMOXNJWndCNm5JRURCMnJhdEdtU3BMLys5YSt0d1V5U3hvNGRxMHN1dVVTelpzM1NoZzBibEplWHA1Lzg1Q2NhTzNhc3BreVowdVU2Nzc3N2JrblN0R25UV3FjL3pvTVBQcWlTa3BLZDNoL3NuS0tpb2lIaGNQaGwzL2VYbTlrRG51Zk5Eb0pnYlZWVlZaMmsxTzdZNXFoUm8vS0xpb3IrS3VsWVNTa3pXMmhtR3lYdDY1d2JLK2t6a3RxRk05LzM5NUowdFhQdU1rbFJNNXU3ZzV0MzRYRDQzNUxHUzVvbjZXRXorNFNrNHlVZDcvditoZkY0L0w1ZHM2ZWRLeXNyS3pPelJ6M1ArNlNaQldiMnFxVFhKUFYzemgwbzZldWU1KzB0NmFTMnk1V1hseGNHUVhDUmMrNTZTU1BTOWUrd1hiMitYRUU0QTlEamhFSWhqUjQ5V3BKVVVWSFIycjVzMlRJdFdiSkVSVVZGT3VPTU0vVDg4ODlyN3R5NWV2ZmRkM1hTU1NkcDl1elp5cy9QMStjKzk3bDI2M3ZwcFpkVVVWR2gwMDgvdlhXOVc3TjQ4V0xObWpXTEViYmM0am5ueWlYRnpPeEh6cmtxMy9mbm1kbmNVQ2cwcjZLaTR2MWR1Ykdpb3FJcjBzRXMzdExTY3VxaVJZdmV5Y3p6Zlgra21mbHQrOGRpc2RzbFhaYiszYTJRVkw0VG13K1pXVFFJZ2tPcnE2dm5aeG9uVEpqd21WQW85TFNaM1ZaZVhqNjlvcUlpc1JQYjZOTDQ4ZU5qenJtWEpQV1Q5SnZtNXVhZkxsbXlaRldiTHA3diswZDIvQXg4My8raW1kM2puQnVRL2d4RzdFd2R1M3A5dVlSd0JxRFhtRE5uanFaTm02YUJBd2UyYXg4NGNLQm16SmloNXVibUxjTFpwazJiOUl0Zi9FTDc3NysvcnIzMldvWERILysxV0ZCUW9GbXpabTFUWDNRUE0zUE9PYm5OaVhtUXBHUE03TlBPdVZvelcrUDcvbnd6dTcrbHBlWEZKVXVXdE95Q1RSNlhmcjJoYlRDVHBIZzgvcGFrdHpyVVZ5cnBuODY1bjVqWk1PZmNJenV4N1pUbmVVZkU0L0YySjFCV1YxYy9HNHZGWG5UT0hkZlMwbktRcElVN3NZMU9sWlNVUkVPaDBPUE91WDVCRUZ4V1ZWVjFWeWZkZ25nOC9wS2tsenEwZjlMTTNqR3ptNElnK0dzNEhGNjlrK1hzNnZYbERMNVpBUFE0cVZSS1M1WXNrU1N0V3JXcTNieUJBd2ZxK2VlZjczUzVlKys5Vnc4OTlGQzd0cHR2dmxtclZxM1NGVmRjb2RkZWU2M0xiWmFXbHJiYnZpVENXUTV4enBrMmg2QzJ6WjZrWWtuRnpyblJ6cmt2NStmbnYrdjcvc05tTnFPcHFla056L1BxZGlTc21WbTljMDVCRUhSK0VtTUhxVlRxdEpxYW1ucHRIdkU1WTN1MzEzSHpGUlVWWFYzWnNrR1NQTTlyM3NsdGRLcTR1UGhpU1NQTmJGWVh3YXhMcVZUcXRwcWFtcDlxOCtISUlUdDc0YzJ1WGw4dTRac0ZRSSt6WWNNR1hYREJCVkw2eDdpcmsvdy96c3laTXpWNzltd05HalJJZDl4eHgxYjd0ajE4bWtoc1BsclUyOE9aQmFab3hENFppOFZTUVJBRW51ZWxVcWxVNEhsZWtFcWxnbEFvbEVvbWs0SG5lVUVvRkFxU3lXUVFEb2RUaVVRaUNJVkNRVXRMU3hDSlJGSXRMUzFCS0JRS0lwRkkwTmpZbUhsTjVlWGxCYlcxdFVGZVhsNndZc1dLVlByOHNKMCtvVDl6dUxudGozV2I2YjJkYzFjNzV5NHRMQ3hjYW1ienk4cks1anJuNXNmajhhV1N0dlVYL2xGSnB6dm5wdnErLzhiSG5ZU2ZDV2E3VTJscGFaNlpIU3FwdnI2Ky9xMXRXR1M3bWRrWjZjLzNWOXU3N0s3K0RMcmpNODJXM3YzTkFxQlhLaTR1MXQvLy9uZEowa01QUGFUNzd0ditjNS9mZlBOTi9mS1h2OVNFQ1JOMDNISEg2YmJiYnRPTUdUTTBlUERnZHYwZWV1Z2gvZWxQZjJyWDF0S3llYUFsTHk5dnAvWWoxemxKK1dIdmZFa0hPT2ZNek16elBIUE9XVHFZV2pnY3RzMi8yZFk2SFlsRVpHYVduNTl2a3F5Z29DQVRlRExUTm1EQUFIUE8yZkRod3lYSkJnOGViT2xnMUJxT25IUE5acGFVMVBZdkpTbmxuRXVhV1VwUzBzenl6U3phOFJ6QXJzNEpUQWUxcUhQT2wxVG1uRHRQMHRxeXNyTFhKRTJ2cmExOWNzV0tGVnZlTEsrTmVEdyt3L2Y5bzV4emwwajZoKy83czh6c1IxVlZWVlU3Lzhudm1HZzBlcjJrdlNUOVp2bnk1YnRsNU13NUY5UG1VYXVYZDhmNnNSbmhERUNmVkZKU29wTlBQbG1YWFhaWmE5QWJQSGp3RnFOd2hZV0ZXeXliQ1dmNStmbmRWRzMyZU01RnpLd2dmUzVYSnUwNHBjL3phdnMrL2VxMCtVZTh0VTg2RExWdDczUTl6cmt0N3IyNXRZc3VkdmFDakV4ZHpya0NNeXR5emcyWE5LQmZ2MzdiY2c5UWk4ZmpsL3ErLzR4ejdpYm4zQ21TVG83RllvODQ1NjdjbVFzUUpreVlzSGNvRkNwbzIrYWNhNm1vcUhpN2kwVTgzL2QvTE9uN1pyYkV6TDYvbzl2ZW10TFMwanhKQTh5c3VlT29WVmxaMlNEUDh6N3N1RXhUVTlPQUpVdVdiTnJlYlkwWk02WTRQeisvdUdON1pXWGxtN3ZyQ3R4Y1FqZ0QwS3MwTmpacTZ0U3BuYzU3OWRWWFc2ZWRjL3JCRDM2d3c5dndQSy9YajV5WnBJYVcxTytqSWIzcGVaNW5acDV6THJSNUFHM3plOC96dkNBSTJyVTU1end6QzZWZk0rMGhNL01rdFZ2Tzh6d3ZmYVZscU8xdmtwbDVaaFp1dTQ1TS83YmJTRThQa0hTR3BFaTcrdE9ITXJzWVVVdVoyVHBKN3dWQjhKcWthVlZWVmY5S2o4NXRzM2c4UGt2U1gzemZQOWM1OXlOSlp3VkJjS3p2Ky84ZGo4ZXJkK1J6OXp6dllVbEhkTmlYWlpJTzZ0aDM3Tml4d3lLUnlJUE91ZU1selpIMGhhcXFxcTJPK3Uyb0pVdVd0TVJpc2FSekxyKzh2RHpTOW1yUUlBZ1NudWY5clUzM295UnQrVjgyMnlnU2lWd3Q2WHNkMjB0TFMwZDB1REswVnlLY0FlaHhrc21rRmk3Y2ZDSGErKyszSDZCSXBWS3FycTdXNjYrL3JnTU9PRUJOVFUxNjU1MTNWRnBhdXRXbkEwalNxYWVlMnVtMk9xcXJxK3QwUksyM2NaNVRTOG90ZjIxeDFUK3pWRUptQkNzejJ1WktTMHRkUzB1TDArYi9iVnd5bVhSNzdMSEh2cDdublp3Slo1MmRHTjdtUExRUHpXeDJFQVF6Z3lCWWJtYjFabGEvZVBIaTJwMDQzeTBWajhmdkx5MHRmVGdhamQ2YXZvL1pBNUxLZG1TVUp6M3kxVzRJTndpQ2pSMzd4V0t4d3lROWtlNzcveW9ySzMvYURhTktiNld2a2h5ZnZuMkY5Tkg1WDU5dFU5dHlTWi9jMFkyWTJYUXoyK0lRY1V0THl4YWpjNzBSNFF4QWo3Tng0MFpObmp4WlNvZW56SGxpWjV4eGhrNDQ0UVN0V3JWS2t5ZFAxcDEzM3FtYW1ocGRlKzIxdXVlZWU5VFMwcUs2dXJvdTEzdjExVmVyZi8vK0g3djkxYXRYYTQ4OTl0aUZlNFF1YkJHV01sZnB0bFZjWE56Z25HdnQyeWFJbWFRR1NSdURJRmhvWnYrN1pzMmEyZSs5OTk1dWVZQnErcXJQYi9tK2Y0SnpidXk0Y2VOS0YyYitLMkk3VkZWOWZCaWVNR0hDa1pMK1ptYnJ6ZXpvcXFxcWYrOXc0ZHZCelA3aG5QdGsrcWtJRmR1d3lBNnBycTVlTEdueDdscC9yaU9jQWVoUlVxbVVoZzhmcnIvODVTOVNod3NDQmcwYXBFR0RCcW1pb2tLaFVFakZ4ZTFQV2NuTTc4clJSeCs5eFRsbmlVU2k5ZXBNU1ZxNGNLRmVmdmxsSFh2c3NaS2tKNTU0UWtjZWVhU0dEaDI2Uy9jVDJ5MXozcG9rYlpSVUpXbUJwTGxtdHFDcXFtcTNYTDNZQ1hQT1pXNW5NZkRqdTIrLzlGM3hINWEwSVpGSUhON3hQbXU3VXhBRXYvSTg3K3VTTHZWOWYyWThIdWZDZ04yQUI1OEQ2RkUyYmRxa2dvS0NyZlo1NVpWWHRQLysrM2Q1cTR0NFBLN201bTI3bUczbHlwVTY2cWlqZE1naGgraXd3dzdUaFJkZUtPZWN2dktWcnlpWlRHcnExS242d3gvK3NFUDdnbDNLekt6R3pIN1kwdEp5ZkZOVDA5bWU1MTBmajhjZlRkOFVkcGZ5ZmYrdVdDeDJRc2ZmVWQvM3Z5Q3B6TXpxRTRuRWJybHlNd2lDTHpqbjlqS3p1N3N6bU9takVhMGJuSE41a3Y3dSsvNGxKU1VsMGJaOVlySFlLRFA3K0NGb2RJbVJNd0E5eXR0dnY3M1ZVYXAzMzMxWHp6MzNuQzY4OE1JdSsxeDU1Wlc2NElJTDlOV3ZmdlZqdHpkeTVFaGRjc2tsYW01dVZqS1oxTkNoUTNYODhjZHIyTEJoZXVPTk4yUm1QRjh6eTlhdlg3OXVqejMyT0x5NnVucHBkejM0UEgxTGlVdDgzNjkxemkweXMyYm4zSDZTOWs4L2EvS3lIYmxLY1J1VnBXczR4ZmY5V0JkOTVzVGo4VnZTendDZElXbEdaV1hsdzd0aTQvRjQvUC81dmk5SjMzZk8zVlZjWEh4TGNYSHhFa21ONlZ0NTdPK2NrNWw5Mk5EUXNGMFhXR0F6d2htQUhzUE1GSS9IZGR4eHgzVTZmOU9tVGJyMjJtczFZTUFBZmZHTFg5eGlXVWxxYUdqUXBrMmJ0UGZlZTdmT2kwWTMvNGYvdW5YcnRqaXM2WG1lTHI3NDRrNjNOMi9lNW1jc0gzend3VHU1WjlnWksxZXViRnk1Y21XM25wK1VTcVd1RDRWQ1g1VjBxSmxObE9UTTdGM24zQU9TN3FpcXFucGxOMjYrS1AxYW5uNmVhR2VhMHEvNWtnYWEyWFRmOXcrTXgrTTM3SUx0V3p3ZS85R0VDUk5tZXA3M1RVbkhPZWNPTnJPd3BMV1MvbXBtc3pkdDJ2VEFpaFVybXJaaGZlaUFjQWFneDVnN2Q2NVdyVnFsd3c0N3JEVVl2ZlRTUytyWHI1L2VmUE5OWFhmZGRWcTVjcVh1dXVzdUZSVnQvdjNLbk9CLzc3MzNhc3lZTVhybGxjMi9tZnZ0dDEvcmVqUGg2bnZmKzU1T1BQRkVSU0tSVHJiK0VUUFR5cFVyOWRSVFQybmZmZmZWMkxGamQ5cytJemRWVjFlL0lPbUZIVmsySG84LzJ1WmVienV5L05ja2ZXMWIraTVmdm54amFXbnBaNlBSNkgyU2Z1TDcvbDd4ZVB5eVhUSENtRDdFZWNtT0xKdCsvTlRPM2FodU42NHYyd2huQUhxTWQ5NTVSNk5IajlhaGh4NnFFMDQ0UVJzMmJGQlJVWkd1dnZwcXpaOC9YeHMzYnRROTk5elRMaXpGWWpINXZxLzc3NzlmWnFab05LclRUejlkQnh4d1FHdWZBdzg4VU5kZWU2Mys5S2MvYWRxMGFaM2VpcUdqL3YzNzY1QkREdEdVS1ZOMittYW93TzZVdm9yMFBOLzNBMG5ueEdLeFd5b3JLNWRudXk0QTZGTktEaW83cHVUZ0NlK1BQK1JJZTNuZUF1dE42dXJxT20wUGdzQTJidHpZN2ZYMFJpL1BXMkFUanp6ZVNnNHUrN0Rrb0xKanN2M3ZHYnRNYU1LRUNRZG11d2g4UEs3V0JOQ2pkSFVmTXVlY0Jnd1kwTzMxQUQxSXFycTYrclZzRjRHUFJ6Z0RBQURJSVlRekFBQ0FIRUk0QXdBQXlDR0VNd0FBZ0J4Q09BTUFBTWdoaERNQUFJQWNRamdEQUFESUlZUXpBQUNBSEVJNEF3QUF5Q0dFTXdBQWdCeENPQU1BQU1naGhETUFBSUFjUWpnRGVxTlVTNjJUYTBtbFVxcXJxOHQyTmVoaDZ1cnFsRWdtNUV4SnBWcHFzMTBQME5jUXpvQmVxRDZoVldiV21FZ2t0R2J0dW15WGd4NW16ZHAxYW01cWxra3Q5UW10eW5ZOVFGOURPQU42b1RVcmxud2dxVDZSU0twNjRXSTFORFJrdXlUMEVNMHRMVnE0ZUltYW1wc2xXVlA2M3hLQWJrUTRBM3FuUUdiM21pbjFsMmYrcG1lZmUwRWYxdGJLekxKZEYzS1VtYWwyd3diOTg2Vi9hZFpmbnBHWlVqTDdsYVFnMjdVQmZZM0xkZ0VBZG8rU2twS29SWXVlOHB6M1gvMzc5OU9rUXlacTNOaFNqZnpFdmlvYU1DRGI1U0dIYk54WXA3ZmVlVWVMbDd5cWY4K2RyN3BObTJSbUx5UTNyZnY4eXBVckc3TmRIOURYRU02QVhteG9TZW53ZnRISWZaS09kODU1bm5NS2hjTnlqdi9yNHlObWdaTEpsTXhNWmhaSStrZHpjOHZYMzM5ejZWdlpyZzNvaS9pR0JucTVJVU5HRHlnY0VyM0trenRCVWovbnJORE1SYkpkVnphWm1aemIvUDFuSnV2cllkVTVKVXlxbDZuQkZQeXpZVjN5WjJ2V0xObVU3YnFBdnFwdmZ5TUJmY2hlZTVVWHFxQjVEeStzd2VHVVY1anRlcklwUDgrTmlrYmNSYzU1NGNhVzFEM05MYlk4MnpWbFU4SkxOVnJLclU5dFdyTis5ZXJWOWRtdUIranJ3dGt1QUVEM2VPKzlpZ1pKRFpMZXlYWXQyZWI3ZnI1ejdpQXppeGJtZSs4c1d4S2ZtKzJhQUNDRHF6VUJBQUJ5Q09FTUFBQWdoeERPQUFBQWNnamhEQUFBSUljUXpnQUFBSElJNFF3QUFDQ0hFTTRBQUFCeUNPRU1BQUFnaHhET0FBQUFjZ2poREFBQUlJY1F6Z0FBQUhJSTRRd0FBQ0NIRU00QUFBQnlDT0VNQUFBZ2h4RE9BQUFBY2dqaERBQUFJSWNRemdBQUFISUk0UXdBQUNDSEVNNEFBQUJ5Q09FTUFBQWdoeERPQUFBQWNnamhEQUFBSUljUXpnQUFBSElJNFF3QUFDQ0hFTTRBQUFCeUNPRU1BQUFnaHhET0FBQUFjZ2poREFBQUlJY1F6Z0FBQUhJSTRRd0FBQ0NIaExOZEFBRHNUdVhsNVlWQkVBeHQyK2FjRzI1bUllZWNKMm00Ny9zajI4NVBwVkpyYTJwcTZydTlXQUFnbkFIbzdaTEo1T2hRS0ZUWnNkMDVsNW1jMFdaYWt1UjUzaUdTRm5SVGlRRFFEb2MxQWZScTFkWFZOV2EyY0Z2N205blNxcXFxTGNJY0FIUVh3aG1BM2k1bFpnOW9jL0NTbVczUm9XMjdtYzJVbE9yK01nRmdNOElaZ0Y0dkNJSS9TOXE0RFYwM0pwUEoyZDFRRWdCMGlYQUdvTmZ6UEcrMXBPcU81NWExbFo1WG5VcWwzdTNPMmdDZ0k4SVpnRjZ2cXFxcVR0SmNNd3VVUG95WjBlWndwa21hdTNUcDByWFpxeFFBQ0djQStvYVVtYzJUdEdFcmZSclNmUkxkV0JjQWJJRndCcUJQU0tWUzh5U3R5Ynp2ZUhHQWMyNWpJcEdZbjYzNkFDQ0RjQWFnVDZpcHFWa3BxYkt6ODg3U2JaV0xGaTE2Snh1MUFVQmJoRE1BZlVZeW1ieXZxM2xCRU56YnZkVUFRT2NJWndENmpNYkd4dWZOYkhYSGRqTmJVMXRiKzB4MnFnS0E5Z2huQVBxTTVjdVhOenZucG1jT2JUcm41SnlUbVQyeFlzV0twbXpYQndBaW5BSG9hMUtwMUhRemE4bThUMDgvbXQycUFPQWpoRE1BZlVwalkrTWJrcGEyR1QxN05SUUtMY3QyWFFDUVFUZ0QwS2NFUVZBbmFZRjlaRUVpa1ZpWDdib0FJSU53QnFCUFdiNThlWFA2WnJNTmtsck1iRjVOVFUxOXR1c0NnSXh3dGdzQWdPN21uUHQzK29hMC9ZSWdlRG5iOVFBQUFQUjF6dmY5Zi9pK3Y0QWpDQUJ5elphM3lnYlFLdzBaUFhwQU5PRU45OEo1d3p4bi9iTmRUN2IxeTlNSnpubDVtNXFEcDdKZFM3YWxUUFdXVEt5cVYvTUhINzd4eHRhZVB3cWdHeERPZ0Y2dWVOU29vZ0hod2w5NjhzNlNzNURKZVRKanRFaVo1MnJ5TlNqbkFpY0xaQzRWeUdiWEplc3ZYYjk4K2Nac2x3WDBWWHdyQWIzWUowYVZqbkdSeU4zT2RMaHp6b3ZtNTJ2QWdQN0t5OHZMZG1uSUlTMkpoT28yMXFtcHVWbG1GcGpUdjVXd0s5NWFYbE9aN2RxQXZvaHdCdlJTUTBhUEh0RFBGVHp2T1gwcVB6OVBYemoxWkIxNStDUU5HVktzd29MQ2JKZUhITkxZMUtnMWE5WnA3b0pYOVBDalQ2aDVjMGlMYjB6V0g4TUlHdEQ5Q0dkQUx6WHlvTEtibld4S1lXR2grL1Z0djlDUmt3NVRPQnhXNXVhclFGdG1wbVF5cWNycUduMzFHOTlVUTBPak9iTnBieTZydVN6YnRRRjlEZWVkQUwzUTBLR2wvVDNaWjUxejd0U1RUdFNoRXorbFNDUkNNRU9YbkhPS1JDSXFHemRXSjUxNGdweHpUcDQ3ZWRpdzhmMnlYUnZRMXhET2dGNm9ZRkJvVDNPdUlCSUphMnpwd1Nvc0tNaDJTZWdoOHZQek5XNXNxZkx6ODJSU0pEcEllMmE3SnFDdklad0J2VkFnTjFSbTBieElub1lQNDdjVjIyZkVzR0VxS0NpUXpFVUNTdzNKZGoxQVgwTTRBM3FoY01ncmtGUElDM2txTE9Ua2YyeWZmdjM2S1J3S1MwNmhrQmZoc0NiUXpRaG5BQUFBT1lSd0JnQUFrRU1JWndBQUFEbUVjQVlBQUpCRENHY0FBQUE1aEhBR0FBQ1FRd2huQUFBQU9ZUndCZ0FBa0VNSVp3QUFBRG1FY0FZQUFKQkRDR2NBQUFBNWhIQUdBQUNRUXdobkFBQUFPWVJ3QnFCSE1iTnQ2bGRUVTZNWFhuaGh0OWNEQUxzYTRReEFqeEVFZ2I3M3ZlL3BqanZ1VUJBRVVqcXMvZjczdjllOGVmUGE5WjArZmJwdXVPR0dkbTFyMTY3VkxiZmNvcWFtcG5idHlXUlNOOXh3ZytiTW1kTzYzcTRzWExoUTU1NTdydWJNbWJQTDlnc0EyaUtjQWVneG5ITWFQbnk0N3J2dlBsMTk5ZFZxYkd4VUlwSFF2Ly85YjExMTFWV3FxS2pvY3Rsa01xbnJycnRPRHozMGtQNzFyMysxbTdkbXpScTkrKzY3dXZMS0szWGFhYWRwK3ZUcGFtaG9hTmRuL2ZyMW1qcDFxaTY4OEVKdDJyUkpvVkJvdCswbmdMNk5jQWFneDNETzZmTExMOWNWVjF5aE9YUG02QnZmK0lZOHo5T3R0OTZxUGZmY1UxZGRkWldXTFZ1MnhYSm1wcC84NUNlS3grT2FQSG15L3V1Ly9xdmQvQkVqUnVqdXUrL1dndzgrcUxGangrcTIyMjdUaVNlZXFOdHV1MDJ2di82NjdyNzdicDF5eWluNjI5Lytwa3N2dlZTUFBQS0lEai84OEc3Y2N3QjlTVGpiQlFEQTlqci8vUE1WalVZVkRvY1ZEb2RWVkZTazIyKy9YUmRjY0lGZWZQRkZqUjQ5dWwzL21wb2FQZjMwMHpyLy9QUDF0YTk5cmN2MUhuVFFRWm82ZGFxKzlhMXY2VGUvK1kwZWVPQUJQZkRBQTVLa2lSTW42dWMvLzdrR0RScTAyL2NQUU45R09BUFFveVNUU1lYRFlaMTExbG50Mmt0S1N2VGtrMDlxOE9EQld5d3pZY0lFUGZqZ2cxdUV0bzdNVFBQbno5Zmpqeit1Zi83em55b3FLdEl4eHh5akYxOThVUXNXTE5CVlYxMmxMMy81eXpybW1HUGtlUng0QUxCN0VNNEE5QmlQUGZhWUhubmtFZjM4NXo5WFNVbEphL3ZuUC85NTFkYld0dXViU0NTVVNxVjB4QkZIYkxHZUo1OThVa09IRHBVa3BWSXBWVlZWNmZubm45Y0xMN3lnMWF0WGE5OTk5OVdVS1ZOMHlpbW5LQnFOcXFHaFFUTm56dFQ5OTkrdjczem5POXA3NzcxMTNubm42WlJUVGxGQlFVRTM3RG1Bdm9Sd0JxREhLQ2twMGVyVnEvV2xMMzFKTjl4d2c0NDk5bGhKVW1Oam93NDQ0QUFkZmZUUlcxMSs4ZUxGZXVHRkY5cGRrZm5FRTAvb1p6LzdtY0xoc0k0NjZpaDkvL3ZmMTJHSEhTYlA4eFNQeC9Yc3M4OXE4dVRKdXZEQ0MzWDIyV2Zya1VjZTBmMzMzNitiYnJwSnI3MzJtbjd3Z3gvczl2MEcwTGNRemdEMEdPWGw1ZnJESC82Z2IzN3ptL3IydDcrdDMvM3VkNHJGWXBLa2d3OCtXRi81eWxlMnV2d1RUenl4eGIzUFRqNzVaRFUzTit2RUUwOVVjWEZ4dTNtdnYvNjZaczZjcVM5Lytjc2FPSENnQ2dvS2RQNzU1K3Vzczg3U1k0ODlwbU9PT1dZMzdDV0F2bzV3QnFCSEtTa3AwUi8vK0VjOS92ampyY0ZNa3BxYW1yUjI3ZHF0TGx0Zlg3OUZXMzUrdnM0Nzc3enRxaUVhalc3M01nQ3dyUWhuQUhxY0lVT0c2T3RmLzNxN3RsbXpabW5XckZuYnRaN0hIMzljdDl4eVM1ZnpVNm1VSk9uTU04L3Nzcy9CQngrc2UrKzlkN3UyQ3dCYlF6Z0QwT01zV0xCQVE0Y09iWGRSd0ZGSEhiWEZGWndkdmZ6eXkzcm9vWWRhMzQ4Yk4wNlhYMzU1bC8ycnFxcjA3TFBQNm9JTEx0REFnUU03N2RQWjFhRUFzRE1JWndCNm5IdnV1VWR2dlBHR25udnVPVG5ucFBTTlpEL3V4ckNyVjY5dTkvNkFBdzdRQVFjYzBQcCswNlpOK3ZEREQ3WHZ2dnRLa2tLaGtKNTk5bG1kZE5KSjJtdXZ2ZFRTMHFLOHZMemRzazhBa0VFNEE5Q2p0TFMwYVBIaXhUcmlpQ05hZzVra3ZmWFdXM3I2NmFlM3V1ekNoUXU3bkxkNjlXcGRmdm5scXEydDFXT1BQYWIrL2Z1M20yOW1yYU5zMTF4empmYmZmLytkM2hjQTZBemhERUNQc21qUklyVzB0R2ppeEludDJ1Zk5tN2ZGdzgrMzFkS2xTM1hsbFZjcW1VenE1ei8vK1JiQlRPbEhSMTEwMFVYNjZVOS9xblBPT1Vkbm4zMjJMcm5rRWhVV0Z1N3d2Z0JBWndobkFIcVUrZlBuUytuSEtiVjE1cGxuNnR2Zi92WldsNTAxYTVhbVRwM2FybTNHakJtNi9mYmJWVkpTb2x0dnZWVjc3YlZYbDh0UG5EaFJEei84c0g3em05OW8rdlRwZXU2NTUzVGRkZGZwMDUvKzlFN3RFd0MweGZOSEFQUW9jK2JNMGVEQmc3YzRyT2ljYTMzV1psZC95V1JTa2xvZnZUUnQyalRkZlBQTk91bWtrL1NuUC8xcGkyRFcwTkRRdXU2TWFEU3FLVk9tNkE5LytJUDY5ZXVuNjYrL1hoOTg4RUUzN0RtQXZvS1JNd0E5eHRxMWEvWHFxNi9xTTUvNXpEYjFuekZqaGhZdVhLajgvSHlabWViTW1hUDgvUHpXS3l6UFBmZGNqUjQ5V3NjZGQxenJNbmZlZWFjU2lZU2NjM3I2NmFjVkRvZi9QM3QzSGg1VmViQi8vSDdPekdRbEVEWUIyYUpGRVJSaGlKWnF4YlZxUmFRdXFOVldmZFcyK2l1K3IxYXd2SzFXdTcvYWF0R0tPN1ZvQWRHNlFLV29WRkZzRVpWQ1FsZ0NHQUZMWkRFQkF5SEpaSmJ6L1A0Z2lRa2tFRmx5VG1hK24rdmljdVk1ejV5NVQ2ODYzSjUxcjV2VHF1NUt6eGt6Wm1qdDJyVTY0b2dqRHVGV0FraDFsRE1BN1VabFphVysvdld2NjVSVFRtblYvUHBITU1YamNTVVNDZVhtNXVyMjIyOVhNTGo3cDY5VHAwNU5pcGtrZmZUUlIzcnZ2ZmNhbG84ZlAxN3A2ZW5Ocmo4VUN1bjQ0NDgvNk8wQ2dNWW9ad0RhamFPT09rcC8vT01mOXhxZlAzOStzL092dU9LSy9kNzdiRThQUC95d1hOZVZ0VmFCUU9DQXN3TEFnYUtjQWNBZTZzOUpBd0F2OEFzRUFBRGdJNVF6QUFBQUg2R2NBUUFBK0FqbERBQUF3RWNvWndBQUFENUNPUU1BQVBBUnloa0FBSUNQVU00QUFBQjhoSElHQUFEZ0k1UXpBQUFBSDZHY0FRQUErQWpsREVoQ3hyWFZ4aXJ1dWxhUlNNVHJPR2huSXBHSUVtNUNraExHdGRWZTV3RlNEZVVNU0VLMThkZ1dHVk1UaThWVVZsN3VkUnkwTTJYbDJ4U0oxRXBTdERZZTIrSjFIaURWVU02QUpMUnAzYW90VnJZcUZvdXBlTTFIaXRUV2VoMEo3VVFzRnRQcXRSL3QzdU5xYldUVHVsV1VNNkNOVWM2QTVCUTExczYxMXVybFdhL3E0L1Vidk02RGRtTHpscTE2OGVYWnN0WkswaXhKVWE4ekFhbkdlQjBBd09IUmZmRGdEdGsyOUs2UkNYZnVuS3RMTGhxdGs0WVBVN2R1WFpXVm1lbDFQUGhJZFUyTnlzdkx0WFJaa1Y2ZVBVZmJ0Mzh1YTFXMHk5YWNWcjVtVGFYWCtZQlVRemtEa2xpZlkwNGNFUXlZUnlTRmpURk9WbWFtY25OemxaR1I3blUwK0Vna0V0SG5GVHRVVTFNanUzdVgyZEtFYTMrMGNXM1JQNzNPQnFRaXlobVE1UHIxRzlMWnlYUWVONDY1d3Vzc2ZtR3RiZmp4czVLTTRhZXduclgyVlVYTXRSczJGRlo0blFWSVZmd2lBU21pODlGSGQrb1l5RHBTanRQTFdLZWoxM204bEI1UVhucElWemlPQ2RYVTJ1bTFDYVgwU1htdVRld3lzcC91aU8zYVhMRmhBNlVNOEJqbERFREtDWWZEWnhoalpscHJNeVJkWEZCUXNNRHJUQUJRajZzMUFRQUFmSVJ5QmdBQTRDT1VNd0FBQUIraG5BRUFBUGdJNVF3QUFNQkhLR2NBQUFBK1Fqa0RBQUR3RWNvWkFBQ0FqMURPQUFBQWZJUnlCZ0FBNENPVU13QUFBQitobkFFQUFQZ0k1UXdBQU1CSEtHY0FBQUErUWprREFBRHdFY29aQUFDQWoxRE9BQUFBZklSeUJnQUE0Q09VTXdBQUFCK2huQUVBQVBnSTVRd0FBTUJIS0djQUFBQStRamtEQUFEd0Vjb1pBQUNBajFET0FBQUFmSVJ5QmdBQTRDT1VNd0FBQUIraG5BRUFBSG9vVDdnQUFDQUFTVVJCVlBnSTVRd0FBTUJIS0djQUFBQStFdlE2QUFBY1R2bjUrVm11NjNadlBHYU02V210RFJoakhFazl3K0Z3LzhiTEU0bEVlVkZSVVZXYmh3VUF5aG1BWkJlUHh3Y0dBb0dsZTQ0YlkrcGZ6bXowV3BMa09NNVhKUzF1bzRnQTBBU0hOUUVrdFdYTGxoVlphNWUzZHI2MXRyaXdzSEN2TWdjQWJZVnlCaURaSmF5MTA3UzdlTWxhdTllRXh1UFcyaGNrSmRvK0pnRHNSamtEa1BSYzE1MHRhV2NycHU2TXgrTnoyaUFTQUxTSWNnWWc2VG1PczFYU3NqM1BMV3VzYnRteVJDTHhhVnRtQTRBOVVjNEFKTDNDd3NKS1NlOWJhMTNWSGNhczEraHdwcFgwZm5GeGNibDNTUUdBY2dZZ05TU3N0UjlJMnJHUE9kVjFjMkp0bUFzQTlrSTVBNUFTRW9uRUI1TEs2dC92ZVhHQU1XWm5MQmI3MEt0OEFGQ1BjZ1lnSlJRVkZaVktXdHJjZVdkMVkwdFhyRml4MFl0c0FOQVk1UXhBeW9qSDQ4KzJ0TXgxM1NsdG13WUFta2M1QTVBeWFtcHE1bHRydCs0NWJxMHRxNmlvZU4yYlZBRFFGT1VNUU1vb0tTbXBOY1k4VjM5bzB4Z2pZNHlzdGE5czJMQWg0blUrQUJEbERFQ3FTU1FTejFscm8vWHY2MTYvNkcwcUFQZ0M1UXhBU3FtcHFWa25xYmpSM3JQVmdVQmdqZGU1QUtBZTVReEFTbkZkdDFMU1l2dUZ4YkZZYkp2WHVRQ2dIdVVNUUVvcEtTbXByYnZaYkxXa3FMWDJnNktpb2lxdmN3RkF2YURYQVFDZ3JSbGozcXU3SVcyMjY3cUx2TTREQUFDUTZrdzRISDR6SEE0djVnZ0NBTC9aKzFiWkFKSlRuejZaL1FNNXViSDBZS2MwRzhqd09vN1hPbVRxWW1OTWVtVzFmZDdyTEo0emlZaXRqZStJeFhiczJMUnBVN1hYY1lCVVJ6a0RrdHlSUitabnBYV0kzaVRIT2M5SU9WYW1nMlRUdmM3bEE0RzZmeVk4enVFREptcGtLNjFVS1dsQmRHZndqNXMyTGFHa0FSNmhuQUZKck11QUFSMDdocktma1RVWEdkTlFSb0FXV1d0ZEdmMHRtcWo1L3FhMWE4dTl6Z09rSXNvWmtLd0dERWp2SDh5ZTRSaHphVEFZMFBCaFF4VWVPa1JINWZWWGJxZGNyOVBCUjNidTNLbVAxNjlYMFlwVldyeWtRUEY0WEs2MWN6Nko3TGhjUERrQmFITmNyUWtrcWY2aER0OHpWdDlLVDB2VHJiZmNyRytOdmtBOWUvUlEvYzFYZ2Nhc3RmcXNyRnl2emZ1SDdyMy9JZFhXUmkvb245WnAzQ2ZTQTE1bkExSU5oem1BSkpTWGw1ZmhCTk9mTU1iMHZQQ2I1K25XVzI1VzF5NWRLR1pva1RGR0hiS3pkZXd4QS9UeCt2VXErWGlkWXh4elhHNkhqTWNyS2lyaVh1Y0RVZ21Ya0FOSktCcm8wRjNHWkFRQ0FRMGJlb0p5T25Ud09oTGFpYXpNVEEwZk5sU2hZRkRXS2hRTGR1em1kU1lnMVZET2dDUVVTbk82U3pZalBTMU52WHIwOERvTzJwbGVQWHNvTXpOVFJncUZUSnh5QnJReHlobVFoSXgxT2xvcEZBZ0cxS2xUSjYvam9KM3BuSnVydExRMFdhT2dBbWxjUFFLME1jb1pBQUNBajFET0FBQUFmSVJ5QmdBQTRDT1VNd0FBQUIraG5BRUFBUGdJNVF3QUFNQkhLR2NBQUFBK1Fqa0RBQUR3RWNvWkFBQ0FqMURPQUFBQWZJUnlCZ0FBNENPVU13QUFBQitobkFFQUFQZ0k1UXhBMHRteVpZdlhFUURnZ0FXOURnQUFCeU1lajZ1MHRGVEJZRkI5K3ZUUnJsMjdOSGJzV0YxKytlVzY5ZFpiVzdXT1NDU2k0dUxpTC9XOTNidDNWNTgrZlE0d05RQzBqSElHb04xNCsrMjN0WHo1Y3BXVmxXbno1czNhdkhtelB2dnNNN211cTdQT09rdjMzMysvNXN5Wm81cWFHbzBaTTZiVjZ5MHRMZFgzdnZjOW5YRENDVXBMUzl2di9KS1NFbjNqRzkvUW5YZmVlWkJiQkFCN281d0JhRGRXclZxbGVmUG1xV2ZQbnRxd1lZTzZkZXVtRzIrOFVYMzc5dFZSUngybGVEeXVhZE9tcVcvZnZscTdkcTNXcmwzYjdIcU9PT0lJaGNQaHZjYlBPdXNzZGVyVWFiODVubi8rK1VPeVBRRFFITW9aZ0haajNMaHhHamR1bkNUcGxsdHVVVzV1cmk2OTlOS0c1WC83MjkrMGVmTm1TZEpQZi9yVEZ0ZHp4aGxuTkZ2T0FNQVBLR2NBa2tKdGJhMmVlT0lKblg3NjZmcjk3Mzh2U1hybm5YYzBZTUNBaG5QRDNubm5IVTJjT0ZFbm5IQkNzK3Q0OTkxM1czVllzNnlzN0JDbkI0QXZVTTRBdEJzTEZ5NVVUVTJOSkduYnRtMktSQ0o2ODgwM0pVa3JWcXpRWjU5OXBvY2ZmbGpCWUZEeGVGd1RKMDdVK1BIamRmWFZWMHQxaHlPenNySTBkdXpZWnRjL2R1eFlkZTNhZGI4NUhuMzAwVU82WFFEUUdPVU1RTHN4YWRLa2hzT1d0YlcxY2h5bjRTckxEaDA2Nk1vcnI5VFJSeC9kN0dkTFMwdTFmUGx5WFgzMTFlcllzYU1pa1loZWVPR0ZobldkZmZiWjJyeDVzOHJMeS9lYlk4Q0FBUW9FQW5yMjJXY2xTVU9IRHRYUW9VTVA0WllDU0dXVU13RHR4b3N2dmlqVjNmcmkvUFBQMThpUkkvWHJYLzlhcWp2VW1KV1YxZUpuKy9UcG8zLzg0eDh5eGtpU0hNZFJibTV1dy9JZVBYcTBPa2ZqejBsU1JrYkdsOTRXQUdnSjVReEF1ek4zN2x6dDJyVkw1ZVhsZXY3NTUzWGxsVmVxZS9mdWlzZmordDczdnFmdmZPYzdHamx5Wk1QODFhdFg2OTU3NzlXdmYvM3JodlBQMHRMU0dtNjM4YTkvL2F1aDVMWFd5U2VmckYvOTZsZUhlTXNBZ0hJR29CMzY2MS8vS3RYdExYdnd3UWRWV2xxcThlUEg2OTEzMzFWQlFZRysrOTN2TnBuZnExY3ZmZnp4eDNyZ2dRYzBhZEtrdmRZWGlVUlVVVkdoMmJObk54bWZObTJhM24zM1hUMzU1Sk5OeGg5NzdMRldIZjRFZ0FOQk9RUFFyaXhjdUZBZmZmU1IrdlRwbzBHREJ1bTIyMjdUK1BIak5YandZTDMrK3V2cTNMbXpUanZ0dENhZjZkU3BrNjY2NmlyOTZVOS8wcElsUzVTZm43L1hldVB4dU82Ly8vNG1ZK3ZXcmRQMjdkdjNHbCs3ZHEzNjl1MTdtTFlRUUtxam5BRm9ONkxScUg3M3U5L3BHOS80aG5idDJpVkpHamx5cEo1NDRnbjE2dFZMZDk5OXQ3Nzk3VzgzWEszWjJEWFhYS1BubjM5ZWt5ZFAxcC8vL09lOTFoMElCQnF1NnF6M3Q3LzlUUjkrK09GZTQ5T25UMWNrRWprczJ3Z0FQUGdjUUxzeGRlcFVmZnJwcDdyaGhodWFqSWZEWVQzLy9QTnlYVmVYWFhaWnM1L055Y25SMkxGalZWUlVwRVdMRnUyMTNCaWpvNDQ2cXNtZjNOeGNCWVBCdmNZN2R1eDQyTFlSQU5oekJxRGRtRDkvdnE2ODhrb2RlK3l4VGNhcnFxcjA4c3N2YStUSWtjckx5MnZ4ODFkZmZiVm16SmloS1ZPbTZKUlRUbWtZRHdRQ01zYm84c3N2YnpLL3VycGEwV2gwci9IYTJsb05Iejc4a0cwWEFEUkdPUVBRYnZ6UC8veVBoZzBidHRmNGdnVUx0R3ZYTGwxenpUWDcvSHpYcmwwMWV2Um92ZmZlZTlxK2ZiczZkKzZzbXBvYWpSZ3hRbSs5OWRaZTg1OSsrbW05OWRaYm1qNTllclBycTY2dVZpZ1VVaWdVT29pdEFvQ21LR2NBMm8xVFR6MjEyZkZSbzBacDhPREJUZmFhN1huT1diMWJiNzFWRXlkT1ZEQVkxSll0VzFvOERGcS9qbmc4cm5QUFBiZkZPVGZlZU9OZWgxa0I0R0JRemdBa2hieThQRVdqVVQzNTVKUHEyTEdqMXE5ZkwwbnEzcjE3azNrZE9uU1FKRmxyMWJselo4MmZQNy9GZFU2Wk1rVnZ2dm1tWnM2Y3VjL3Zqc2ZqQ2diNU9RVndhUEJyQWlCcHBLV2w2YVdYWHRMT25Uc1ZDQVIwMm1tbjZZd3p6bWgyYm1GaG9iNzN2ZSsxYXIwdDdiR3JkOFVWVjJqaXhJa0hsQmtBOWtRNUE5QXVUWjQ4dWRueHQ5OStXL0Y0WEk3anlIRmF2aUE5SEE1cnlaSWxoekVoQUJ3WXlobUFwTU1oUmdEdEdmYzVBd0FBOEJIS0dRQUFnSTlRemdBQUFIeUVjZ1lBQU9BamxETUFBQUFmb1p3QkFBRDRDT1VNQUFEQVJ5aG5BQUFBUGtJNUF3QUE4QkhLR1FBQWdJOVF6Z0FBQUh5RWNnWUFBT0FqbERNZ0dTV2lGVVltbWtna1ZGbFo2WFVhdERPVmxaV0t4V015Vm5FbG9oVmU1d0ZTRGVVTVNFSlZNVzJ4MXRiRVlqR1ZsVy96T2c3YW1iTHliYXFOMU1wSzBhcVl0bmlkQjBnMWxETWdDWlZ0V1BXWnBLcFlMSzVseTFlcXVycmE2MGhvSjJxalVTMWZ1VXFSMmxwSk5sTDMveVVBYlloeUJpUW5WOVpPc1ZhSnY3LytodWE5OWJZK3I2aVF0ZGJyWFBBcGE2MHFkdXpRTysvK1MzLzcrK3V5VmdsWis3QWsxK3RzUUtveFhnY0FjSGprNWVWbDJJeU9yenJHK1VhSER0azY1YXNuYThnSmc5Vy9YMTkxek1ueE9oNThaT2ZPU24yeWNhTldybHF0OTk3L1VKVzdkc2xhKzNaODE3WUxTMHRMYTd6T0I2UWF5aG1ReExybkRlNlpuUkY2VnRJNXhoakhNVWFCWUZERzhLOCt2bUN0cTNnOElXdXRyTFd1cERkcmE2TS8yTHkrK0JPdnN3R3BpRjlvSU1sMTZ6WXdKNnRieG84Y21mTWxaUnRqczZ3MUlhOXplY2xhSzJOMi8vNVpLNXZxWmRVWXhheFVKYXRxSy9lZDZtM3gveXNyVzdYTDYxeEFxa3J0WHlRZ2hSeDVaSDZXTW11N09rRjFEaWFjTEsvemVDazl6UXpJQ0prYmpYR0NOZEhFRTdWUlcrSjFKaS9GbkVTTlRaanRpVjFsMjdkdTNWcmxkUjRnMVFXOURnQ2diV3phdEtSYVVyV2tqVjVuOFZvNEhFNDN4aHhucmMzSVNuYzJybGxWOEw3WG1RQ2dIbGRyQWdBQStBamxEQUFBd0Vjb1p3QUFBRDVDT1FNQUFQQVJ5aGtBQUlDUFVNNEFBQUI4aEhJR0FBRGdJNVF6QUFBQUg2R2NBUUFBK0FqbERBQUF3RWNvWndBQUFENUNPUU1BQVBBUnloa0FBSUNQVU00QUFBQjhoSElHQUFEZ0k1UXpBQUFBSDZHY0FRQUErQWpsREFBQXdFY29ad0FBQUQ1Q09RTUFBUEFSeWhrQUFJQ1BVTTRBQUFCOGhISUdBQURnSTVRekFBQUFINkdjQVFBQStBamxEQUFBd0Vjb1p3QUFBRDVDT1FNQUFQQVJ5aGtBQUlDUFVNNEFBQUI4Sk9oMUFBQTRuUEx6ODdOYzErM2VlTXdZMDlOYUd6REdPSko2aHNQaC9vMlhKeEtKOHFLaW9xbzJEd3NBbERNQXlTNGVqdzhNQkFKTDl4dzN4dFMvbk5ub3RTVEpjWnl2U2xyY1JoRUJvQWtPYXdKSWFzdVdMU3V5MWk1djdYeHJiWEZoWWVGZVpRNEEyZ3JsREVDeVMxaHJwMmwzOFpLMWRxOEpqY2V0dFM5SVNyUjlUQURZalhJR0lPbTVyanRiMHM1V1ROMFpqOGZudEVFa0FHZ1I1UXhBMG5NY1o2dWtaWHVlVzlaWTNiSmxpVVRpMDdiTUJnQjdvcHdCU0hxRmhZV1ZrdDYzMXJxcU80eFpyOUhoVEN2cC9lTGk0bkx2a2dJQTVReEFha2hZYXorUXRHTWZjNnJyNXNUYU1CY0E3SVZ5QmlBbEpCS0pEeVNWMWIvZjgrSUFZOHpPV0N6Mm9WZjVBS0FlNVF4QVNpZ3FLaXFWdExTNTg4N3F4cGF1V0xGaW94ZlpBS0F4eWhtQWxCR1B4NTl0YVpucnVsUGFOZzBBTkk5eUJpQmwxTlRVekxmV2J0MXozRnBiVmxGUjhibzNxUUNnS2NvWmdKUlJVbEpTYTR4NXJ2N1FwakZHeGhoWmExL1pzR0ZEeE90OEFDREtHWUJVazBna25yUFdSdXZmMTcxKzBkdFVBUEFGeWhtQWxGSlRVN05PVW5HanZXZXJBNEhBR3E5ekFVQTl5aG1BbE9LNmJxV2t4ZllMaTJPeDJEYXZjd0ZBUGNvWmdKUlNVbEpTVzNlejJXcEpVV3Z0QjBWRlJWVmU1d0tBZWtHdkF3QkFXelBHdkZkM1E5cHMxM1VYZVowSEFBQWcxWmx3T1B4bU9CeGV6QkVFQUg2ejk2MnlBU1NOYmdNSDVtVEVuSjVPTUsySFkyd0hyL1A0U1hhYXpqZkdTZHRWNjc3cWRSWXZKS3lxYkR5MnBVcTFuMzIrYnQyK25qa0tvSTFSem9BazFHWEFnSTQ1d2F6N0hUbFh5TmlBbFhGa0xYdUltcWgvcm1hSy9nd2E0eHBaVjlZa1hOazVsZkdxSDI0dktkbnBkU3dBS2Z1ckJDU3ZmZ01HSDI5Q29jZU4xYW5HR0NjalBWMDVPUjJVbHBibWRUVDRTRFFXVStYT1NrVnFhMld0ZGEzUmU0clpXejhwS1ZycWRUWWcxVkhPZ0NUU2JlREFuR3lUT2Q4eE9pazlQVTJYZmVzaW5YYnFLZXJXcll1eU1yTzhqZ2NmcVluVXFLeHNtOTVmL0c4OS8rSXJxdDFkMGdwMnhxdk9aQThhNEMzS0daQkUraDgzN1BkR2RueFdWcGFaUE9rK25YYksxeFFNQmxWL3cxV2dNV3V0NHZHNGxpNHIwZzAzM2FMcTZocHJySDFzL1pxaWNWNW5BMUlaNTZBQVNhSjc5OEVkSE5sdkdtUE10MFpmb0JFbm42UlFLRVF4UTR1TU1RcUZRaG8yNUFTTnZ1QjhHV09NSEhOUmp4NG5abnVkRFVobGxETWdTV1RtQm82d3htU0dRa0dkTUhpUXNqSXp2WTZFZGlJOVBWMURUaGlzOVBRMFdTbVVrYXNqdk00RXBETEtHWkFrWEpudXNqWWpMWlNtbmozNHV4VmZUcThlUFpTWm1TbFpFM0p0b3B2WGVZQlVSamtEa2tRdzRHVEtLT0FFSEdWbGNmSS92cHpzN0d3RkEwSEpLQkJ3UWh6V0JEeEVPUU1BQVBBUnloa0FBSUNQVU00QUFBQjhoSElHQUFEZ0k1UXpBQUFBSDZHY0FRQUErQWpsREFBQXdFY29ad0FBQUQ1Q09RTUFBUEFSeWhrQUFJQ1BVTTRBQUFCOGhISUdBQURnSTVRekFBQUFINkdjQVVoWnYvakZMN1Jnd1lKV3pYM2trVWMwWThhTXc1NEpBSUplQndDQS9Zbkg0L3VkWTR4UlpXV2x5c3ZMbTEzZXExY3ZaV2RuTnhtYlAzKysrdlhycHpQT09HTy82MSswYUpGNjllcWxxNisrK2tza0I0QXZqM0lHd05mV3JGblRxa0xVcFVzWFhYLzk5WHJnZ1FlYVhYNy8vZmRyNU1pUmV2bmxsM1hlZWVjcE56ZTN5Zks1YytmcXFLT08wcUJCZ3pSdjNqejE3ZHRYZ3dZTk9tVGJBUUN0UlRrRDRHdjkrdlhUbENsVEd0Ny80QWMvMEk5Ly9HTjk5TkZIV3I1OHVYNzg0eDlMa2tLaGtQcjA2YU92ZnZXclRUNWZYVjJ0NjYrL1hwTGtPSTZtVEptaWFEU3E3MzczdXcxem90R283cjMzWGwxMTFWVTY3cmpqOU1JTEw2aTR1RmkvK3RXdmRQYlpaN2ZadGdLQUtHY0EvQzR6TTFQaGNMakoySUFCQTdScjF5NnRYNzkrcjJWNzdoR3JyS3hzZU8wNGpzNDU1eHk5OHNvclRjclpva1dMVkZWVnBkR2pSOHNZbzhtVEordWVlKzdSSFhmY29YSGp4dW1HRzI0NGJOc0hBSHVpbkFId3ZRMGJObWpyMXEyU0pHdXRpb3VMdFhIalJsVldWdXFERHo2UUpQWHUzVnQ5K3ZUWjc3ck9PZWNjdmZEQ0MxcStmSG5EMkp3NWN4UU9oOVczYjE5SlVrWkdodjd2Ly81UEhUdDIxR2VmZlhiWXRnc0Fta001QStCNzA2ZFAxNnhaczVTV2xpWnJyU1pQbnF4RUlxRkVJcUhiYjc5ZHRiVzErdjczdjYrYmJycHB2K3NLaDhNYU1tU0lvdEdvVkZmMk5tN2NxR3V2dmJiSlBNZHhkT2VkZDdicVlnUUFPSlM0bFFhQWR1SE1NOC9Vd29VTFpZelJvNDgrcXB0dnZsbmhjRmdMRnk3VWlTZWUyT3IxQkFJQlRaMDZWZm41K1ZMZFZaN1BQZmVjemovL2ZFbFNMQmJUQ3krODBGREtna0grR3haQTIrSlhCMEM3c1d2WExsbHI5N29sUnIzeTh2SW01NUtwYnM5WXZTMWJ0dWl5eXk1cmVCK0pSUFQ0NDQ4M1hIQncyV1dYNmR4eno5VkREejJrVjE1NVJiLzk3VzkxMUZGSEhiYnRBWURtVU00QXRCdXJWNitXSlBYbzBVUEdHRVVpa1NiTEU0bUV5c3JLZE9tbGx6YWNQeGFOUnZYWVk0OUpranAxNnFTNzc3NWJrclI4K1hJOTk5eHpPdWVjY3hydWM5YXZYejhOR2pSSTA2ZFAxNFFKRTNUTk5kZm9ONy81VGF2dWd3WUFod3JsREVDNzhmTExMK3ZvbzQ5V3g0NGRkZVNSUjJyVnFsVzY3TExMdEdYTEZvMFlNYUpoM2plKzhZMkc5NGxFUWlOSGpsVHYzcjJWbVpuWmNQaHk3dHk1a3FTK2ZmdnFpQ09PYUhMVloxNWVucDU1NWhuOTVqZS8wWkZISHRubTJ3a2d0VkhPQUxRTGE5ZXVWV2xwcWNhUEh5OUpPdmZjYzVXVGs2UFBQLzljVHozMVZJdWZDd1FDR2pod1lKT3hUejc1UklzV0xWSWdFTkNDQlFzMGRlcFVQZmpnZ3pybGxGTWE1bVJuWit1M3YvMnRWUGVFZ25nOHJ1M2J0MnZ1M0xuYXZIbXordmJ0cS9QT08rK3diUytBMUVVNUE5QXVISHZzc1Jvelpvd3V2L3h5cWU1RS92b3k5ZUtMTDM2cGRVMlpNa1VqUjQ3VXYvLzliNTEvL3ZrcUt5dlRoQWtUOU1namorZy8vL21QUHY3NFkyM1pza1ZidDI3VjVzMmJ0VzNidG9aejExYXVYS21lUFh0cXpKZ3hoMkVyQVlCeUJxQ2QyTHg1czBhT0hLblhYbnR0cjJYYnQyL2Y1MmZqOGJoV3JseXBvVU9INnQxMzM5WGN1WE0xZGVwVS9mdmYvNVlralI4L1h2RjRYSm1abVhyNzdiZFZWbGFtbmoxN2FzaVFJVHJ2dlBQVXMyZFBUWjQ4V1hsNWVYcmdnUWRrakRsczJ3a0FsRE1BN2NKLy92TWYvZVV2ZjJsMldWbFoyVDQvVzFGUm9SdHV1RUYzM1hXWEhudnNNWjE5OXRrYU1tUkl3L0pBSUtDZi92U25rcVJKa3lZMXU0Nm5uMzVhZ1VDQVlnYmdzS09jQVdnWFJvd1lvZC8vL3ZmTkx0dmY0NVhxeTF0T1RvNnN0UTNQNHdRQVA2S2NBV2dYYW10ckd4N2h0S2RZTENaSlNrOVBseVJWVlZVMVdiNXUzVHFwN3VrQXp6NzdyTHAzNzM3WTh3TEFnYUtjQVdnWEZpNWNxRkdqUnJXNC9MVFRUbE51YnE0NmQrNnNKNTk4VXBXVmxRcUZRb3BHby9yTFgvNmkzcjE3cTJ2WHJtMmFHUUFPQk9VTVFMdnc5YTkvWFhmZWVXZXp5eVpNbU5EdytxNjc3dEx2ZnZjNy9mS1h2NVRxcnVyczM3Ky83cm5ubmpiTENnQUhnM0lHd1BjbVRwd283ZU01bDQwdkZEanp6RE4xNXBsbnRtcTlDeFlzYUhXR2FkT210WG91QUJ3TXloa0EzK1BoNHdCU2llTjFBQUFBQUh5QmNnWUFBT0FqbERNQUFBQWZvWndCQUFENENPVU1BQURBUnlobkFBQUFQa0k1QXdBQThCSEtHUUFBZ0k5UXpnQUFBSHlFY2dZQUFPQWpsRE1BQUFBZm9ad0JTY0s0dHRwWXhWM1hLaEtKZUIwSDdVd2tFbEhDVFVoU3dyaTIydXM4UUNxam5BRkpvalllMnlKamFtS3htTXJLeTcyT2czYW1ySHliSXBGYVNZcld4bU5idk00RHBETEtHWkFrTnExYnRjWEtWc1ZpTVJXditVaVIybHF2STZHZGlNVmlXcjMybzkxN1hLMk5iRnEzaW5JR2VJaHlCaVNQcUxGMnJyVldMODk2VlIrdjMrQjFIclFUbTdkczFZc3Z6NWExVnBKbVNZcDZuUWxJWmNickFBQU9uZTZEQjNmSXRxRjNqVXk0YytkY1hYTFJhSjAwZkppNmRldXFyTXhNcitQQlI2cHJhbFJlWHE2bHk0cjA4dXc1MnI3OWMxbXJvbDIyNXJUeU5Xc3F2YzRIcERMS0daQmsraHh6NG9oZ3dEd2lLV3lNY2JJeU01V2JtNnVNakhTdm84RkhJcEdJUHEvWW9acWFHdG5kdTh5V0psejdvNDFyaS83cGRUWWcxVkhPZ0NUVXI5K1F6azZtODdoeHpCVmVaL0VMYTIzREQ1NlZaQXcvZi9Xc3RhOHFZcTdkc0tHd3d1c3NBQ2huUUZMcmZQVFJuVG9Hc282VTQvUXkxdW5vZFI0dnBRZVVseDdTRlk1alFqVzFkbnB0UWlsOVVwNXJFN3VNN0tjN1lyczJWMnpZUUNrRGZJUnlCaUFsaE1QaE00d3hNNjIxR1pJdUxpZ29XT0IxSmdCb0RsZHJBZ0FBK0FqbERBQUF3RWNvWndBQUFENUNPUU1BQVBBUnloa0FBSUNQVU00QUFBQjhoSElHQUFEZ0k1UXpBQUFBSDZHY0FRQUErQWpsREFBQXdFY29ad0FBQUQ1Q09RTUFBUEFSeWhrQUFJQ1BVTTRBQUFCOGhISUdBQURnSTVRekFBQUFINkdjQVFBQStBamxEQUFBd0Vjb1p3QUFBRDVDT1FNQUFQQVJ5aGtBQUlDUFVNNEFBQUI4aEhJR0FBRGdJNVF6QUFBQUg2R2NBUUFBK0FqbERBQUF3RWNvWndBQUFENUNPUU1BQVBBUnloa0FBSUNQVU00QUFBQjhKT2gxQUFBNDFQTHo4N05jMSszZWVNd1kwOU5hR3pER09KSjZoc1BoL28yWEp4S0o4cUtpb3FvMkR3c0FlNkNjQVVnNjhYaDhZQ0FRV0xybnVER20vdVhNUnE4bFNZN2pmRlhTNGphS0NBQXQ0ckFtZ0tTemJObXlJbXZ0OHRiT3Q5WVdGeFlXN2xYbUFNQUxsRE1BeVNoaHJaMm0zY1ZMMXRxOUpqUWV0OWErSUNuUjlqRUJZRytVTXdCSnlYWGQyWkoydG1McXpuZzhQcWNOSWdGQXExRE9BQ1FseDNHMlNscTI1N2xsamRVdFc1WklKRDV0eTJ3QXNDK1VNd0JKcWJDd3NGTFMrOVphVjNXSE1lczFPcHhwSmIxZlhGeGM3bDFTQUdpS2NnWWdXU1dzdFI5STJyR1BPZFYxYzJKdG1Bc0E5b2x5QmlCcEpSS0pEeVNWMWIvZjgrSUFZOHpPV0N6Mm9WZjVBS0E1bERNQVNhdW9xS2hVMHRMbXpqdXJHMXU2WXNXS2pWNWtBNENXVU00QUpMVjRQUDVzUzh0YzE1M1N0bWtBWVA4b1p3Q1NXazFOelh4cjdkWTl4NjIxWlJVVkZhOTdrd29BV2tZNUE1RFVTa3BLYW8weHo5VWYyalRHeUJnamErMHJHelpzaUhpZER3RDJSRGtEa1BRU2ljUnoxdHBvL2Z1NjF5OTZtd29BbWtjNUE1RDBhbXBxMWtrcWJyVDNiSFVnRUZqamRTNEFhQTdsREVEU2MxMjNVdEppKzRYRnNWaHNtOWU1QUtBNWxETUFTYStrcEtTMjdtYXoxWktpMXRvUGlvcUtxcnpPQlFETkNYb2RBQURhZ2pIbXZib2IwbWE3cnJ2STZ6d0FBQUNwem9URDRUZkQ0ZkJpamhvQThMTzliNXNOSUhuMDZaUFpQNUNURzBzUGRrcXpnUXl2NDNpdFE2WXVOc2FrVjFiYjU3M080am1UaU5qYStJNVliTWVPVFpzMlZYc2RCOEFYS0dkQUVqcnl5UHlzdEE3Um0rUTQ1eGtweDhwMGtHeTYxN2w4SUZEM3o0VEhPWHpBUkkxc3BaVXFKUzJJN2d6K2NkT21KWlEwd0Fjb1owQ1M2VEpnUU1lT29leG5aTTFGeGpTVUVhQkYxbHBYUm4rTEptcSt2Mm50Mm5Ldjh3Q3BqbklHSkpNQkE5TDdCN05uT01aY0dnd0dOSHpZVUlXSER0RlJlZjJWMnluWDYzVHdrWjA3ZCtyajlldFZ0R0tWRmk4cFVEd2VsMnZ0bkU4aU95NFhUMDRBUE1YVm1rQVM2Ui9xOEQxajlhMzB0RFRkZXN2Tit0Ym9DOVN6UncvVjMzd1ZhTXhhcTgvS3l2WGF2SC9vM3ZzZlVtMXQ5SUwrYVozR2ZTSTk0SFUySUpWeHlBTklFbmw1ZVJsT01QMEpZMHpQQzc5NW5tNjk1V1oxN2RLRllvWVdHV1BVSVR0Ynh4NHpRQit2WDYrU2o5YzV4akhINVhiSWVMeWlvaUx1ZFQ0Z1ZYRTVPWkFrb29FTzNXVk1SaUFRMExDaEp5aW5Rd2V2STZHZHlNck0xUEJoUXhVS0JtV3RRckZneDI1ZVp3SlNHZVVNU0JLaE5LZTdaRFBTMDlMVXEwY1ByK09nbmVuVnM0Y3lNek5scEZESXhDbG5nSWNvWjBDU01OYnBhS1ZRSUJoUXAwNmR2STZEZHFaemJxN1MwdEprallJS3BISDFDT0FoeWhrQUFJQ1BVTTRBQUFCOGhISUdBQURnSTVRekFBQUFINkdjQVFBQStBamxEQUFBd0Vjb1p3QUFBRDVDT1FNQUFQQVJ5aGtBQUlDUFVNNEFBQUI4aEhJR0FBRGdJNVF6QUFBQUg2R2NBUUFBK0FqbERBQUF3RWVDWGdjQWdQMTU0NDAzVkZKU29wdHV1a25CNE82ZnJTVkxsc2hhMjZyUDkrclZTNzE3OTI3VjNELys4WThxTEN6VTZOR2pkZW1sbHg1VWJnQTRFSlF6QUw1WFdscXFwNTkrV29zV0xkSnZmdk1iOWUvZlh6ZmZmTE5jMTIzVjUyKzQ0UWFOR3pkdXYvT21UNSt1WjU1NVJzWVlsWldWNmZUVFQxZTNidDBPd1JZQVFPdFJ6Z0Q0M28wMzNxaGpqejFXZDkxMWw3N3puZTlvNXN5WmtxUWYvT0FIdXZycXEvZjUyVEZqeHJUcU8rYk1tYU5Ka3lZcEhBN3JSei82a2NhTkc2ZGJiNzFWVHp6eGhEcDA2SEJJdGdNQVdvTnp6Z0MwQ3lOSGp0VDA2ZFAxd3gvK1VIMzY5SkVrUlNJUlZWWlc3dk5QYXc1OVB2dnNzN3Jubm5zMGNPQkEvZUVQZjlEeHh4K3ZoeDkrV0o5ODhvbXV1KzQ2ZmZycHAyMndoUUN3RzN2T0FQaGVJcEZRSUJCUW56NTltdXdwZS9iWlovWHNzODhlOEhxcnFxcDAzMzMzNmU5Ly83dkM0YkFtVFpxa25Kd2NTZEtRSVVQMDBFTVBhY0tFQ2JyMjJtdjE4NS8vWENOSGpqd2syd01BKzBJNUErQnIvL3puUDNYZmZmZHA0c1NKZTVXamIzLzcyL3M5YlBtREgveWcyZkhDd2tMOTdHYy8wNlpObTNUSkpaZG80c1NKQ29WQ1RlYms1K2RyMnJScG1qQmhnbTY3N1RhZGUrNjVtakJoQXVlaEFUaXNLR2NBZksxZnYzN0t6YzNWYmJmZHBnc3Z2RkFUSjA1VWRuYTJKS2xidDI0YU9IRGdQajhmQ0FTYXZOK3laWXNlZnZoaHZmNzY2NUtrazA0NlNjY2RkNXhtejU3ZDRqcEdqeDZ0WjU1NVJ2LzR4eiswWU1FQ1hYVFJSYnIyMm1zYm93QU5PUUFBSUFCSlJFRlVEcThDd0tGRU9RUGdhLzM3OTlmVXFWTTFhZElrelp3NVV5TkdqTkNGRjE0b1NabzhlYkltVDU3YzZuVjkvdm5udXZ6eXkxVmRYYTFSbzBicEsxLzVpcDU2NmltdFdMRml2NS90Mjdldi92Q0hQK2pCQngvVVN5KzlwTjY5ZSt1NjY2NDdxRzBEZ09aUXpnRDRYakFZMUIxMzNLSHp6ejlmSjU1NG9sUzNSMnpVcUZFNjg4d3o5L25adSsrK3UrRjE1ODZkOVpPZi9FUjVlWGthUEhpd0pPbS8vdXUvdmxTV0tWT202SU1QUHRESko1OThRTnNDQVB0RE9RUFFidFFYTTBtNitlYWIxYmR2WDUxMTFsbE41dnp2Ly82dnpqenpUSDN6bTkrVUpNMmVQYnZoeHJXU05HclVxSVBPTVdMRWlJTmVCd0MwaEhJR29GMklSQ0lxTGk1V09CeVdKUDM5NzMvWFNTZWRwSFBPT2FmSnZBOC8vRkFEQmd4b2VMOWh3d2I5NGhlLzBNOS8vdk9HejByU3l5Ky9yQWNlZU9CTFpjakp5V2s0VncwQURoZktHWUIyWWZIaXhicnR0dHQwNTUxM05qeFdhZTNhdFpveFkwYkRuRUdEQmpXOHJxeXMxS09QUHFxLy92V3Y2dGl4bzhyS3lwcXNMeGFMS1JLSjZPYWJiMjY0d0dCZjNucnJMWldVbEJ6U2JRS0E1bERPQUxRTEN4Y3VsQ1FOSHo2OFlXejE2dFZOYmhBN2R1eFlxVzd2MmN5Wk0xVlRVNlBycnJ0TzExOS9mWXQzK2Iva2trdGFkV3VNalJzM1VzNEF0QW5LR1lCMlllSENoZXJYcjUveTh2SWF4c2FNR2FPSkV5YzJtVGRqeGd3dFg3NWNsMTU2cWE2Ly9ucDE2OVpOSzFldTFJNGRPM1RLS2FmSUdPTkJlZ0JvUFI3ZkJNRDNQdnJvSTIzYXRHbS9WMmJHNDNHcDdrSG5kOXh4UjhNZXNmbno1K3ZIUC81eHF4N2xCQUJlWTg4WkFOOTc3YlhYSkVsbm4zMzJYc3UyYjkrdTExOS9YWFBuenRYWXNXUGxPRTVEU2F1M2JOa3lEUjQ4V0k3RGY0OEM4RC9LR1FCZnM5YnFqVGZlVUxkdTNYVENDU2RJZFNmemw1ZVhhOTY4ZVhycHBaZVVucDZ1YjM3em14b3hZb1JtelpxbFdiTm1LVDA5WGNGZ1VKczNiMVpCUVlGKytNTWZOcnYrQ3k2NG9GVTVYTmR0OGJ3MUFEaVVLR2NBZk8zVFR6L1ZybDI3TkdyVXFJYnp4VDcvL0hNbEVnbDE3TmhSTjkxMGswYVBIcTJzckN4SjB1MjMzNjVmL09JWGV2VFJSMld0VlhwNnVrYU9IS2tycjd5eTJmWGZjY2NkclNwZGMrYk0wY3FWS3cveDFnSEEzaWhuQUh5dFQ1OCttamR2bnFxcnF4dkdqamppQ0UyZE9sWDkrdlZyY29OWjFkMm85cVdYWHRydmVzZU9IYXVMTDc1WTZlbnByY3B4S0c1ZUN3Q3RRVGtENEh2cDZlbDdsYWlqano3Nm9OWVpDQVQyZWlnNkFQZ0JaOGNDQUFENENPVU1BQURBUnlobkFBQUFQa0k1QXdBQThCSEtHUUFBZ0k5UXpnQUFBSHlFY2dZQUFPQWpsRE1BQUFBZm9ad0JBQUQ0Q09VTUFBREFSeWhuQUFBQVBrSTVBd0FBOEJIS0daQXNFdEVLSXhOTkpCS3FyS3owT2czYW1jcktTc1hpTVJtcnVCTFJDcS96QUttTWNnWWtpYXFZdGxocmEyS3htTXJLdDNrZEIrMU1XZmsyMVVacVphVm9WVXhidk00RHBETEtHWkFreWphcytreFNWU3dXMTdMbEsxVmRYZTExSkxRVHRkR29scTljcFVodHJTUWJxZnYvRWdDUFVNNkE1T0hLMmluV0t2SDMxOS9RdkxmZTF1Y1ZGYkxXZXAwTFBtV3RWY1dPSFhybjNYL3BiMzkvWGRZcUlXc2ZsdVI2blExSVpjYnJBQUFPbmJ5OHZBeWIwZkZWeHpqZjZOQWhXNmQ4OVdRTk9XR3crdmZycTQ0NU9WN0hnNC9zM0ZtcFR6WnUxTXBWcS9YZSt4K3FjdGN1V1d2Zmp1L2FkbUZwYVdtTjEvbUFWRVk1QTVKTTk3ekJQYk16UXM5S09zY1k0empHS0JBTXloaitkY2NYckhVVmp5ZGtyWlcxMXBYMFptMXQ5QWViMXhkLzRuVTJJTlh4YXcwa29XN2RCdVprZGN2NGtTTnp2cVJzWTJ5V3RTYmtkUzR2V1d0bHpPN2ZQR3RsVTcyc0dxT1lsYXBrVlczbHZsTzlMZjUvWldXcmRubWRDd0RsREVocVJ4NlpuNlhNMnE1T1VKMkRDU2ZMNnp4ZVNrOHpBekpDNWtaam5HQk5OUEZFYmRTV2VKM0pTekVuVVdNVFpudGlWOW4yclZ1M1ZubWRCOEFYZ2w0SEFIRDRiTnEwcEZwU3RhU05YbWZ4V2pnY1RqZkdIR2V0emNoS2R6YXVXVlh3dnRlWkFLQTVYSzBKQUFEZ0k1UXpBQUFBSDZHY0FRQUErQWpsREFBQXdFY29ad0FBQUQ1Q09RTUFBUEFSeWhrQUFJQ1BVTTRBQUFCOGhISUdBQURnSTVRekFBQUFINkdjQVFBQStBamxEQUFBd0Vjb1p3QUFBRDVDT1FNQUFQQVJ5aGtBQUlDUFVNNEFBQUI4aEhJR0FBRGdJNVF6QUFBQUg2R2NBUUFBK0FqbERBQUF3RWNvWndBQUFENUNPUU1BQVBBUnloa0FBSUNQVU00QUFBQjhoSElHQUFEZ0k1UXpBQUFBSDZHY0FRQUErQWpsREFBQXdFY29ad0FBQUQ1Q09RTUFBUENSb05jQkFPQlF5OC9QejNKZHQzdmpNV05NVDJ0dHdCampTT29aRG9mN04xNmVTQ1RLaTRxS3F0bzhMQURzZ1hJR0lPbkU0L0dCZ1VCZzZaN2p4cGo2bHpNYnZaWWtPWTd6VlVtTDJ5Z2lBTFNJdzVvQWtzNnlaY3VLckxYTFd6dmZXbHRjV0ZpNFY1a0RBQzlRemdBa280UzFkcHAyRnk5WmEvZWEwSGpjV3Z1Q3BFVGJ4d1NBdlZIT0FDUWwxM1ZuUzlyWmlxazc0L0g0bkRhSUJBQ3RRamtEa0pRY3g5a3FhZG1lNTVZMVZyZHNXU0tSK0xRdHN3SEF2bERPQUNTbHdzTENTa252VzJ0ZDFSM0dyTmZvY0thVjlINXhjWEc1ZDBrQm9DbktHWUJrbGJEV2ZpQnB4ejdtVk5mTmliVmhMZ0RZSjhvWmdLU1ZTQ1Era0ZSVy8zN1Bpd09NTVR0anNkaUhYdVVEZ09aUXpnQWtyYUtpb2xKSlM1czc3Nnh1Yk9tS0ZTczJlcEVOQUZwQ09RT1ExT0x4K0xNdExYTmRkMHJicGdHQS9hT2NBVWhxTlRVMTg2MjFXL2NjdDlhV1ZWUlV2TzVOS2dCb0dlVU1RRklyS1NtcE5jWThWMzlvMHhnalk0eXN0YTlzMkxBaDRuVStBTmdUNVF4QTBrc2tFczlaYTZQMTcrdGV2K2h0S2dCb0h1VU1RTktycWFsWko2bTQwZDZ6MVlGQVlJM1h1UUNnT1pRekFFblBkZDFLU1l2dEZ4YkhZckZ0WHVjQ2dPWlF6Z0FrdlpLU2t0cTZtODFXUzRwYWF6OG9LaXFxOGpvWEFEUW42SFVBQUdnTHhwajM2bTVJbSsyNjdpS3Y4d0FBQUtRNkV3Nkgzd3lIdzRzNWFnREF6L2ErYlRhQXBORnQ0TUNjakpqVDB3bW05WENNN2VCMUhxOWxwK2w4WTV5MFhiWHVxMTVuOFZyQ3FzckdZMXVxVlB2WjUrdlc3ZXY1b3dEYUdPVU1TRUpkQmd6b21CUE11dCtSYzRXTURWZ1pSOWF5dDBqMXo5WGtwMC9HdUViV2xUVUpWM1pPWmJ6cWg5dExTblo2SFFzQXYxQkEwdWszWVBEeEpoUjYzRmlkYW94eE10TFRsWlBUUVdscGFWNUhnNDlFWXpGVjdxeFVwTFpXMWxyWEdyMm5tTDMxazVLaXBWNW5BMUlkNVF4SUl0MEdEc3pKTnBuekhhT1QwdFBUZE5tM0x0SnBwNTZpYnQyNktDc3p5K3Q0OEpHYVNJM0t5cmJwL2NYLzF2TXZ2cUxhM1NXdFlHZTg2a3oyb0FIZW9wd0JTYVQvY2NOK2IyVEhaMlZsbWNtVDd0TnBwM3hOd1dCUTlUZGZCUnF6MWlvZWoydnBzaUxkY05NdHFxNnVzY2JheDlhdktScm5kVFlnbFhFT0NwQWt1bmNmM01HUi9hWXh4bnhyOUFVYWNmSkpDb1ZDRkRPMHlCaWpVQ2lrWVVOTzBPZ0x6cGN4eHNneEYvWG9jV0syMTltQVZFWTVBNUpFWm03Z0NHdE1aaWdVMUFtREJ5a3JNOVByU0dnbjB0UFROZVNFd1VwUFQ1T1ZRaG01T3NMclRFQXFvNXdCU2NLVjZTNXJNOUpDYWVyWmc3OWI4ZVgwNnRGRG1abVpralVoMXlhNmVaMEhTR1dVTXlCSkJBTk9wb3dDVHNCUlZoWW4vK1BMeWM3T1ZqQVFsSXdDQVNmRVlVM0FRNVF6QUFBQUg2R2NBUUFBK0FqbERBQUF3RWNvWndBQUFENUNPUU1BQVBBUnloa0FBSUNQVU00QUFBQjhoSElHQUFEZ0k1UXpBQUFBSDZHY0FRQUErQWpsREFBQXdFY29ad0FBQUQ1Q09RTUFBUEFSeWhtQWRpRVNpWHlwK1lzV0xWSlJVZEUrNSt6WXNVT2JObTJTdGJiRjc5eTBhWk5xYW1xKzFIY0R3TUdnbkFId3ZVY2VlVVEzM25pamFtdHJXLzJaMy8vKzk1bzZkV3FMeTZ1cnEzWFZWVmZwN3J2dmxqR20yVG1USjAvV1paZGRwcXFxcWdQS0RRQUhJdWgxQUFEWW42OTk3V3Y2ODUvL3JQdnV1MDkzMzMzM0lWbm5ZNDg5cHExYnQrcWFhNjdSOHVYTG15enIzTG16MHRQVDljb3JyK2prazAvVzVzMmJ0WG56NWlaenVuZnZycDQ5ZXg2U0xEZzRlWGw1R1IwNmREaHF4WW9WYXlTNVh1YzVsSTQ3N3JpdW1abVpQNVIwZ1RIbVdFa2RKWlZiYXo4MXhzeUx4K05UaW9xSzFqZjMyV0hEaHVVWlk2Wktlcitnb09CL0QrVDdUenp4eE94Z01IaUhwRzliYS9PTU1SRnI3V0pKOXhZVUZMeDEwQnVJWmxIT0FQaGVmbjYrcnJycUtzMllNVU1qUjQ3VVdXZWRkVkRyS3lnbzBNeVpNNVdXbHFiSmt5ZkxkVjA1emhjSEVrYU5HcVhxNm1yVjF0WnF5WklsV3JKa3lWN3J1UHJxcXpWdTNMaUR5b0ZEbzJQSGp0MkN3ZUNpY0RoY1lxMmQ1ampPSE5kMXl3c0xDeXNsSmJ6T2Q2Q0dEUnQydGVNNGowdktrUlNSdE1wYVcybU02V3FNR1NycEpNZHhQcGQwZitQUGhjUGhJeVhkYm93Wkp5bkRXdnYrQVVZd3dXRHdQVWtuU3ZwQTB2UFcybjZTenBGMFRqZ2MvcStDZ29KbkQ4M1dvakhLR1lCMllkeTRjWHJublhmMDV6Ly9XV2VjY1labXpweTV6L2s3ZCs1VWFXbXBac3lZSVVrS0JBSzY4c29ydFhyMWF0MTIyMjBhT0hDZ3BreVpvcmZmZmx1UFAvNjRubnp5U2ZYbzBVT1NORy9lUFAza0p6L1JUMzd5RTExeXlTVWFQMzY4emozM1hGMTQ0WVZ0c3EwNElJNHhKbC9TY0d2dFBjYVl3bkE0L0lHMTl2MUFJUERCa2lWTE5yZGlIYjR4ZlBqd215UTlicTJ0a3ZRL1pXVmxVMHBMU3h0T2ZzelB6OCt5MWw1VVY5b2FmKzVCU2VQcS9uNWZJaW4vSUdJRXJMVVpydXVPV0xaczJZZjFnME9IRGowdkVBak10ZFpPeXMvUGYyN0praVd4Zy9nT05JTnlCcUJkeU1qSTBJTVBQcWhldlhySldxdEhIbmxrbi9NamtZaDI3TmpSTUM4OVBWMFhYSENCeG8wYnAwNmRPbW5TcEVuS3lNalF5SkVqOWFjLy9VbDMzbm1ucGt5Wm9rUWlvYWVmZmxvalI0N1UyTEZqcGQxLzRlbWVlKzVSYm02dXZ2NzFyN2ZKOXVMTHNkWWFZNHpNN2hNSWN5V2RhYTA5M1JoVFlhMHRDNGZESDFwci94S05SaGVzV3JVcTZuWGVmUmt5Wk1nUVNROUxxcFowWmtGQndiLzNuTE5reVpKcVNjL3ZPVzZ0SFN6cEhXUE1MNjIxUFl3eGZ6MklLQW5IY2I1ZVVGQlEzbmh3MmJKbDg0WVBINzdBR0hOMk5CbzlUdEx5bGxlQkEwRTVBOUJ1Zk9VclgybDR2WERod24zT3ZmVFNTNVdYbDZjLy9PRVBUY1luVHB5b29VT0hxbnYzN3BLazFhdFg2NG9ycnREcHA1K3VUei85VkxGWVRIZmRkWmNrYWNPR0RaS2swMDgvWFJVVkZlclNwVXZEV09mT25kV3BVNmREdm8wNE1NWVlxOTNscFBHd0k2bUxwQzdHbUlIR21HdlMwOU0vRFlmRHoxdHJaMFlpa1hXTzQxVDZyYXdGZzhGN0pJVWtUV3l1bU8xTElwRzRwS2lvcUVxN0QyK09QY2dvZHNtU0plVXRMTnNoU1k3anRQNHFIYlFhNVF5QXJ4VVZGYW00dUxqaC9haFJvNVNUa3lOSit1Yy8vNm5CZ3dlcmE5ZXVyVjdmZWVlZHB5ZWZmRkxoY0Znbm4zeXlaczJhcGZMeWNsMXh4Ulc2L1BMTHRXN2R1aFkvKzh3enp6Uzh2dVdXVzNUOTlkY2Y4SGI1bFhXdE1rTDJLOE9IRDArNHJ1c2FZOXhFSXVFR0FvRkVJcEZ3SGNkeDQvRzQ2emlPR3dnRW1yeU94V0p1TUJoTXhHSXhOeEFJdU5GbzFBMEVBbTRvRkhKcmFtcmNVQ2prVmxWVnVSa1pHWW5NekV4MzI3WnRibFpXbHJ0cTFTcFhVdnhRYlVQOTFiZU5pMXFqMTcyTk1iY2JZMzZZbFpWVmJLMzljTml3WWU4Yll6NHNLQ2dvbHRUOGZWWGFTSjgrZlRLTk1SZGFhNk9KUk9MSkwvdjUrbUoyT0EwZVBEak5XanRDVWxWVlZkVW5oL3Y3VWhIbERJQ3Z2ZmZlZS9yTFgvNGkxM1VWalVZMVlzUUk1ZVRrYU1lT0hmclp6MzZtbzQ0NlNrOCsrYVJDb1ZDcjF6bDc5bXhsWkdUbzVKTlBiakwrMUZOUEtSNy9vaU5VVlZYcDBrc3YxVDMzM0tOVFR6MjF5ZHpzN094RHNIWCtZeVNsQjUxckpSMVR0emZLQmdJQmE0eXh3V0JRa213b0ZMTDFKU1lZRE5yNmVhRlFTTmJhaHVXWm1aa044N0t5c3F5MTFuYnExTWthWTZ5MVZsMjZkTEdTYkRnY3RvMUxVZDN5U0YxaFM5VDlpVnRyRThhWStuL1dqOFhyVG5yUDJQT1dLQzNkSXFXdXFHVVlZOEtTaGhsanZpT3BmTml3WVdzbFBWZFJVVEZydzRZTkZZZjNmK25tZGVuU1paQ2tERW4vYm91aWRTQXlNakorSXVsSVNZK1VsSlN3NSt3d29Kd0I4TFdiYjc1Wk45OThzOTUrKzIxTm1EQ2hZYnhUcDA3NjVTOS9xUi85NkVmNjNlOStwenZ2dlBPZ3Z5czNON2ZKKy9UMGRFbFNUazZPdW5YcmR0RHJieThjWTBMVzJrenpSYnN4ZFg5a3JXMDhwajNtTkx5MzFwcTZFdFF3WHJlbzJYV1pQWnBVYzhXcWZxenhNbU5NaXpjUjNwLzZmTWFZVEd0dFIyTk1UMGs1MmRuWm50MEQxQmpUcmU2ZjIvWmNObXpZc0lzZHgzbGxqK0VsUzVjdVBlbEF2bXZvMEtHOUE0RkE1aDdmSDEyeVpNbC9XdmlJRXc2SGZ5SHBMbXZ0S212dFhRZnl2ZGcveWhtQWR1djAwMC9YZDcvN1hVMmJOazFEaGd6Um1ERmpEbXA5NzczM251NjQ0NDY5eG4vNjA1ODJ1ZFhHbURGak5ISGl4SVA2THIreWtxcWppYWN6QWxydk9JNWpyWFZhK0dmQWRkMkdzY2JMalRIMTd3UDF5eVExbWRONG5qRW1WRi9ZdExzMEJTVUY2cTdBYkhIOTF0cUFNY2FwdTlYRXBYWG5hYW5SZXFSbWlsN2QrNFMxZHB1a1RhN3JycFgwV0dGaDRiOE81ZUhWQTFTdDNkbHo5bHhnak5rcTZZMjY1ZW5HbURNUDVvc2N4M2xlVXBNclhLeTFheVFkdCtmY0UwNDRvVWNvRkpwdWpEbEgwajhsWFZaWVdPakozc1ZVUURrRDBLN2Rjc3N0V3J4NHNWNTg4VVdOSGoyNlNZbHFyZnEvdkJPSmhDS1JpQjU0NEFGbFptYXFwcVpHNDhlUDEvWFhYNitoUTRkS2toNTY2S0V2OWFTQzlzWTRSdEdFS1ZtN3N2QWRMMlBzOFVmNStmbW1wcWJHUktOUkkwbnhlTnpFNDNIVG8wY1BFNC9IK3ppT2MyRjlPV3R1VDFxajg5QSt0OWJPY1YzM0JkZDFTNnkxVmRiYXFwVXJWMWI0NFFhMjF0b05kWG1Qcjd1Z29TRlRRVUhCSWtuZjFPNmJ3L1lKQm9NYkQvSzc3cExVWkpldzY3bzc5NXczZlBqd3IwbDZwVzd1ejVjdVhmcnI5bnovdVBhQWNnYWdYUXVGUW5yd3dRZVZtNXQ3UU1Vc0Vva29LeXVyeVZoK2ZyNXljbkpVV1ZrcFNUcm1tR00wWXNRSWFmY05UdzlSY3V5RDNmUEUvT1p1QkN4SnBhV2xPdkhFRTZ1Tk1RMGxwbEVSczNWN29uYTZycnZjV3Z1bnNyS3lPWnMyYmFvKzdGdHdnSXFLaWtxSER4KytSdExBWWNPR1hWUllXRGo3Y0gxWFllSCtDL2pRb1VOUGsvU0d0WGE3dGZhTXdzTEM5dzVYSG55QmNnYWczVHZpaUNQMkdxdXFxbXBWV1Nzdkw5Y3h4eHh6bUpLaERkV2YyeVpKT3lVVlNsb3M2WDFyN2VMQ3dzSjJjMVdodGZZaFk4eWp4cGhKK2ZuNUMvZHhPNHZES2o4L1A4dDEzZWNsN1lqRllxZXVXTEhpb1BiVW9mVW9ad0NTd3FPUFBxcnQyN2NyS3l0TG16WnRVbmw1dVhyMzdyM1B6MFFpRVgzMDBVY2FOV3BVbStYRVlXT3R0VVdTWG96RllxKzVybHVhbVptNXJUM2V2YjZnb09ESjRjT0hqelhHbk8yNjdxTGh3NGYvOTlLbFM5OW92RGN4R0F3T085dzVYTmU5ekJoenBMWDJIb3BaMjZLY0FmQTlhNjNtejU4djFlM3B5c3ZMMjJ2T3hvMGJOVy9ldkliM2d3WU4wdFZYWDkzcytpWk1tS0M4dkR3dFdMQkFrVWhFWjV4eHhqNi9QeHFOYXZ2MjdUTEdxTFMwdE1uTmNPRzk3ZHUzYit2YXRldXB5NVl0Sy9iRGVXT0hRS0txcXVyaXJLeXM2Y2FZaXlTOU5uejQ4RzNXMnJWMUYwRDBsOVJUdS8vZEtEdU1PWVpwOTk3SU1lRndlSGdMYy81WlVGRHd3R0hNa0pJb1p3Qjh6VnFyWC8vNjE1bzdkNjc2OSsrdk8rKzhVL2ZmZjc5MlArSG1DNy82MWEvMHM1LzlUSzdyS2hRS05kd0dvemxublhXV3FxdXJkY3N0dCtpODg4NXJlS1ptUzNidDJxVnp6ejFYMnIzSFFtZWVlVkFYeWVFUUt5MHRyU2t0TFYzcGRZNURhYzJhTlpXU3hvVEQ0UXVNTWRkYmEwK3BlMDVtd2xyN3FhVG5qREV2RmhRVUhMWnowaVRWbjJDWlgvZmMwdVpFV2hqSFFhQ2NBZkMxNmRPbmE5YXNXYnJ4eGh0MTNYWFg2Yi8vKzc5MS9mWFg2K1NUVDFZNEhGYVhMbDBVQ29VVURBWVZEQVlWQ0FRVUNBUVVqVVpWVzF1cjJ0cmFodGVYWDM2NWNuSnlGSWxFTkhIaVJGVlhWK3YyMjI5ditLNWh3NFpwNnRTcGUxMGcwS1ZMRjAyYk5rMnhXRXk5ZS9mK1VrOGtBQTVHUVVIQmE1SmVPOERQdnRqNEZpVUg4UG52Uy9yK2dYNGVCNDV5QnNEWHd1R3d6anJyTFAyLy8vZi9aSXpSVTA4OXBWZGZmVlZ2dlBHR1hubmxGZTNZc1VQUmFIUy9OeUw5eWxlK29odHV1RUdTVkZ4Y3JQLzg1ejk2OU5GSEc1NnhxYnFiemU2NVI2N2VvRUdERHZHV0FVRHpLR2NBZk8zNDQ0L1h2ZmZlMjNCN2hFQWdvSXN2dmxnWFgzeHhrM21KUkVLeFdLeWhxTlh2UVhNY1I0RkFRSFdQSHBMcUN0K3NXYk5hZkx4UHZaeWNuQlp2NFFBQWh3dmxESUR2TlM1V0xha3ZZeGtaR2ExYTUvNktHUUI0eGJQbmh3RUFBR0J2bERNQUFBQWZvWndCQUFENENPVU1BQURBUnlobkFBQUFQa0k1QXdBQThCSEtHUUFBZ0k5UXpnQUFBSHlFY2dZQUFPQWpsRE1BQUFBZm9ad0JBQUQ0Q09VTVNCTEd0ZFhHS3U2NlZwRkl4T3M0YUdjaWtZZ1Nia0tTRXNhMTFWN25BVklaNVF4SUVyWHgyQllaVXhPTHhWUldYdTUxSExRelplWGJGSW5VU2xLME5oN2I0blVlSUpWUnpvQWtzV25kcWkxV3Rpb1dpNmw0elVlSzFOWjZIUW50UkN3VzArcTFIKzNlNDJwdFpOTzZWWlF6d0VPVU15QjVSSTIxYzYyMWVubldxL3A0L1Fhdjg2Q2QyTHhscTE1OGViYXN0WkkwUzFMVTYweEFLak5lQndCdzZIUWZQTGhEdGcyOWEyVENuVHZuNnBLTFJ1dWs0Y1BVclZ0WFpXVm1laDBQUGxKZFU2UHk4bkl0WFZha2wyZlAwZmJ0bjh0YUZlMnlOYWVWcjFsVDZYVStJSlZSem9BazArZVlFMGNFQStZUlNXRmpqSk9WbWFuYzNGeGxaS1I3SFEwK0VvbEU5SG5GRHRYVTFNanUzbVcyTk9IYUgyMWNXL1JQcjdNQnFZNXlCaVNoZnYyR2RIWXluY2VOWTY3d09vdGZXR3NiZnZDc0pHUDQrYXRuclgxVkVYUHRoZzJGRlY1bkFVQTVBNUphNTZPUDd0UXhrSFdrSEtlWHNVNUhyL1A4Zi9idVBENnE2bURqK0hQdVRDWTdCQWlMaWhCclZFUkFKbGhYTE5aZEZCZTB0cmExZlF2aVVsU3NXMXUxYWwxZVJkdUtvbXlpVmFvdmlGYkZpcUtDaWd1aUNBa0JpV0FVS0lwZ0FnYXl6M0xQKzRkSlRFaUNvTUM5bWZ5K253OGZaODQ5Yys5emFUTjVtTHVNbDVJRHlrbE8wdm1PWTVLcWErMlR0WEcxNjVQeVhCdXZNTEpmYklsV2ZGbTJaZzJsRFBBUnlobUFkaUVjRGc4eHhzeXcxcVpJT2pzL1AzKysxNWtBb0NWY3JRa0FBT0FqbERNQUFBQWZvWndCQUFENENPVU1BQURBUnlobkFBQUFQa0k1QXdBQThCSEtHUUFBZ0k5UXpnQUFBSHlFY2dZQUFPQWpsRE1BQUFBZm9ad0JBQUQ0Q09VTUFBREFSeWhuQUFBQVBrSTVBd0FBOEJIS0dRQUFnSTlRemdBQUFIeUVjZ1lBQU9BamxETUFBQUFmb1p3QkFBRDRDT1VNQUFEQVJ5aG5BQUFBUGtJNUF3QUE4QkhLR1FBQWdJOVF6Z0FBQUh5RWNnWUFBT0FqbERNQUFBQWZvWndCQUFENENPVU1BQURBUnlobkFBQUFQa0k1QXdBQThKR2cxd0VBWUZjYk5HaFFtdXU2WFJ1UEdXTjZXR3NEeGhoSFVvOXdPTnk3OGZKNFBGNWFXRmhZdWNmREFzQTJLR2NBRWs0c0Zqc29FQWdzMlhiY0dGUC9jRWFqeDVJa3gzRU9sN1JvRDBVRWdGWnhXQk5Bd2xtNmRHbWh0WGJaanM2MzFoWVZGQlEwSzNNQTRBWEtHWUJFRkxmV1BxRnZpcGVzdGMwbU5CNjMxczZVRk4vek1RR2dPY29aZ0lUa3V1NHNTVnQzWU9yV1dDejI0aDZJQkFBN2hISUdJQ0U1anJOUjB0SnR6eTFyckc3WjBuZzgvc1dlekFZQTIwTTVBNUNRQ2dvS3lpVXR0TmE2cWp1TVdhL1I0VXdyYVdGUlVWR3BkMGtCb0NuS0dZQkVGYmZXdmk5cHkzYm1WTlhOaWU3QlhBQ3dYWlF6QUFrckhvKy9MNm1rL3ZtMkZ3Y1lZN1pHbzlFUHZNb0hBQzJobkFGSVdJV0ZoWjlMV3RMU2VXZDFZMHVXTDErK3pvdHNBTkFheWhtQWhCYUx4YWExdHN4MTNhbDdOZzBBZkRmS0dZQ0VWbDFkL2JxMWR1TzI0OWJha3JLeXNqbmVwQUtBMWxIT0FDUzA0dUxpV21QTTlQcERtOFlZR1dOa3JYMXV6Wm8xTlY3bkE0QnRVYzRBSkx4NFBEN2RXaHVwZjE3MytCbHZVd0ZBeXlobkFCSmVkWFgxWjVLS0duMTY5bkVnRUZqcGRTNEFhQW5sREVEQ2MxMjNYTklpKzYxRjBXaDBrOWU1QUtBbGxETUFDYSs0dUxpMjdtYXpWWklpMXRyM0N3c0xLNzNPQlFBdENYb2RBQUQyQkdQTWdyb2IwcWE3cnZ1ZTEza0FBQURhT3hNT2grZUd3K0ZGSERVQTRHZk5iNXNOSUhIMDdKbmFPNUNaRlUwT2RnelpRSXJYY2J5V2thcXpqVEhKNVZYMkthK3plTTdFYTJ4dGJFczB1bVhMK3ZYcnE3eU9BK0JibERNZ0FlMjk5NkMwVUVia0Vqbk95VWJLdERJWmtrMzJPcGNQQk9yK0cvYzRodytZaUpFdHQxSzVwUG1ScmNFSDFxOWZURWtEZklCeUJpU1l6cm01SFRva3BUOHVhNFlaMDFCR2dGWlphMTBadlJDSlY0OWF2MnBWcWRkNWdQYU9jZ1lra3R6YzVON0I5UDl6akJrZURBYVVOL0JRaFEvdHIvMXllaXVyWTViWDZlQWpXN2R1MWFlclY2dHcrUW90V3B5dldDd20xOW9YMTlacytabjQ1Z1RBVTF5dENTU1Eza2taRnhtcnM1SkRJWTI1L0ZLZGRjWnA2dEc5dStwdnZnbzBacTNWVnlXbGV2blYxM1QzMys1WGJXM2t0TjZoanFQWFNuLzNPaHZRbm5ISUEwZ1FPVGs1S1U0d2ViSXhwc2ZwcDU2c01aZGZxaTZkTzFQTTBDcGpqRExTMDNYZ0FibjZkUFZxRlgvNm1XTWMweWNySTJWU1dWbFp6T3Q4UUh2RjVlUkFnb2dFTXJyS21KUkFJS0NCaC9aVFprYUcxNUhRUnFTbHBpcHY0S0ZLQ2dabHJaS2l3UTdaWG1jQzJqUEtHWkFna2tKT1Y4bW1KSWRDMnF0N2Q2L2pvSTNacTBkM3BhYW15a2hKU1NaR09RTThSRGtERW9TeFRnY3JKUVdDQVhYczJOSHJPR2hqT21WbEtSUUt5Um9GRlFoeDlRamdJY29aQUFDQWoxRE9BQUFBZklSeUJnQUE0Q09VTXdBQUFCK2huQUVBQVBnSTVRd0FBTUJIS0djQUFBQStRamtEQUFEd0Vjb1pBQUNBajFET0FBQUFmSVJ5QmdBQTRDT1VNd0FBQUIraG5BRUFBUGdJNVF4QW0xZGRYYjNUcjdIV0toYUxiWGZPMTE5L3JZOC8vdmdISkFPQW5VYzVBOUNtelo4L1g2ZWNjb3J5OC9OMzZuV0xGeS9XRVVjY29mWHIxN2M2NTlWWFg5WElrU04zUVVvQTJIRkJyd01Bd0E5eDZLR0hLaGdNNnZiYmI5ZU1HVE1VQ29XKzEzcFdybHlwVFpzMk5SbGJ2WHExWE5mVmdnVUxtczN2MjdldnNyS3l2bmR1QUdnTjVReUFyNjFaczBadnZmWFdkdWZrNXVacXk1WXRtajU5dW93eExjNUpTVW5SK2VlZjMrbzZubm5tR2IzOTl0dE54cXFycXhXSlJIVGJiYmMxbTMvSEhYZm9zTU1PMitIOUFJQWRSVGtENEd1ZmZ2cXBKaytlM09LeVNDUWkxM1VWQ29Ya09JNm1USm5TNm5xeXNySzJXODV1dlBIR1ptTlBQZldVSG5qZ0FjMlpNK2Q3cGdlQW5VYzVBK0JySjV4d2drNDQ0WVJtNDRzWEw5Ym8wYVBWcjE4L1RaZ3dRYW1wcVEzTGFtdHJsWnljM09MNlB2NzRZMVZVVkdqVnFsV1NwR1YySVA4ekFBQWdBRWxFUVZUTGxtbjkrdlhLeWNuUjdObXpteFM4V0N5bVdDeW1ZNDQ1cG1Hc1M1Y3VldUdGRjNieFhnTEF0eWhuQU5xY2xTdFg2ZzkvK0lOeWMzTTFmdno0SnNWczVzeVpldnp4eHpWNThtVDE3Tm16Mld2dnVlY2VMVjI2dE9INURUZmNJRW02NmFhYkZJMUcxYlZyVjQwYk42N0Y3YjcwMGt0Njdybm5kc3MrQVVBOXlobUFObVg1OHVXNjRvb3JsSk9Uby9Ianh5c2pJNlBKOHVPUFAxNVBQdm1rTHI3NFlrMmRPbFY3NzcxM2srVlhYSEdGeXNySzlPbW5uMnJpeEltNjhjWWIxYWxUSi9YcDAwZXpaODlXTEJaVGFXbHBpOXV1ckt6Y3Jmc0dBS0tjQVdoTDNuNzdiZDF3d3czcTA2ZVB4bzBicC9UMDlHWnpzck96TldIQ0JJMFlNVUtYWG5xcEhuMzBVV1ZuWnpjc0Q0ZkRrcVRNekV4SjBwRkhIdG1rd0czYXRFbC8rOXZmV3R4K1dWblpidGdyQUdpS2NnYWdUYmpxcXFzYXJxYXNxS2pRSlpkY29sZ3NwbWcwMnZEZnhuOXFhMnRscmRYbGwxK3VxVk9uTnZ1RXJUVjc3YldYSG56d3dSYVh2ZkRDQzVvK2Zmb3UzUzhBMkJibERFQ2JrSnVicTQ4Ly9saTllL2RXZW5xNlB2MzBVMzMxMVZjNjc3enpsSktTb3BTVUZMMzY2cXZhdEdtVHJybm1Hb1ZDSVczWXNFRVBQUENBL3ZTblA3VmF1TGExZHUxYW5YSEdHUzB1YzExWEhUdDIzTVY3QmdCTlVjNEF0QW1YWFhhWkxyLzg4b2JuMTE1N3JheTF1dWFhYXhyR1B2NzRZOVhVMUdqWXNHRU5ZMVZWVmVyWHI5OE9iK2RIUC9xUm5uNzY2UmFYUGZYVVU1bzZkZXIzM2djQTJCR1VNd0J0UWlBUWFQSjgzYnAxelU3MmI4bGxsMTMyblhOV3JseXByVnUzU25YZkNqQmt5SkFXNTBXajBSYlBjd09BWFlseUJxRE5XYmR1bllxTGkvWGIzLzcyZTY4akdvMUtkZVh0ODg4LzExbG5uYVc5OTk1YlBYdjIxUGp4NDF0OHpVc3Z2YVJubm5ubWUyOFRBSFlFNVF4QW0vTi8vL2QvVXQwTmFuZkUwMDgvcmRMU1V2M21ONy9SYTYrOXB0ZGVlMDJMRmkyU0pLV21wbXJFaUJFNitPQ0Q5ZDU3NzhsMTNWYXZ5cXlxcWxJc0Z0T3laY3VVbVptcG5KeWNYYmhYQVBBTnlobUFObVhldkhtYU9YT21CZzhlckVNT09XU0hYdlBwcDUvcTZhZWYxbm5ubmFjNWMrWm94WW9WR2o1OHVJWVBINjRERHp4UUN4WXMwSFhYWGRjdy85SkxMOTN1K2k2OTlGSWRjOHd4dXVlZWUzN3cvZ0RBdGlobkFOcUUydHBhUGY3NDQ1b3laWXIyMm1zdjNYcnJyYzNtQklOQnhXS3hadU1iTjI1VUtCUlNseTVkZFBQTk42dFRwMDVOdmxYZzZLT1AxcnZ2dml2VlhaSDU0b3N2YXVQR2pSbzFhcFFrNloxMzN0R2lSWXYwcTEvOVN0MjZkZHV0K3drQWxETUF2clpwMHliTm5qMWJUejMxbERaczJLQUJBd2JvM252dlZhZE9uWnJOM1dlZmZmVHFxNi9xOGNjZjF6Nzc3Q05KK3ZMTEw3Vnc0VUlkY3NnaGNoeW4xWXNJckxWNjk5MTNOWEhpUksxYXRVckRodzlYTkJwVlVsS1NJcEdJNXMrZnJ4a3pabWpvMEtFYU9YSmtpMThOQlFDN0F1VU1nSys5OTk1N3V2LysrOVdqUncvZGVPT05PdnZzcytVNFRvdHpmL0dMWDJqNTh1V2FNbVdLYW1wcUpFbWhVRWdISFhTUS92em5QN2U2amZuejUydmN1SEg2NzMvL3E4R0RCK3V2Zi8ycmNuTnpHNVlmZi96eEdqSmtpRjU1NVJWTm1qUkpzMmZQMXNpUkkzWEpKWmZzaGowRzBONVJ6Z0Q0Mmhsbm5LRzk5OTViQXdjT2JMV1UxY3ZPenRha1NaTjJlaHU5ZS9kV3YzNzlOSGJzV0IxNDRJRXR6Z2tFQWhvNmRLaE9PdWtrUGYzMDAwM0tHd0RzU3BRekFMNlhsNWUzVzllZms1T2oyMisvZllmbUppVWw2WmUvL09WdXpRT2dmZHYrUDBNQkFBQ3dSMUhPQUFBQWZJUnlCZ0FBNENPVU13QUFBQitobkFFQUFQZ0k1UXdBQU1CSEtHY0FBQUErUWprREFBRHdFY29aQUFDQWoxRE9BQUFBZklSeUJnQUE0Q09VTXdBQUFCK2huQUdKSWg0cE16S1JlRHl1OHZKeXI5T2dqU2t2TDFjMEZwV3hpaWtlS2ZNNkQ5Q2VVYzZBQkZFWjFRWnJiWFUwR2xWSjZTYXY0NkNOS1NuZHBOcWFXbGtwVWhuVkJxL3pBTzBaNVF4SUVDVnJWbndscVRJYWpXbnBzbzlVVlZYbGRTUzBFYldSaUpaOXRFSTF0YldTYkUzZC81Y0FlSVJ5QmlRT1Y5Wk90VmJ4MlhOZTBhdnozdERYWldXeTFucWRDejVsclZYWmxpMTY4NjEzOU1Mc09iSldjVms3WHBMcmRUYWdQVE5lQndDdzYrVGs1S1RZbEE3L2NZeHpZa1pHdW80Ni9NZnEzNit2ZXZmYVZ4MHlNNzJPQngvWnVyVmNhOWV0MDBjclB0YUNoUitvdktKQzF0bzNZaFdiVHYvODg4K3J2YzRIdEdlVU15REJkTTNwMnlNOUpXbWFwQk9NTVk1ampBTEJvSXpoeHgzZnN0WlZMQmFYdFZiV1dsZlMzTnJheU1WZnJpNWE2M1Uyb0wzajNScElRTm5aQjJXbVphZjh3WkU1UlZLNk1UYk5XcFBrZFM0dldXdGx6RGZ2ZWRiS3R2ZXlhb3lpVnFxVVZaV1YrMmJWcHRoZEpTVXJLcnpPQllCeUJpUzB2ZmNlbEtiVTJpNU9VSjJDY1NmTjZ6eGVTZzZaM0pRa005SVlKMWdkaVUrdWpkaGlyek41S2VyRXEyM2NiSTVYbEd6ZXVIRmpwZGQ1QUh3cjZIVUFBTHZQK3ZXTHF5UlZTVnJuZFJhdmhjUGhaR05NSDJ0dFNscXlzMjdsaXZ5RlhtY0NnSlp3dFNZQUFJQ1BVTTRBQUFCOGhISUdBQURnSTVRekFBQUFINkdjQVFBQStBamxEQUFBd0Vjb1p3QUFBRDVDT1FNQUFQQVJ5aGtBQUlDUFVNNEFBQUI4aEhJR0FBRGdJNVF6QUFBQUg2R2NBUUFBK0FqbERBQUF3RWNvWndBQUFENUNPUU1BQVBBUnloa0FBSUNQVU00QUFBQjhoSElHQUFEZ0k1UXpBQUFBSDZHY0FRQUErQWpsREFBQXdFY29ad0FBQUQ1Q09RTUFBUEFSeWhrQUFJQ1BVTTRBQUFCOGhISUdBQURnSTVRekFBQUFINkdjQVFBQStBamxEQUFBd0VlQ1hnY0FnRjF0MEtCQmFhN3JkbTA4Wm96cFlhME5HR01jU1QzQzRYRHZ4c3ZqOFhocFlXRmg1UjRQQ3dEYm9Kd0JTRGl4V095Z1FDQ3daTnR4WTB6OXd4bU5Ia3VTSE1jNVhOS2lQUlFSQUZyRllVMEFDV2ZwMHFXRjF0cGxPenJmV2x0VVVGRFFyTXdCZ0Jjb1p3QVNVZHhhKzRTK0tWNnkxamFiMEhqY1dqdFRVbnpQeHdTQTVpaG5BQktTNjdxekpHM2RnYWxiWTdIWWkzc2dFZ0RzRU1vWmdJVGtPTTVHU1V1M1BiZXNzYnBsUytQeCtCZDdNaHNBYkEvbERFQkNLaWdvS0plMDBGcnJxdTR3WnIxR2h6T3RwSVZGUlVXbDNpVUZnS1lvWndBU1ZkeGErNzZrTGR1WlUxVTNKN29IY3dIQWRsSE9BQ1NzZUR6K3ZxU1MrdWZiWGh4Z2pOa2FqVVkvOENvZkFMU0VjZ1lnWVJVV0ZuNHVhVWxMNTUzVmpTMVp2bno1T2kreUFVQnJLR2NBRWxvc0ZwdlcyakxYZGFmdTJUUUE4TjBvWndBU1duVjE5ZXZXMm8zYmpsdHJTOHJLeXVaNGt3b0FXa2M1QTVEUWlvdUxhNDB4MCtzUGJScGpaSXlSdGZhNU5XdlcxSGlkRHdDMlJUa0RrUERpOGZoMGEyMmsvbm5kNDJlOFRRVUFMYU9jQVVoNDFkWFZuMGtxYXZUcDJjZUJRR0NsMTdrQW9DV1VNd0FKejNYZGNrbUw3TGNXUmFQUlRWN25Bb0NXVU00QUpMemk0dUxhdXB2TlZrbUtXR3ZmTHl3c3JQUTZGd0MwSk9oMUFBRFlFNHd4QytwdVNKdnV1dTU3WHVjQkFBQm83MHc0SEo0YkRvY1hjZFFBZ0o4MXYyMDJnSVNSZmRCQm1TbFJwNGNUREhWM2pNM3dPby9YMGtNNnhSZ25WRkhyL3NmckxGNkxXMVhhV0hSRHBXcS8rdnF6ejdiMy9hTUE5akRLR1pDQU91Zm1kc2dNcHYzTmtYTytqQTFZR1VmVzhtbVI2cjlYazdjK0dlTWFXVmZXeEYzWkY4dGpsYi9mWEZ5ODFldFlBSGlIQWhKT3I5eStoNWlrcEVuRzZtaGpqSk9Tbkt6TXpBeUZRaUd2bzhGSEl0R295cmVXcTZhMlZ0WmExeG90VU5TT1dWdGN1TVRyYkVCN1J6a0RFa2oyUVFkbHBwdlUxeDJqdzVLVFF6cjNyR0VhZlBSUnlzN3VyTFRVTksvandVZXFhNnBWVXJKSkN4ZDlxS2VlZVU2MTM1UzAvSzJ4eXVQNEJBM3dGdVVNU0NDOSt3eTgxOGhlazVhV1poNjhiNndHSDNXa2dzR2c2bSsrQ2pSbXJWVXNGdE9TcFlVYWNjbmxxcXFxdHNiYWlhdFhGbzcyT2h2UW5uRU9DcEFndW5idG0rSElubXFNTVdlZGNacU8rUEZoU2twS29waWhWY1lZSlNVbGFXRC9manJqdEZOa2pERnl6TER1M1Fla2U1ME5hTThvWjBDQ1NNMEtkTFBHcENZbEJkV3Y3OEZLUzAzMU9oTGFpT1RrWlBYdjExZkp5U0ZaS1NrbFM5Mjh6Z1MwWjVReklFRzRNbDFsYlVvb0thUWUzZm5kaXAyelYvZnVTazFObGF4SmNtMDgyK3M4UUh0R09RTVNSRERncE1vbzRBUWNwYVZ4OGo5MlRucDZ1b0tCb0dRVUNEaEpITllFUEVRNUF3QUE4QkhLR1FBQWdJOVF6Z0FBQUh5RWNnWUFBT0FqbERNQUFBQWZvWndCQUFENENPVU1BQURBUnlobkFBQUFQa0k1QXdBQThCSEtHUUFBZ0k5UXpnQUFBSHlFY2dZQUFPQWpsRE1BQUFBZm9ad0JhSmVLaW9wMDIyMjN5WFhkVnVmazUrZHIyclJwK3ZMTEwzZExoc3JLU3Izd3dnc3FMUzNkTGVzSDBEWUZ2UTRBb0gxeFhWZlhYWGVkOHZQek5XclVLRjF3d1FVNzlMcUtpZ3A5L2ZYWDMzdTczYnAxVTNKeWNzUHpMNzc0UXJObXpkSU5OOXdneDJuKzc5U2FtaHI5K2M5L1ZrbEppV0t4bUVhTUdOSGllcWRObTZhQkF3ZHF3SUFCa3FSMTY5WXBIbyszT0xkSGp4NUtTVWxwZUw1NTgyYjk5YTkvMWVUSms1V2RuZjI5OXcxQVlxR2NBZGlqeG8wYnB6ZmZmRk5aV1ZtYU9uV3FqanJxS09YazVIem42MTU3N1RYZGNjY2RUY3JOanFxcHFkSFVxVk1WRG9kMytEV1BQLzY0U2twS2xKdWJxMGNlZVVTbm4zNjZ1bmZ2M21ST0pCTFI2Nisvcm9rVEorcnV1Ky9Xa0NGRDlOdmYvbFpidG14cGNaMlRKMC9XUVFjZHBBa1RKdWpDQ3kvYzZmMEEwRDVRemdEc0VkWmFqUnMzVGs4KythUXV1T0FDL2ZyWHY5YUlFU00wZXZSb1BmVFFRenRVMERwMjdLalhYMzk5cDdaYlhsNnU0NDQ3YnFkZVUxUlVwRWNmZlZTbm5ucXFycnJxS2cwZlBsdzMzbmlqSmsyYXBHRHcyN2ZOVUNpa0J4OThVS05IajlaMTExMm51KzY2UzVKMDNubm42ZmpqajIrWXQyblRKdjNsTDMrUkpGVlZWV25tekprYU9uU29zckt5ZGlvWGdQYUJjZ1pndDZ1cXF0SmYvL3BYelowN1Z6Ly8rYzkxelRYWHlCaWpTWk1tNmJMTEx0TnZmL3RiM1hubm5SbzhlUEIyMTFOZFhhMnhZOGZ1MUxhajBXakQ0M2c4cmhVclZraVMvdnZmLzBxU2xpOWZya0Fnb096c2JPMjExMTRxTHkvWERUZmNvS3lzTEYxMzNYWEt5c3JTbi8vOFovM2xMMy9SdmZmZXF6Ly8rYzlOMXArUmthSDc3NzlmMTE5L3ZYcjM3aTFKNnQyN3Q0NDQ0Z2h0M3J4WmFXbHAycng1ODA1bEJ0QytVYzRBN0ZhTEZpM1NiYmZkcGcwYk5tak1tREg2elc5KzA3Q3NWNjllZXVTUlIzVFZWVmMxZkVKMStlV1hxME9IRGkydXl4aWoxTlRVbmRwK0lCQlFTa3FLa3BLU1ZGVlZwZi81bi85cHNuemt5SkdTcEFzdXVFQlhYbm1scnI3NmFuM3h4UmVhUEhseXd5ZGJRNGNPMWNjZmY2d25uM3hTanVQbyt1dXZsekdtWVIxWldWbWFNbVZLczIwUEd6Wk1vMGVQM3VsUDdnQzBiNVF6QUx2RlYxOTlwVW1USm1uV3JGbnEzcjI3Sms2Y3FNTU9PNnpadkI0OWV1aWYvL3luYnIvOWR2MzczLy9XdkhuemRQSEZGK3Vzczg1cWRuNVpTa3FLVGpycEpEM3h4Qk9LUnFOTi90VFcxaW9TaWFpMnRsYTF0YldxcWFsUmRYVzFhbXBxNURpT2V2WHFwY3pNVEwzOTl0dVNwRnR2dlZYejVzM1QvUG56NVRpT1lyR1lycjMyV2kxWnNrUTMzbmhqcy9QVC92Q0hQNmk2dWxvelo4N1VoZzBiZE91dHQrcWRkOTVSSkJMUk9lZWNzM3YvTWdHMEs1UXpBTHRVZVhtNUhuNzRZVDM5OU5PS1JDTGFmLy85ZGR4eHgybkZpaFVOaHhSYjBxZFBIMjNZc0VIcjE2L1hQZmZjMDNESTgvenp6Mjh5cjJ2WHJ1clZxNWRDb1pDU2s1TVZDb1VVQ29VVWk4VjA1NTEzNnBaYmJsR3ZYcjJVa3BLaTFOUlVwYVdsS1RVMVZlbnA2WktrdExRMHhXSXh2Zi8rKzFKZDRRc0dnN3Jra2t2MDRZY2Y2bmUvKzUxT091a2tsWmVYTjh0NHhSVlhLRDA5WGYvNjE3ODBkdXhZcGFlbjY5bG5uOVhhdFd0MTVaVlh0bmpWSndEc0xNb1pnRjNLR0tONTgrWXBOemRYMTE5L3ZWYXNXS0VKRXlZMG1WTmJXNnRvTktxTWpJd200Nm1wcVpvMWE1Wm16cHlweHg1N1RQdnR0MSt6OVdkblordWlpeTVTVlZWVmsvSDZLeVQzMzM5LzllclZxOG15bEpTVUpvY2hGeTFhcElxS0NxbnVxc3pUVHo5ZHYvclZyM1RNTWNmb3l5Ky8zTzVoeU1jZWUwejkrdlZUWGw2ZU9uWHFwRkFvcEgvOTYxOHFMUzNWSFhmY3NWTi9Wd0RRRXNvWmdGMHFJeU5Eano3NnFMcDE2eVpqalByMzc2K2YvL3puVGVaTW5qeFpVNlpNMGJ4NTg1cGMvVmp2d2dzdjFDOSs4UXNsSlNVMWpGbHJHd3JXeXBVcmRlR0ZGN1o0VzQyTEw3NjR5Zk9hbWhxTkhUdFdKNTU0WXNQWXZIbnp0UC8rKyt2VFR6L1YwcVZMOWM0NzcramhoeC9XVDM3eUU2MWV2VnJISG50c3EvdTMzMzc3cVgvLy9nM1ByN3Z1T3FXa3BPelViVG9BWUh2NERCN0FMdGU5ZS9jbW4xUjlINDJMbWVxdTFHeDhFMWxKbWpObmp0NTk5MTI5Kys2N21qMTd0aVRweVNlZmJCaDc5OTEzMWJGanh5YXYyYlJwazE1NjZTWDk5S2MvbFNUZGZQUE5XcnQyclo1OTlsblYxdFlxTXpOVFJ4OTl0UGJkZDErTkhUdFdlKys5dDQ0KyttZ2RmZlRScXFpbzBKdzVjNXJkWlBhS0s2NW84VXJUMnRyYUZzc25BR3dQN3hvQWRvdDE2OVkxbkh5L3JXWExsa21TWnN5WTBlSjVXcDA3ZDlhcHA1N2FaS3l5c3JMWllkQnQ1MGpTcjM3MXF5YlBhMnBxbWp4Ly9QSEh0ZSsrKytxQUF3NlE2cTYwZk9paGgzVEFBUWRvMUtoUjZ0R2poKzY2Nnk1MTc5NWRHemR1Vkg1K2ZzTTkyR2JPbkttdnZ2cEs1NTEzWHBOMWJ0aXdRVjI3ZGxVZ0VHZ1lxNmlva0xXMldXWUErQzZVTXdDN1JYRnhzUjU2NktFV2w4VmlNVW5TeElrVFcxeCs4TUVITnl0ZW16WnRVbVptcGxSM1VuKy9mdjEwNzczM050eGFZOHVXTFRycnJMTTBaY3FVSnVlYy9lbFBmMnI0OU96cnI3L1d2Ly85YjExNTVaWE50aWRKaHg5K3VHYk1tS0ZZTEtaUUtLUisvZnBwNmRLbE91ZWNjMVJkWGExbHk1WTFPMFNydW04OUtDNHUxdE5QUDkwd3RtN2RPcW51SERrQTJCbVVNd0M3eFU5LytsUE5temRQa3laTjBxOS8vZXNtSmFYK25MUDU4K2MzT2V4MzMzMzM2ZGhqajIzeGxodXJWcTNTL3Z2dnI3S3lNdDEwMDAyU3BLdXZ2cnBoZVgzaHUvWFdXNXNkL3J6Ly92czFiTmd3blhiYWFlclFvWVBPUFBOTXZmdnV1ODIyTVhqd1lFMmRPbFdGaFlYS3k4dFQzNzU5OWRaYmIwbVNQdnp3UThWaXNTWjMvcSszWk1rUzVlYm15aGlqUUNBZ1k0eVdMRmtpMVYyZ0VJbEU1RGpPRHo3VUM2QjlvSndCMkcyKyt1b3J6Wm8xUysrOTk1NGVmdmpoVm04dXE3cHp4WjU0NGdsbFpHUTBLMmZSYUZTZmZQS0pUai85ZE1WaU1SVVZGZWt2Zi9sTHd4MzVWWGNZOGFxcnJ0S0lFU1BVbzBjUHZmWFdXenJxcUtPVWxKU2t1KysrV3hzM2JsU0hEaDAwZnZ6NFZtOWtlL0RCQnlzbEpVVWZmUENCOHZMeWRNQUJCK2pKSjUvVTVzMmJ0V0RCQW1Wblp6ZDh3WG05Tld2V2FOT21UUTAzMTMzdHRkY1VqOGYxODUvL1hNRmdVRVZGUlJvOGVMQVdMVm9rU2RxNGNlTVAranNGa1BpNElBREFidE9yVnkvOTR4Ly8wSm8xYTNURkZWYzB1LzFGdmJsejUrcSsrKzdUOE9IRE5XclVxR2JMMzN6elRWVlhWMnZRb0VFTll3Y2VlS0RDNFhERG4vb3JLQTgrK0dBTkdEQkFyNzc2cXRhdVhhdHdPTnh3anpOSnlzM05iVFZ2TUJqVWdBRUQ5TUVISDBpUyt2WHJwelBQUEZPUlNFVHo1OC9YQ1NlYzBPd2N1ZnI3cFIxNTVKRU5ZNDg5OXBoV3IxNnQvdjM3YTh5WU1icjMzbnNWaVVRa1NkMjZkZFBiYjcrdFF3NDVaSWYvSGdHMEwzeHlCbUMzQ29mRCt1TWYvNmpubm50T2xaV1ZTa3RMYXpibnpUZmYxT0RCZy9XblAvMnAyVEpyclo1NjZpbjE3OTlmKysyM24wcExTeHVXdmZIR0cvcjN2Lyt0NnVycWh2dVdqUnc1VWpVMU5hcXBxZEZqanoyMjAzZnZIejE2ZE1PNWJmdnR0NTl1dWVVV2ZmVFJSOXE0Y2FOT09lV1VadlBuelp1bjdPenNodEwzekRQUGFNS0VDVHJxcUtNMGZ2eDR6WjQ5VzNmZWVhZVdMRm1pZSs2NVIvdnV1Mi9EMzBIOW9WZ09kd0pvakhJR1lKZGJ1SENoaW9xS21vd05HVEpFTDc3NG9pUXBQejlma2pSdDJqUVpZN1QvL3ZzckdvMXEyclJwVFY3enM1LzlUQysvL0xMeTgvTjExMTEzTmR2T2dRY2VxRFBQUEZQcDZlbEtTMHRUZW5xNlVsTlRsWnFhcW9LQ0FyM3h4aHQ2NVpWWHRHclZxdS84VXZVWFgzeXh5WldkOVljaEpXbkJnZ1VLaFVKYXRXcVZQdm5rRTBuU29ZY2VxdXpzYk9YbjUydm8wS0dxcUtqUVAvN3hEODJhTlV2aGNGajMzSE9QakRFNjQ0d3o5S01mL1VoWFhYV1ZMcnJvSWozNDRJT2FPM2V1VWxOVEc3YlJ0V3ZYNy9HM0RDQlJVYzRBN0hJTEZpelF2Ly85NyszT1NVbEowU09QUExMZE9hZWRkcHA2OXV5cFk0ODlWaWVmZkhLejVmdnNzNC8yMldlZkZsLzc0SU1QYXQyNmRab3paNDUrOUtNZjZiVFRUdHZ1dGg1NTVCRnQzcnk1MWVXaFVFZ1BQdmhndy9QTEw3OWNSeHh4aEE0KytHQWRjY1FSbWo1OXVsNTQ0UVg5OHBlLzFKZ3hZNXBjNk5DM2IxOU5telpOWDN6eGhUcDA2S0JISDMxVXJ1c3FKU1ZGRjF4d1FiTnZOQURRdnZGWk9wQWdjdm9NUEU3R1R1K1FtZGxqOHZqN2RPVGh6YTk0Ykt1aTBXakRUV2xkMTFWSlNZbTZkT255blRkNHRkYktXcnZidi9NeUhvL0xXcXZWcTFjMzNEL3R1N2l1NjZ2djRsejR3WWU2OHBvL3FXVFRwakpabmJQbTQ0STN2YzRFdEZkOGNnYkE5eHAvVzREak9PcmV2ZnNPdmM0WXMwZk81NnEvK2V5T0ZqUFY3UWNBdElSM0J3QUFBQitobkFFQUFQZ0k1UXdBQU1CSEtHY0FBQUErUWprREFBRHdFY29aQUFDQWoxRE9BQUFBZklSeUJnQUE0Q09VTXdBQUFCK2huQUVBQVBnSTVRd0FBTUJIS0dkQWdqQ3VyVEpXTWRlMXFxbXA4VG9PMnBpYW1ockYzYmdreFkxcnE3ek9BN1JubERNZ1FkVEdvaHRrVEhVMEdsVkphYW5YY2RER2xKUnVVazFOclNSRmFtUFJEVjduQWRvenlobVFJTlovdG1LRGxhMk1ScU1xV3ZtSmFtcHJ2WTZFTmlJYWplcmpWWjk4ODRtcnRUWHJQMXRCT1FNOFJEa0RFa2ZFV1B1U3RWYlBQdjhmZmJwNmpkZDUwRVo4dVdHam5ubDJscXkxa3ZTOHBJalhtWUQyekhnZEFNQ3UwN1Z2MzR4MG0vU1drUWwzNnBTbGM0YWRvY1B5QmlvN3U0dlNVbE85amdjZnFhcXVWbWxwcVpZc0xkU3pzMTdVNXMxZnkxb1ZWdGpxd2FVclY1WjduUTlvenloblFJTHBlY0NBSTRJQjg1Q2tzREhHU1V0TlZWWldsbEpTa3IyT0JoK3BxYW5SMTJWYlZGMWRMZnZOUjJaTDRxNzl3N3BWaFc5N25RMW83eWhuUUFMcTFhdC9KeWZWbVdRY2M3N1hXZnpDV3R2d2htY2xHY1BiWHoxcjdYOVVZMzZ6WmsxQm1kZFpBRkRPZ0lUVzZVYy82dGdoa0xhM0hHY3ZZNTBPWHVmeFVuSkFPY2xKT3Q5eFRGSjFyWDJ5TnE1MmZWS2VhK01WUnZhTExkR0tMOHZXcktHVUFUNUNPUVBRTG9URDRTSEdtQm5XMmhSSlorZm41OC8zT2hNQXRJU3JOUUVBQUh5RWNnWUFBT0FqbERNQUFBQWZvWndCQUFENENPVU1BQURBUnlobkFBQUFQa0k1QXdBQThCSEtHUUFBZ0k5UXpnQUFBSHlFY2dZQUFPQWpsRE1BQUFBZm9ad0JBQUQ0Q09VTUFBREFSeWhuQUFBQVBrSTVBd0FBOEJIS0dRQUFnSTlRemdBQUFIeUVjZ1lBQU9BamxETUFBQUFmb1p3QkFBRDRDT1VNQUFEQVJ5aG5BQUFBUGtJNUF3QUE4QkhLR1FBQWdJOVF6Z0FBQUh5RWNnWUFBT0FqbERNQUFBQWZvWndCQUFENENPVU1BQURBUnlobkFBQUFQaEwwT2dBQTdHcURCZzFLYzEyM2ErTXhZMHdQYTIzQUdPTkk2aEVPaDNzM1hoNlB4MHNMQ3dzcjkzaFlBTmdHNVF4QXdvbkZZZ2NGQW9FbDI0NGJZK29mem1qMFdKTGtPTTdoa2hidG9ZZ0EwQ29PYXdKSU9FdVhMaTIwMWk3YjBmblcycUtDZ29KbVpRNEF2RUE1QTVDSTR0YmFKL1JOOFpLMXR0bUV4dVBXMnBtUzRucytKZ0EwUnprRGtKQmMxNTBsYWVzT1ROMGFpOFZlM0FPUkFHQ0hVTTRBSkNUSGNUWktXcnJ0dVdXTjFTMWJHby9IdjlpVDJRQmdleWhuQUJKU1FVRkJ1YVNGMWxwWGRZY3g2elU2bkdrbExTd3FLaXIxTGlrQU5FVTVBNUNvNHRiYTl5VnQyYzZjcXJvNTBUMllDd0MyaTNJR0lHSEY0L0gzSlpYVVA5LzI0Z0Jqek5ab05QcUJWL2tBb0NXVU13QUpxN0N3OEhOSlMxbzY3Nnh1Yk1ueTVjdlhlWkVOQUZwRE9RT1EwR0t4MkxUV2xybXVPM1hQcGdHQTcwWTVBNURRcXF1clg3ZldidHgyM0ZwYlVsWldOc2ViVkFEUU9zb1pnSVJXWEZ4Y2E0eVpYbjlvMHhnalk0eXN0Yyt0V2JPbXh1dDhBTEF0eWhtQWhCZVB4NmRiYXlQMXorc2VQK050S2dCb0dlVU1RTUtycnE3K1RGSlJvMC9QUGc0RUFpdTl6Z1VBTGFHY0FVaDRydXVXUzFwa3Y3VW9HbzF1OGpvWEFMU0VjZ1lnNFJVWEY5ZlczV3kyU2xMRVd2dCtZV0ZocGRlNUFLQWxRYThEQU1DZVlJeFpVSGREMm5UWGRkL3pPZzhBQUVCN1o4TGg4Tnh3T0x5SW93WUEvS3o1YmJNQkpJNmVQVk43QnpLem9zbkJqaUViU1BFNmp0Y3lVblcyTVNhNXZNbys1WFVXejVsNGphMk5iWWxHdDJ4WnYzNTlsZGR4QUh5TGNnWWtvTDMzSHBRV3lvaGNJc2M1MlVpWlZpWkRzc2xlNS9LQlFOMS80eDduOEFFVE1iTGxWaXFYTkQreU5makErdldMS1dtQUQxRE9nQVRUT1RlM1E0ZWs5TWRselRCakdzb0kwQ3ByclN1akZ5THg2bEhyVjYwcTlUb1AwTjVSem9CRWtwdWIzRHVZL24rT01jT0R3WUR5Qmg2cThLSDl0VjlPYjJWMXpQSTZIWHhrNjlhdCtuVDFhaFV1WDZGRmkvTVZpOFhrV3Z2aTJwb3RQeFBmbkFCNGlxczFnUVRTT3luakltTjFWbklvcERHWFg2cXp6amhOUGJwM1YvM05WNEhHckxYNnFxUlVMNy82bXU3KzIvMnFyWTJjMWp2VWNmUmE2ZTllWndQYU13NTVBQWtpSnljbnhRa21UemJHOURqOTFKTTE1dkpMMWFWelo0b1pXbVdNVVVaNnVnNDhJRmVmcmw2dDRrOC9jNHhqK21SbHBFd3FLeXVMZVowUGFLKzRuQnhJRUpGQVJsY1preElJQkRUdzBIN0t6TWp3T2hMYWlMVFVWT1VOUEZSSndhQ3NWVkkwMkNIYjYweEFlMFk1QXhKRVVzanBLdG1VNUZCSWUzWHY3blVjdERGNzllaXUxTlJVR1NrcHljUW9aNENIS0dkQWdqRFc2V0NscEVBd29JNGRPM29kQjIxTXA2d3NoVUloV2FPZ0FpR3VIZ0U4UkRrREFBRHdFY29aQUFDQWoxRE9BQUFBZklSeUJnQUE0Q09VTXdBQUFCK2huQUVBQVBnSTVRd0FBTUJIS0djQUFBQStRamtEQUFEd0Vjb1pBQUNBajFET0FBQUFmSVJ5QmdBQTRDT1VNd0FBQUIraG5BRm9VK0x4dUZhdlhyMUwxMWxXVnFiS3lzb1dsOVhVMUNnU2llelM3UUhBOWxET0FMUXA4K2ZQMTNubm5hZi8vT2MvMzNzZE5UVTFUWjZQR0RGQ0V5ZE9iSEh1NzMvL2U5MXl5eTNmZTFzQXNMTW9ad0RhbEtlZWVrcFpXVms2NmFTVHZ0ZnIxNjVkcTJIRGh1bnBwNS9lNWRrQVlGY0llaDBBQUhiVWh4OStxQTgvL0ZDTzQraUVFMDdZb2RjY2Yvenh1djMyMnh1ZTc3UFBQanJpaUNOMDk5MTNhLzM2OVJvelprekRzdmZlZTA4ZmZmUlJrOWR2M0xoUmxaV1ZtanAxYXBQeEFRTUc2UERERC8vQit4L253ejBBQUNBQVNVUkJWQVFBMjZLY0FXZ1RyTFVhTjI2Y3NyT3pOV3JVcUIxNnphUkpreFNQeDV1TUJZTkIzWGJiYlhJY1IwVkZSVTBPY1JZVkZlbVZWMTVwTXIrc3JFd1ZGUlhOeHBPVGt5bG5BSFlMeWhtQU5tSDY5T2txS2lyU25YZmVxVk5QUFhXSFhqTnQyalFGZzgzZjVoekgwUzIzM0tMeThuTDk4NS8vMUJkZmZDSFZuWHMyWXNTSUpuTkhqQmloN3QyNzY2Njc3dHBGZXdJQTIwYzVBK0I3cTFldjFvTVBQcWhldlhxcFY2OWVXckZpUll2enVuYnRxcTVkdXpZOGo4ZmpMWmF6V0N5bVo1OTlWbE9tVE5IV3JWdmxPSngrQzhBL0tHY0FmRzNyMXEyNit1cXJGUWdFdEdIREJsMTQ0WVd0enIzNDRvdDF5U1dYTkR5UFJxUE55dGxMTDcya0NSTW02TXN2djlSUlJ4MmxhNjY1UnRkY2MwM0Q4ckZqeDZxOHZMemgrZHExYTdWeDQwYmRkTk5ORFdNZE9uVFE5ZGRmdnd2M0VnQytSVGtENEd0ang0N1Z1blhyZE45OTkrbVdXMjdSU1NlZHBDdXZ2TExadk5OT082M1pXQ1FTVVNnVWFqSldVRkNnWURDbysrNjdUei81eVUrYXZhYW1wa2FiTjI5V2VucTZKQ2t2TDArU1ZGdGIyekFuR28zdWtuMERnSlpRemdENDJybm5ucXVERGpwSXh4NTdyRlIzSW41MmR2WU92VFlTaVNnNU9ibkoySlZYWHFuazVHUWxKU1UxakIxeHhCSEt6YzJWNmk0QWlFYWp1dnZ1dXhVSUJIYnB2Z0RBanFDY0FmQzF2THk4aGsrdmRvYnJ1cXF0clZWcWFtckRXRHdlMTZKRmk1ck5yYi9xOG8wMzNsRFBuajAxZmZwMFRaczJUVGs1T2EydXYyZlBuanJnZ0FOMk9oY0FmQmZLR1lBMlpkYXNXWHJwcFplYWpidXUyK1I1UlVXRkpDa3RMYTFockxhMlZ0ZGVlKzBPYmVmQkJ4L2M3dkx6eno5ZmYvempIM2N3TlFEc09Nb1pnRFpsMEtCQk92dnNzMXRjdHYvKyt6Yzgzcmh4b3lTcFM1Y3VEV05wYVdsNi8vMzNXM3h0V1ZtWi92akhQNnFvcUVpMXRiV2FPSEZpczAvczFxOWZMOWQxMWJOblQ2N3dCTERiVU00QXRDazllL2JVS2FlYzBteThvcUtpNFJCbVRVMk5Ibi84Y1VsUzM3NTl0WHo1Y2xWVVZPand3dzl2OGRZYTc3MzNudTY0NHc2NXJxdHAwNmJwNFljZjF2Lys3LzlxMnJScDZ0Q2hnMHBMUy9Yd3d3L3IrZWVmVjE1ZVhxdmZ3d2tBdXdMbERFQkN1T09PTy9UYWE2OHBGQW9wR28zS1dxc3p6enhUKys2N3IxNTg4VVZOblRwVnI3Lyt1anAyN05qd21qVnIxbWpTcEVsNjdiWFg5T01mLzFoMzNYV1hPblhxcEJ0dXVFRS8vL25QZGZubGwydlFvRUY2NnFtbmxKeWNyRi84NGhmNjJjOSs1dWwrQWtoOGxETUFDZUZuUC91WmNuSnlWRnRicStUa1pQWHAwMGZISFhlY1ZGZkNzckt5MUxGalIxbHJ0WGp4WWozenpET2FPM2R1UTFrYk9uU29PblhxSkVucTJMR2pKa3lZb0N1dXVFTFRwazNUeVNlZnJGdHV1VVVwS1NtZTdpT0E5b0Z5QnFETlNFbEowYVpObTFwY05talFJQTBhTktqWmVDUVNVVUZCZ1E0KytHQjkvZlhYdXZEQ0MvWGxsMThxS3l0TG8wZVAxdkRodzNYODhjYzN6Qzh2TDllQ0JRdjArZWVmNi9ISEg5YzExMXlqVjE5OVZTVWxKVHIzM0hOMTdMSEhLaU1qWTdmdUo0RDJqWElHb00zbzI3ZXYzbnp6VGQxNTU1M2FkOTk5djNOK1RVMk4zbnp6VFpXV2xtck1tREhxMUttVHpqMzNYSFhyMWswbm5YU1NRcUdReXNyS0pFbHZ2dm1tWnMrZXJmejhmTVhqY1EwWk1rUWpSNDdVWTQ4OXBsZGZmVlVUSmt6UVRUZmRwRUFnb0FNUFBGQ2pSbzNTa0NGRDlzQmVBMmh2S0djQTJveHJyNzFXTlRVMWV2bmxsMVZkWGYyZDh3T0JnUGJhYXk5ZGRkVlZHanAwcUNUcGQ3LzdYWk01K2ZuNWtxVDU4K2Ryd0lBQnV1S0tLM1RjY2NjMWxEOWpqRTQ1NVJTZGVPS0pLaXdzMU50dnY2M2k0dUtHZTZNQndLNUdPUVBRWnZUbzBlTTc3eisyczRZTUdhTFJvMGZycEpOTzJ1Nm5jWUZBUU9Gd1dPRndlSmR1SHdDMlJUa0QwSzQ1anFNUkkwWjRIUU1BR25BWFJRQUFBQitobkFFQUFQZ0k1UXdBQU1CSEtHY0FBQUErUWprREFBRHdFY29aQUFDQWoxRE9BQUFBZklSeUJnQUE0Q09VTXdBQUFCK2huQUVBQVBnSTVRd0FBTUJIS0djQUFBQStRamtERWtVOFVtWmtJdkY0WE9YbDVWNm5RUnRUWGw2dWFDd3FZeFZUUEZMbWRSNmdQYU9jQVFtaU1xb04xdHJxYURTcWt0Sk5Yc2RCRzFOU3VrbTFOYld5VXFReXFnMWU1d0hhTThvWmtDQksxcXo0U2xKbE5CclQwbVVmcWFxcXl1dElhQ05xSXhFdCsyaUZhbXBySmRtYXV2OHZBZkFJNVF4SUhLNnNuV3F0NHJQbnZLSlg1NzJocjh2S1pLMzFPaGQ4eWxxcnNpMWI5T1piNytpRjJYTmtyZUt5ZHJ3azErdHNRSHRtdkE0QVlOZkp5Y2xKc1NrZC91TVk1OFNNakhRZGRmaVAxYjlmWC9YdXRhODZaR1o2SFE4K3NuVnJ1ZGF1VzZlUFZueXNCUXMvVUhsRmhheTFiOFFxTnAzKytlZWZWM3VkRDJqUEtHZEFndW1hMDdkSGVrclNORWtuR0dNY3h4Z0Zna0VadzQ4N3ZtV3RxMWdzTG11dHJMV3VwTG0xdFpHTHYxeGR0TmJyYkVCN3g3czFrSUN5c3cvS1RNdE8rWU1qYzRxa2RHTnNtclVteWV0Y1hyTFd5cGh2M3ZPc2xXM3ZaZFVZUmExVUthc3FLL2ZOcWsyeHUwcEtWbFI0blFzQTVReElhSHZ2UFNoTnFiVmRuS0E2QmVOT210ZDV2SlFjTXJrcFNXYWtNVTZ3T2hLZlhCdXh4VjVuOGxMVWlWZmJ1TmtjcnlqWnZISGp4a3F2OHdENFZ0RHJBQUIybi9YckYxZEpxcEswenVzc1hndUh3OG5HbUQ3VzJwUzBaR2ZkeWhYNUM3M09CQUF0NFdwTkFBQUFINkdjQVFBQStBamxEQUFBd0Vjb1p3QUFBRDVDT1FNQUFQQVJ5aGtBQUlDUFVNNEFBQUI4aEhJR0FBRGdJNVF6QUFBQUg2R2NBUUFBK0FqbERBQUF3RWNvWndBQUFENUNPUU1BQVBBUnloa0FBSUNQVU00QUFBQjhoSElHQUFEZ0k1UXpBQUFBSDZHY0FRQUErQWpsREFBQXdFY29ad0FBQUQ1Q09RTUFBUEFSeWhrQUFJQ1BVTTRBQUFCOGhISUdBQURnSTVRekFBQUFINkdjQVFBQStBamxEQUFBd0Vjb1p3QUFBRDVDT1FNQUFQQVJ5aGtBQUlDUEJMME9BQUM3MnFCQmc5SmMxKzNhZU13WTA4TmFHekRHT0pKNmhNUGgzbzJYeCtQeDBzTEN3c285SGhZQXRrRTVBNUJ3WXJIWVFZRkFZTW0yNDhhWStvY3pHajJXSkRtT2M3aWtSWHNvSWdDMGlzT2FBQkxPMHFWTEM2MjF5M1owdnJXMnFLQ2dvRm1aQXdBdlVNNEFKS0s0dGZZSmZWTzhaSzF0TnFIeHVMVjJwcVQ0bm84SkFNMVJ6Z0FrSk5kMVowbmF1Z05UdDhaaXNSZjNRQ1FBMkNHVU13QUp5WEdjalpLV2JudHVXV04xeTViRzQvRXY5bVEyQU5nZXlobUFoRlJRVUZBdWFhRzExbFhkWWN4NmpRNW5Xa2tMaTRxS1NyMUxDZ0JOVWM0QUpLcTR0Zlo5U1Z1Mk02ZXFiazUwRCtZQ2dPMmluQUZJV1BGNC9IMUpKZlhQdDcwNHdCaXpOUnFOZnVCVlBnQm9DZVVNUU1JcUxDejhYTktTbHM0N3F4dGJzbno1OG5WZVpBT0ExbERPQUNTMFdDdzJyYlZscnV0TzNiTnBBT0M3VWM0QUpMVHE2dXJYcmJVYnR4MjMxcGFVbFpYTjhTWVZBTFNPY2dZZ29SVVhGOWNhWTZiWEg5bzB4c2dZSTJ2dGMydldyS254T2g4QWJJdHlCaURoeGVQeDZkYmFTUDN6dXNmUGVKc0tBRnBHT1FPUThLcXJxeitUVk5UbzA3T1BBNEhBU3E5ekFVQkxLR2NBRXA3cnV1V1NGdGx2TFlwR281dTh6Z1VBTGFHY0FVaDR4Y1hGdFhVM202MlNGTEhXdmw5WVdGanBkUzRBYUVuUTZ3QUFzQ2NZWXhiVTNaQTIzWFhkOTd6T0F3QUEwTjZaY0RnOE54d09MK0tvQVFBL2EzN2JiQUFKSS91Z2d6SlRvazRQSnhqcTdoaWI0WFVlcjZXSGRJb3hUcWlpMXYyUDExbThGcmVxdExIb2hrclZmdlgxWjU5dDcvdEhBZXhobERNZ0FYWE96ZTJRR1V6N215UG5mQmtic0RLT3JPWFRJdFYvcnladmZUTEdOYkt1ckltN3NpK1d4eXAvdjdtNGVLdlhzUUR3RGdVa25GNjVmUTh4U1VtVGpOWFJ4aGduSlRsWm1aa1pDb1ZDWGtlRGowU2lVWlZ2TFZkTmJhMnN0YTQxV3FDb0hiTzJ1SENKMTltQTlvNXlCaVNRN0lNT3lrdzNxYTg3Um9jbEo0ZDA3bG5ETlBqb281U2QzVmxwcVdsZXg0T1BWTmRVcTZSa2t4WXUrbEJQUGZPY2FyOHBhZmxiWTVYSDhRa2E0QzNLR1pCQWV2Y1plSytSdlNZdExjMDhlTjlZRFQ3cVNBV0RRZFhmZkJWb3pGcXJXQ3ltSlVzTE5lS1N5MVZWVlcyTnRSTlhyeXdjN1hVMm9EM2pIQlFnUVhUdDJqZkRrVDNWR0dQT091TTBIZkhqdzVTVWxFUXhRNnVNTVVwS1N0TEEvdjEweG1tbnlCaGo1SmhoM2JzUFNQYzZHOUNlVWM2QUJKR2FGZWhtalVsTlNncXFYOStEbFphYTZuVWt0QkhKeWNucTM2K3ZrcE5Ec2xKU1NwYTZlWjBKYU04b1owQ0NjR1c2eXRxVVVGSklQYnJ6dXhVN1o2L3UzWldhbWlwWmsrVGFlTGJYZVlEMmpISUdKSWhnd0VtVlVjQUpPRXBMNCtSLzdKejA5SFFGQTBISktCQndramlzQ1hpSWNnWUFBT0FqbERNQUFBQWZvWndCQUFENENPVU1BQURBUnlobkFBQUFQa0k1QXdBQThCSEtHUUFBZ0k5UXpnQUFBSHlFY2dZQUFPQWpsRE1BQUFBZm9ad0JBQUQ0Q09VTUFBREFSeWhuQUFBQVBrSTVhd01HREJpdzM0N002OW16WjJxZlBuMjZ0TFk4TnplM1F6Z2M3cnBMdzZIZHE2aW9VRmxaV1l2TG90R29hbXBxdnZlNmx5eFpvbGRlZVVVYk5tejRBUWwvdUpxYUdxMVpzMmFIOW1WbjV0YmJzbVdMWG5ubEZiMzc3cnMvTUNtQVJFQTU4MDRnSnljbnBmR2YzTnpjNUcwbkRSdzRjR2dnRUNnT2g4Tm5mdGNLdTNidE9pWTFOWFZ0YThzN2RPaHdyNlQ4WFJFZTdkZTJwZVArKysvWHBaZGUydUxjS1ZPbWFOaXdZZDlyTzg4Kys2eEdqUnFsRzI2NFFZOCsrcWhjMS8xZTY5a1ZsaTlmcm5QUFBWZkxseS8venJsRlJVVTY5OXh6dFhUcDBoMWFkMWxabVM2NTVCTGRjTU1OdXVXV1c3Unk1Y3Bka0JoQVd4YjBPa0I3TlhEZ3dBc2R4L25uTnNPYkpHVTNIaWdvS0pnVERvZmZsdlI0djM3OUJpeGZ2bnpkbmsySzNTa25KeWNsSXlOanYrWExsNitVNUYzNzJFR1JTRVFYWFhTUmNuTnpkZU9OTnlvcEtXbVhiOE4xWFQzeXlDT2FOR21TaGc0ZHFoLy8rTWU2L2ZiYlZWNWVycHR2dmxtcHFhbTdmSnRlV2IxNnRhNjk5bHFWbHBacS9Qanhtang1c2k2KytHTGRlKys5T3Z6d3c3Mk8xMmEwdForam5kR25UNTh1cWFtcHY1ZDBtakhtUUVrZEpKVmFhNzh3eHJ3YWk4V21GaFlXcm03cHRRTUhEc3d4eGp3bWFXRitmdjZmdnMvMncrSHdFRW1YU3pyTUdOUERXcnZSR1BOMlBCNi9mZW5TcGF0KzhBNmlSWlF6YjFWYmEzOVM5M2k0TWViaUFRTUdwQWVEd1o5dU0yK1dwQU5Eb2RDSmVYbDVKWTNHWTB1V0xKbXpveHV6MXZKSnFjOTA2TkFoT3hnTXZoY09oNHV0dFU4NGp2T2k2N3FsQlFVRjVaTGlYdWZiVmlnVTBwbG5ucW14WThkcXc0WU4rdnZmLzk2d2JNMmFOWm83ZDI2VCtRVUZCYXF1cnRiVXFWT2JqSGZ0MmxWbm5YVldzL1YvOWRWWHV2bm1tN1ZvMFNLTkhEbFNsMTEybVl3eHlzek0xRTAzM2FSZi9PSVgrdXRmLzZxQkF3ZnV4cjM4UmxGUmtiNysrbXRKMGllZmZDSkordWlqanhTSlJDUkpuVHAxMHNFSEgveTkxLy84ODgvcjNudnZWYmR1M2ZUWVk0OXB2LzMyMDhDQkEzWDk5ZGZyc3NzdTB5OS8rVXVOSGoxYUtTa3B1MmlQRWxkYit6bmFVUU1IRHZ5bDR6aVRKR1ZLcXBHMHdscGJib3pwWW93NVZOSmhqdU44TGVsdmpWOFhEb2YzbG5TMU1XYTBwQlJyN2NJZkVPTitTUjBsTFpaVWJvd1pKT25YanVPY25aZVhkOHlTSlVzS2YvaWVZbHVVTXc5WmE5MzgvUHdQOWMwUDAyR1NsSlNVdEsrMTlqK3R2T1RSYlY1ZktTbWp0ZlhuNU9Ta2RPclU2Y1ZHUXdkTDZoSU9oNXY4QmpYR1BMOWt5WklIZjlqZTRBZHc2dDd3OHF5MXR4aGpDc0xoOFB2VzJvV0JRT0Q5eFlzWGYrbDF3TWJPUC85OEJZTkJQZkxJSXczbFJaSTJiTmlnVjE1NXBjbmN6WnMzS3hLSk5CdlB6YzF0VXM1cWEydjF4Qk5QNkovLy9LYzZkdXlvQ1JNbTZJZ2pqbWhZL3RPZi9sVFRwMC9YRFRmY29KRWpSK3FFRTA3UXhSZGZyTnpjM04yMm41TW1UZEk3Nzd6VFpPeUJCeDVvZUR4NDhHRGRmLy85TzczZUZTdFc2TzkvLzdzS0NncDB6am5uNk9xcnIxWmFXcG9rS1MwdFRlUEhqOWUwYWRNMFljSUV6WjA3VjcvNzNlOTA5dGxuS3hRSzdZSzlTbWh0NnVmb3UrVGw1VjBpYVZMZCsveVZKU1VsVXovLy9QUHErdVdEQmcxS3M5WU9xeXR0alY4M1R0TG91dC92aXlVTitvRlJyc3pQejMrbjhTZVM0WEI0Z2pIbU1tdnRHRWtqZitENjBRTEttYzhzWHJ4NFpVNU9UcW9rZGU3Y3VlZFhYMzMxUlRBWXRKTFVwVXNYSnhxTjdydDE2OWExa2xRL0hnNkhmMVAzcWRnZ1NjR0JBd2YrVDkzcVBwSzBwdEhxZXhsak1xMjFEV1BHbUFza2ZieG45eEtOV1d1Tk1VYkdHQ01wUzlKeDF0cWZHR1BLckxVbDRYRDRBMnZ0dnlLUnlQd1ZLMVpFdk00clNjT0hEOWVwcDU2cWVmUG1hZjc4K2VyY3ViT09QUEpJUGYzMDAwM21QZlRRUTNyKytlZWJqZGVycUtqUXJGbXo5T1NUVDZxa3BFVERoZzNUU3krOXBLdXZ2cnJGK2RaYW5YMzIyWm96WjQ3bXpadW53dzQ3VEtlZWVxcE9QUEZFWldabTd0Sjl2UHZ1dXhXTHhhUzZUd0N2dXVvcWpSczNydUZUdTJBd3FQSGp4K3ZKSjU5c2xsR1Nycnp5U2hsamRORkZGK21paXk3U3NtWEw5SzkvL1V2ejVzMVQ3OTY5ZGRoaGgrbmxsMS9XeXkrLzNPTDIrL1RwbzBBZ29MRmp4K3JoaHgvV3lTZWZyTk5PTzAzOSt2WGJwZnVaS05yaXoxRnIrdmZ2MzEvU2VFbFZrbzZyLzBkOFk0c1hMNjZTOU5TMjQ5YmF2cExlTk1iY1pxM3Rib3hwK1lkdkIrWG41Ny9Wd3ZBTVNaY1pZenIva0hXamRaUXpEeGxqbkx5OHZDUDF6WGsyKzMzem5pSzdaczJhbW9FREIyWkptdGUxYTllWDh2UHpMOU0zaDFIK054QUlYTlM1YytjaFM1WXNLV3EwcWduR21LQXhKbEQzditta3V2RmI4L1B6TDZxZmxKZVg5NFMxOXZER1krRncrTlM2N2NJanhoaXJSci9VNnppU09rdnFiSXc1eUJoellYSnk4aGZoY1BncGErMk1tcHFhenh6SEtmZnFsOHlDQlF2MHdBTVA2Sk5QUGxGcWFxbzZkOTc1OStqOC9IeU5HVE5HbFpXVkdqaHdvTzY3N3o3bDV1YnFuSFBPMmU3ckRqamdBSTBhTlVvVEowN1V5eSsvck1XTEYrdVFRdzdaNWVXczhibHQ5WTlUVTFPYmJHZnc0TUhxMHFYcEJkSmZmUEdGWnN5WW9iUFBQbHU5ZS9kVy8vNzlkZTIxMStxTk45NVFXbHFhUm84ZXJRc3Z2RkNscGFVcUxTMXRkZnNkTzNiVXZ2dnVxNWRmZmxsVHBrelJqQmt6VkZKU29udnV1V2VYN21laWFJcy9SNjBKQm9PM1NFcVM5TWVXaXRuMnhPUHhjd29MQ3l2MXpmdjdlYnNqbjdYMndMcmZHNHQyeC9wQk9mTmFxcVQzSk1seEhOVmRFQ0I5ODBZelZWSzI2N29OaHhzZHgvbUg2N3BuV1d2bkRobzA2Q2VMRnkvK1ZOLzhrc3ZRTnorSWY1SjBVLzN6Rm9TTU1kLy92Z2FKSVJnT2h3OXhYVGZUR09PNnJ1czZqaE9QeCtOdUlCQ0l4K1B4dU9NNGJ2M3pXQ3ptQmdLQmVDQVFjT1B4ZUR3UUNMalJhRFNlbEpUa1ZsZFh1eWtwS2ZHS2lnbzNMUzB0dm5YcjFuaGFXcHE3WXNXSzJQYzlLYm0rS0RmK0JkUG84VDdHbUt1Tk1iOVBTMHNyc3RaK01IRGd3SVhHbUEveTgvT0xXbDdqcnJWczJUS05HemRPQlFVRjZ0Mjd0KzYvLzM3Tm56OWZ5NVl0a3lUTm5EbFRoWVhmbm9LeWF0VXFWVlJVNkthYmJtcXluai84NFEvcTE2K2Y4dkx5Tkh6NGNCMXp6REVxTGk1V2NYSHhkeDYrVzd2Mm13dVNiN3JwSmwxNjZhVXFLQ2pRZ1FjZXVFdjNzNmFtcHNudE8rb2ZiOWl3UVd2V2ZQdGhkTDkrL1JRT2g1dThOajgvWHpObXpORHh4eC9mY0dqMkp6LzVpYnAxNjZaUm8wWXBHbzNxczg4K2srck80V3ROZFhXMVZxMWFwYnk4UEQzNzdMT2FPM2Z1SHZuVXpMcFdLVWwyLzd5OHZManJ1cTR4eG0zMDgrRTZqdVBHWWpIWGNSdzNFQWcwZVJ5TlJ0MWdNQmlQUnFOdUlCQndJNUdJR3dnRTNQcWZsNlNrSkxleXN0Sk5TVW1KcDZhbXVwczJiWExyZm1aY1NiRmR0UTgvOE9mSXRyeldQYU5uejU2cHhwalRyYldSZUR3K1pXZGZYMS9NZHJXK2ZmdUdITWZwbnBTVWRMb3hacXkxOXNPcXFxcnh1Mk5ib0p4NXlscGJtWitmbjZWdlR2eTgySEdjMi9UTkoxeTNTanJYZGQzZkxWMjY5S1A2K1lzWEx5NGROR2pRaWRiYWQxelhuVmRYMFA2N0U1dE1zOVpXNzhDOGhKV2JtNXNtNldiSGNZNlNaQU9CZ0pWa2s1S1NyQ1JiOTY5djZ6aU9OY1kwTExmVzFqOVdLQlN5a214YVdwcTExdHJNekV4cmpMR2RPM2Uya213NEhMYU4zdUJqK3YvMjdqdzhxdkxzSC9qM1BtZXlFd2dCQkNSS1FGQUlTK1pNbFBadDdhdkZyY29MaU5wYXExVHIvcXVvb0tnVlg1ZHF4ZGU2Z09KYWxZcExSWXV0dUZWUlhDb1ZCREtUVEdKWVpBbktuZ0NCd0dTWm1YUC8vc2pNT05sSXdDUXpKTi9QZGVYS3pIT2VPZWMreWt5Kzg1eHpuZ1A0UlNSZzIzWUFRRUJFQWdBQ3Fob3dEQ05SVlZNYWpsNDJONW9aK2dPVExDSVdBS2VJWEF5ZzNPbDBydlVIMVhQQXIrMDZETHB0Mnphc1c3Y08wNlpOdzY5Ly9XczRIQTU4L3ZubmtlV0JRQURsNWVXUjBhV0JBd2RpNE1DQnFLbXBhYlFmQ1FrSm1EMTdOZ0Nnc3JJU3Yvbk5iNUNZbUJqK290SXNWVVZOVFEzZWV1c3RISFBNTWVqZnYzK2I3MmR4Y1RHdXVlYWFSdTEzMzMxM3ZlZlBQLzg4Rml4WWdBc3V1S0JSU0lzMlljSUVUSmhRTnh2T3d3OC9qUG56NXlNcHFkSE1PWTNVMXRiaXJMUE93cC8rOUNlY2VlYVpoN1V2aDBvQUpEbU0zd0lZR240L21LYXBJcUlPaHdQUjd4ZUVUcThJOTB0SVNJQ3FScGFucEtSRStvWGZMejE2OUZBUlVWVkZNKzhaaEpaWGg5NC93ZEJQUUZXREloTCtIVzRMaEU1NlQyNkw5eEdBMXlvcUt0NHFMUzF0ZXZLK2RwYVptVGtjUURLQWxlMFZ0QTZWWlZuYlJhUXY2djdiMWFycWZYdjI3SG00dExTMHEzL1piemNNWjdFWFFOMkhpSTI2WUhZMWdMdFY5WEVBbnpYc0hBd0dmeTRpMXdCNHc3YnROd0djMU5vTnFXcFBFWW5KQjA2OHFCc0lrRVJWVFExOWNJYy92VVUxRW13a3VoMTEvMzhpeThPL0phU3AxMHNUZnhVYWhnNFJhWGdJcHRWQ3J4TVJTVkhWN2lMU1QwUlQwTTVIcU04NDR3eU1HVE1HR1JrWmtiWVRUamdoY2tXaGJkdFl0MjRkWG52dE5mVHBjK2p6SGMrZVBidmVoUUJOS1NrcHdlVEprdytqK3RZYlBudzRYbjc1NVJiN0RSdzRFRzYzRy92MjdjT2NPYTBmUkJnOWVqVG16cDNiWXI4YmI3eXgxZXRzUzRaSVF1aExRNlAzUklQM0NScjBpVHhYVlFuL084WDM3NWRtMTlYd1BkTlVzQXEzUlM5cjYvY1JnUFMwdExTWVhka3VJcjFEdjNjMVhPWjBPczgxRE9PZkRacnozVzczaVllenJkemMzQUdtYWRhYm0wWkVhcHY0MGo4M05NM1QwU0x5SXdEMzllelowMHBQVDcreXFLaG9ENmpOTVp6RkdWVmRBK0J2SXZJeGdQVjVlWGtqOHZQelY2UHVBLzBvd3pCZVV0VS9BamozWUVGcnhJZ1JtUWtKQ2VkRnQ0bklZRlhkN0hRNnI0eHFUZ1dRNDNRNnI3UnQyKzMxZXQzdHVYK3h0bUhEaGdPNXVibDNxV3FtaUppbWFScTJiWnVHWVJpcWFxcXFZUmlHWWR1MktTSm0rSEYwZTdndkFFTlZUUkZwK05zTVQvQWNmaDcxMndqM0N6M3VEdURYb2ZOTElzSi9iSm9aQ1FpcTZpNFIyV0xiOWpjQW5pNG9LRmlTUGN4NU1nUy9hcy8vZnVFZ0VxMVhyMTdvMWFzWFB2MzBVNlNrcEdEdjNyMTQvUEhITVhiczJHYlgwNjFiTjV4MFV1UHZGU3RYcm16MmJnTmhXN1pzK1FGNzBEcHBhV25JeWNtSlBIZTczZmo5NzMrUHA1NTZDaTZYcTE3Zjg4OC9IMDgvL1RUV3JsM2I2c09yRlJVVmphNWdiVXBaV1ZtYm4wdlhFZ1hncXczT1RUYXhNZlJ2M1dqbXQxbDNWa0JkVy9UeTBMOXh3ekFNTTd3czlINnAxei9jVDBRU29yNFFRVlVkQU16UUZaak5yai84dmd0Tk5YSGU0YnlQQUd5MWJYdHQrSDNVbG9kWEQ1TVBkYlUzK2g4dklqc0FmQmhhbmlRaXAvNlFEUm1HOFRxQW4wYTNoZjRHRFl0dTgzZzhNOEtQczdPemt6TXpNLzlQUkc0TWphU2UvME5xb0tZeG5NV1FpSmd1bCtzWCtQNEtHM2c4bnM4QmZIN0NDU2VrcDZXbFZkdTIvWHNBTndDQWFacVhxS29FQW9GWGk0cUtOaHhzM1laaERCQ1IyVkhiRWdDcGRTTXNrcU5SWHpWVmRZeUlqSEU0SERNQmRPcHdCaUJRV0ZqWTBYZEpNS0pHQ3lRbkowZHFhMnNGZGZNekhhT3FrOEovVkpvYUFZZzZmMmFQcXI1cjIvWWJ0bTJ2VTlVRHFucmc2NisvcnVpb2lUZG56WnFGVmF0YVByM3QvZmZmeC92dnY5L3M4c0dEQnpkNUJlZkhIMytNcFV1WEhuVGRWVlVkZjJUZXRtMzQvZjRtNzFKdzNubm40Ym5ubnNOZi8vcFhQUERBQTYxYTM4NmRPMXMxTXJkbHl4WU1Iano0c0dvK1hHSUlhb095YnUzWEJZMUc3anV5akFZL3lNdkxrNnFxcXNoN0p4QUlTQ0FRa0w1OSswb2dFTWd5REdQY2tmSStPcGp3MWZRaU1pTDAyUkdweWVQeExBWHdDOVI5V2M5eU9Cdy9hRkp5VmYzZmhoT2YyN2E5ci9sWEFLV2xwZFdscGFVM3VWeXVTU0p5bm1WWmZUd2VUOW5CWGtPSGp1RXNSZ3pEa05CNUVndENUUTRBKzhQTDE2eFpVK2x5dWY0SzRIY2pSNDU4S0NrcGFidHQyMU1Bdk5kU01FUGRpZHRGMFhPZ09aM095Nkx1U0hDTngrTjVwVDMyaTVwVTd3Ty9wS1FrOG5qMDZOSFZEb2Nqc2p6cUQ0aUd2a0h2czIyN1NGVmZLQ3NyZTNmcjFxMitEcTI4Z1huejVqWDVoeThZREdMMjdObjQrOS8vRG9mRGdjc3V1d3hYWG5sbHZUNEhEaHpBeG8wYk1YTGt5RVlqR1NrcEtYajQ0WWZoZERyUnMyZlBnOVpRV1ZtSmxTdFhvbmZ2M2dmdDkwTXRYcnc0TWtxM2VmTm1BTUNpUllzaS8vOHlNakl3WWNJRVpHWm00b3d6enNDSEgzNklLVk9tdExqZWlSTW40clRUVGp2b09XcGhSVVZGQ0kxT2REWDF6a0ZEM1RtM1RYYmN2SGt6Um84ZTdRdWZHb0lqNEgxME1GNnZkN1BMNVZvRDRBU24wem0rb0tCZ1lYdHRxNkRnc0FPNERXQVZnR01CREFUQWNOYkd1dVM3UGs2a3FXcVp4K001Q25VblhGNEw0RS9SSFFLQndQODVISTdmSlNRa1BLbXFud0RJRnBGZnRyVGkzTnpjNDAzVFBCT0F1dDN1SndHSVlSZzNBQ2hTMVEwaThyOEFYanVTWjg3dVpNTG41QURBUGdBRm9VdlVsNm5xaW9LQ2dtYnZsOXJSVE5OczFQYnR0OS9pM252dlJYRnhNV2JPbkltS2lnbzgrdWlqT09XVVV6QjgrSEJVVjFmampUZmV3SXN2dmdnQWVQdnR0OUd0Vy8wTGlzOCsrMno0ZklmKzkvTFRUejl0dDhsWlAvdnNNNnhZVVRkVGdOL3ZCMEtCTFh6THFtT09PU1p5a3YrbGwxNkswMDgvSGYzNzk4Zk9uVHViWGVkcnI3MkdKNTQ0OVBtZUowK2UzT3o5U3luaWlIa2Z0VVJWSHhPUnAwUmtWbDVlM24veTgvT2JuM01sTmtSVmp3ZWdmcitmdHhSc0J3eG5NUkthSEhEM3dmcDR2ZDdObG1YZEt5TC9CK0JzQUMrNDNlNUdYeC96OHZMNkI0UEJzU0l5RGtDYWFacHJRdDhZbjBWZDhMc0pnS1dxbDlxMnZkbzB6YThzeTdyL2NPKzFSbTFPVmRVTFlJSGY3LytYYmR1YlUxSlNkdVhuNS90alhkakI3TjI3RjYrODhncGVmdmxsOU9yVkN5KysrQ0tHRGFzN1ZXWEpraVdZTW1VS0xyNzRZcnorK3V1b3FLakEyTEZqY2VHRkZ6WUtaZ0RnOC9rd1ljS0V5QldKczJmUFJzK2VQWEhwcFpjQ29TazZ2dm5tRzl4eHh4MUFhSjYxdVhQbkh2YUo0SzF4Wm8zeFlnQUFJQUJKUkVGVTMzMzNSUjZ2WExrUzExeHpEUjU4OEVHY2VHTGpjNitIRGgyS29VT0h0cmhPdjk4UFZjV1RUejRKaE82dGVmLzk5K1BoaHg5R1JrWUdhbXBxY04xMTEySHExS21SYVROdXUrMjJ5QzJqNktDT3lQZFJVendlejE5Y0x0Y0ZJakxXdHUybExwZnJlcmZiL1dIMGFLTEQ0V2ozZTVoWmxuV2FiZHMxaFlXRjBiZktNSjFPNXg5RlpCQ0FSY1hGeFR2YXU0NnVpT0VzUmtSa2hLcTJlTk5ZMjdZOW9Xa2RIQ0t5UHk4dkx5SDZ3OGF5cktOVmRVdm9Tc0J5QUsrbzZpSy8zNytvdUxoNFIraW10VE5WOWJQUW9VemJzcXluUmVRMnk3Sys4WGc4TDdUM3ZsTHpkdS9ldmF0WHIxNC9LU3dzWEJVUDU3dTB4c2FORy9IV1cyL2h6VGZmUkRBWVJFSkNBazQ4OGNSSU1BT0FtVE5uWXZyMDZYanl5U2N4ZVBCZ3ZQVFNTK2pidCs5QjE5dS9mLy9Jb2I3MDlIUmtabVpHbm4vMjJXZll1blZyNVBsMzN6WDlaZjNaWjU5RlZWVVZicmpoaGhhbjVJZ1ZFWW5zUi9pUVpVNU9EdnIyN1JzWlBUenV1T01pZmRyajV2S2R6Wkg0UG1wQjhNQ0JBK2VtcHFhK0tpTGpBZnpMNVhMdFV0VzFvUXNnQmdMb2g3cEUybTZIRkZWMWtHbWF6MW1XVlNnaWJnQ0pvWE9VaDZwcXFXRVlWN1hYdHJzNmhyUFlNRlgxbE5BTlpac1V1aURnTGdEVFZIV2xxbjRqSWxOVjlaVGMzTnhyQ3dzTGw2UHVHOVpXeTdKdVZ0VmxCUVVGeTZJL21FSVhHL3hEVmZmNC9mN2ZocGRWVmxaT1MwOVBQMGxFbm5jNm5TTUtDZ3B1allNcmxMcWt6WnMzVjIzZXZQbnJWblNOQ3pmZWVDT1dMRm1DaElRRWpCOC9IbGRlZVNWdXZmWFd5SEsvMzQvOC9IejgrOS8veHF4WnMvRFFRdzloNGNLRnVQcnFxL0hMWC80U3A1OStPdnIxNjlkdTlmbDhQcnp5eWl2WXRHa1RaczZjV1crVy8wTzFmLzkrVkZSVVlQZnUzWkdKZFQvNDRBTjgvdm5uS0M4dng2NWR1NUNYbDlkb1ByVHdoTFhoKzJWUyt6dlMza2V0c1diTm1rb0FFeXpMT2x0RWZxZXEveFc2UlY5UVZiY0FlRTFFRm5nOG5uWTdKODIyN1E4TXczaE1STTVTMVYrS2lBUEErdEFYL29meTgvTzc5TlJNN1luaExBYWNUdWYvaE81SjlwYlQ2ZndKZ01UUVljc0tsOHMxeExidHkwSTNsZTBwSWsrWGxaVk4zN3g1YzVWbFdVc0F6REpOOHl1WHkrVzJiWHRPUVVIQml4NlA1OUVHbTNDNFhLNy9CWEJINkZMeHNjWEZ4WkdoaG5YcjF0V0VKck45MXpDTWFaWmxqUVB3SjQvSDh6ZWVoMFlIYys2NTU4THBkR0xTcEVtUnVjNThQaC9XcjErUFcyKzlGVXVYTG9YUDUwTkdSZ2FtVFp1R3UrNjZDNU1tVGNLY09YTXdhOVlzekpvMUM4Y2VleXpPT2VjY1hIVFJSZGk0Y1NNUXVycHUrL2J0a1RzTjdOKy9Id2tKQ1pIbjVlWGw4UGw4a2VmaEUvUy8vdnBySkNRa0lEczdHK25wNlpnMmJScjY5dTJMUng1NUJOZGVleTNtekptRDd0MjdIL0orTGxteXBORWNZOG5KeWNqUHowZmZ2bjNSdDI5Zk9KMU9uSGppaWZqbW0yOHdkKzVjcEtlblExWHh5U2VmSUNVbEJZTUdEWXE4ZHYzNjlmRDVmTmkrZlR0VU5iSWY2OWV2QityK0VHUG56cDJvcnE2YjA3TzB0RFF5aFliZjcwZFpXUm1LaW9xUWtwTFNyamQ3cC9qajhYaitCYURwRzdDMi9Ob0YwVk9VSENxdjE3c1p3TlREZlQwZFB0NVVNUVlzeTdvWndIa2VqK2VubG1XOUtDS1hBdkNwNm5RQXA0dkllUUErdEczN3pvS0NnaFVOWGp0UVJHYW82bVdxK3J1Q2dvSy9OYkgreDBYa2VnQmUyN1l2S0NnbytLYXBPckt5c2xLT091cW9oMVQxOXdCV0JvUEJuOGZMak5SMDZMS0hPVStGNkd2ZDA5UDdQVHRuRm40ODVyRG1wVHdrRlJVVk9QUE1NeEVNQm5Ic3NjZGk3Tml4T1BYVVV6Rml4SWhHaHhVM2JOaUFKVXVXNE1zdnY4VDA2ZE94YytkT1hILzk5VzFTeCt6WnMvR3puLzBzOHZ5Tk45N0FuLy84Wnp6d3dBTTQ0NHd6RG5sOSsvYnR3MGNmZllTampqb0svZnIxdzFGSEhZVWVQWG8wMmJlOHZCeG5uWFVXRURwa09XREFBRXlkT2hVLy8vblBJMzB1dmZSU0ZCY1hIOWErUlJzK2ZEaGVlYVY5THJSZXRud2xicmo1RHlqYnRhc0Npa21scTJNNmxRWVJVY2NiT1hMa01WRlBJM1A1V0piVngrVnlEVy9wOWNPR0RldDFzR1dXWmQyWG5aMmQzSnBhY25OelR4NDlldlJSclN5ZDRsVDJNT2VwMmNOenQ0MGVjN0l1L1dxRmRwUzMzbnBMOC9Qek8yeDdyYlZodzRZTzNWNHdHTlJnTU5paDIyeExTNzlhb1NlZGZKcG1EM2Z1eVI3bS9FR1RteExSRDhQRG1qRVNmWmd4K2dxYzBHUitMWjdndVhyMTZrYTM5bWl3N003VzF0TGdTaHlpUXpKeDRzUllsOUNrNk1PS0hTRmVMMEFnb2lNUFAwMklpSWlJNGdqREdSRVJFVkVjWVRnaklpSWlpaU1NWjBSRVJFUnhoT0dNaUlpSUtJNHduQkVSRVJIRkVZWXpJaUlpb2pqQ2NFWkVSRVFVUnhqT2lJaUlpT0lJd3hrUkVSRlJIR0U0SXlJaUlvb2pER2RFbllUWTZoTkZ3TFlWMWRYVnNTNkhqakRWMWRVSTJrRUFDSXF0dmxqWFE5U1ZNWndSZFJJMUFmOTJpRlQ1L1g2VWxaZkh1aHc2d3BTVjcwSjFkUTBBMU5ZRS9OdGpYUTlSVjhad1J0UkpiTjFRc2wyaEIveCtQMWF0K1FiVk5UV3hMb21PRUg2L0g2dlhmbE0zNHFwYXZYVkRDY01aVVF3eG5CRjFIcldpK3I2cTRoOXZ2WVAxRzB0alhROGRJYlp0MzRFRi8xZ0lWUVdBdHdEVXhyb21vcTVNWWwwQUViV2RQams1M2RJMDRkOENzWHIyek1DazhmK0RFMTFPOU83ZEM2a3BLYkV1aitLSXI2b0s1ZVhsY0JkNjhZK0Y3MkwzN2oxUWhYZS9WcDFjdm1aTlphenJJK3JLR002SU9wbXNvYU4vNUREbFNRQ1dpQmlwS1NuSXlNaEFjbkpTckV1ak9GSmRYWTA5Rlh0UlZWVUZyUnN5Y3dkdG5mYmRXdThYc2E2TnFLdGpPQ1BxaEk0OWRsUlBJOFY0Umd6NVZheHJpUmVxR3ZuQVV3QWkvUGdMVTlWM1VDMi9MUzB0cUloMUxVVEVjRWJVcWZVY1BMaEhkelAxYUJoR2YxR2plNnpyaWFVa0U5bEpDZmlWWVVoQ1ZZMitXaE5FbHo0cHo5Ymdmb0Z1MmV2ZnY2Mml0SlNoakNpT01Kd1JVWmRnV2RZcElqSmZWWk1Cbk92eGVENlBkVTFFUkUzaDFacEVSRVJFY1lUaGpJaUlpQ2lPTUp3UkVSRVJ4UkdHTXlJaUlxSTR3bkJHUkVSRUZFY1l6b2lJaUlqaUNNTVpFUkVSVVJ4aE9DTWlJaUtLSXd4blJFUkVSSEdFNFl5SWlJZ29qakNjRVJFUkVjVVJoak1pSWlLaU9NSndSa1JFUkJSSEdNNklpSWlJNGdqREdSRVJFVkVjWVRnaklpSWlpaU1NWjBSRVJFUnhoT0dNaUlpSUtJNHduQkVSRVJIRkVZWXpJaUlpb2pqQ2NFWkVSRVFVUnhqT2lJaUlpT0lJd3hrUkVSRlJIR0U0SXlJaUlvb2pER2RFUkVSRWNZVGhqSWlJaUNpT01Kd1JFUkVSeFJHR015SWlJcUk0d25CR1JFUkVGRWNZem9pSWlJamlpQ1BXQlJBUnRiVzh2THhVMjdiN1JMZUpTRDlWTlVYRUFORFBzcXlCMGN1RHdXQzUxK3M5ME9IRkVoRTF3SEJHUkoxT0lCQTR3VFJOZDhOMkVRay9uQi8xR0FCZ0dNWVlBQ3M2cUVRaW9tYnhzQ1lSZFRxRmhZVmVWUzFxYlg5VlhWVlFVTkFvekJFUnhRTERHUkYxUmtGVmZRVjF3UXVxMnFoRGRMdXF2Z0VnMlBGbEVoRTF4bkJHUkoyU2Jkc0xBZXhyUmRkOWdVRGczUTRvaVlpb1ZSak9pS2hUTWd4akI0RENodWVXUlFzdEt3d0dnMXM2c2pZaW9vTmhPQ09pVHFtZ29LQVN3REpWdFJFNmpCa1dkVGhUQVN4YnRXcFZlZXdxSlNLcWorR01pRHFyb0twK0JXRHZRZnI0UW4zOEhWZ1hFZEZCTVp3UlVhY1ZEQWEvQWxBV2Z0N3c0Z0FSMmVmMys1ZkhxajRpb3FZd25CRlJwK1gxZWpjRGNEZDEzbG1velYxY1hQeGRMR29qSW1vT3d4a1JkV3FCUU9DbDVwYlp0djE4eDFaRFJOUXloak1pNnRTcXFxbytVZFVkRGR0VnRheWlvdUtEMkZSRlJOUThoak1pNnRUV3JWdFhJeUt2aFE5dGlnaEVCS3I2ejlMUzB1cFkxMGRFMUJEREdSRjFlc0ZnOERWVnJRMC9EejFlRU51cWlJaWF4bkJHUkoxZVZWWFZCZ0Nyb2tiUFZwdW11U2JXZFJFUk5ZWGhqSWc2UGR1Mkt3R3MwTyt0OFB2OXUySmRGeEZSVXhqT2lLalRXN2R1WFUxb3Nsa2ZnRnBWL2NycjlSNklkVjFFUkUxeHhMb0FJcUtPSUNKZmhpYWtUYk50ZTJtczZ5RWlJaUxxNnNTeXJJOHR5MXJCb3daRUZNOGFUNXROUkoxSFZsYktRRE05dzUvazZKR29abktzeTRtMWJpazRWMFNTS24zNmVxeHJpVGtKVm10TllLL2Z2M2Z2MXExYmZiRXVoNGkreDNCRzFBa2RmWFJlYW1LMzJtdGdHR2NLa0s2UWJvQW14YnF1T0dDR2ZnZGpYRWNja0ZxQlZpcFFDZUR6Mm4yT3g3ZHV6V2RJSTRvRERHZEVuVXpta0NIZHV5ZWt6WVBLZUpGSUdDRnFscXJhRUx4ZEc2eTZhdXZhdGVXeHJvZW9xMk00SStwTWhneEpHdWhJKzVzaGNwN0RZY0xseklXVk93cURzZ2NpbzBkR3JLdWpPTEp2M3o2czM3Z1IzdUlTck1qM0lCQUl3Rlo5ZDFQMTNsK0NkMDRnaWlsZXJVblVpUXhNNkhhbEtDWW1KU2JpeGluWFl1TC9uSTErZmZzaVBQa3FVVFJWeGM2eWN2eHIwVWY0djRjZlEwMU43ZGtERTN0Y3R3bDRKTmExRVhWbFBPUkIxRWxrWjJjbkc0NmtaMFdrMzdoZm5Ja2JwMXlMWHBtWkRHYlVMQkZCdDdRMEhEOTBDTlp2M0loMTZ6Y1lZc2l3akc3SnoxUlVWQVJpWFI5UlY4WEx5WWs2aVZxeld4K0lKSnVtQ1dmdVNLUjM2eGJya3VnSWtacVNBcGN6RndrT0IxU1I0SGQwN3gzcm1vaTZNb1l6b2s0aUlkSG9BMmh5VW1JaSt2ZnRHK3R5NkFqVHYxOWZwS1NrUUlDRUJBa3duQkhGRU1NWlVTY2hhblJYSU1GMG1PalJvMGVzeTZFalRNK01EQ1FtSmtJRkRwaUp2SHFFS0lZWXpvaUlpSWppQ01NWkVSRVJVUnhoT0NNaUlpS0tJd3huUkVSRVJIR0U0WXlJaUlnb2pqQ2NFUkVSRWNVUmhqTWlJaUtpT01Kd1JrUkVSQlJIR002SWlJaUk0Z2pER1JFUkVWRWNZVGdqSWlJaWlpTU1aMFJFUkVSeGhPR01pSWlJS0k0d25CRlJ6R3pkdWhWRlJVV1I1M3YyN09td2JhOWF0UXIzM25zdmJOdHV0by9INDhGTEw3MkViZHUydGNrMnE2cXFVRkZSY2RCdEVoRTVZbDBBRVhWZDgrZlB4NnV2dm9xVksxZGk2ZEtsbUQ1OU9xNisrbXBjY3NrbGNEZ2Fmenl0WExrU1c3ZHVQYVJ0REI4K0hFT0hEbTNVdm1YTEZpeGN1QkF6WnN5QVlUVCtubHBkWFkzYmI3OGRaV1ZsQ0FRQ3VQenl5eHYxVVZVRWc4Rkc3YVpwUWtUcXRRVUNBVng4OGNXb3FLakFSeDk5ZEVqN1FFUmRDOE1aRWNWTVVsSVNBTUMyYmZ6NHh6L0dsVmRlaWFlZmZob2Zmdmdobm4vK2VhU2xwZFhyLy9ycnIrUFRUeitOdks0bDFkWFZtREpsU3BQaHJDWHo1czFEV1ZrWmhnd1pnaGRlZUFIanhvMUQzNzU5Ni9WWnNtUUpwazZkMnVpMXQ5eHlDMzc5NjEvWGEvdm5QLytKVFpzMlFVU3djT0ZDbkhmZWVZZGNFeEYxRFF4blJCUXpLU2twUUdoVUtTa3BDWmRmZmpsKzlLTWZJVDgvdjFFd0N4czllalRtenAzYjRycDlQaDkrOXJPZkhWWmRxMWF0d3R5NWMvR0xYL3dDVTZkT3hYbm5uWWM3N3JnRHp6enpUTDBSdlpFalIyTE9uRG1SNTdadDQ4WWJiMFNQSGozcXJXL2J0bTE0NG9rbk1ISGlSSFRyMWcyUFBmWVlmdlNqSDJIQWdBR0hWUjhSZFc0TVowVFVMc3JLeW5EdXVlY2V0RThnRUFBQWpCMDd0dEd5WjU5OUZoTW1UTUJ0dDkzV1pqVUZnMEdVbEpRQUFMNzk5bHNBUUhGeE1VelRSTy9ldmRHL2YzOVVWbFppeG93WnlNakl3QzIzM0lLTWpBemNmdnZ0dVBQT08vSFFRdy9oOXR0dmo2eXZaOCtlNk4rL1A5NTY2eTNjY01NTnFLeXNCQUJrWkdUVTI4Y1pNMllnT1RrWlU2ZE9SVkpTRXBZdFc0WWJiN3dSTDc3NElycDE2OVptKzBkRW5RUERHUkcxQzl1MlVWMWRqVk5QUFJXNXVibE45bG0xYWhVV0xWcUUzL3ptTjBoUFQyKzAvSEFPUng2TXorZkRaWmRkVnEvdGlpdXVBQUJjZE5GRnVPR0dHM0RUVFRkaHk1WXRlUGJaWnlNaDY1eHp6c0hxMWF2eDZxdXZ3akFNM0hycnJaRnp5a3BLU3JCZ3dRSk1tellORlJVVkFCQVpPUXNHZzdqampqdFFVbEtDNTU1N0R0Mjdkd2NBekpvMUM3Lzk3Vzh4WmNvVVBQYllZNDFHMm9pb2EyTTRJNkoyTldiTUdGeDQ0WVZOTGx1MGFCRVdMVnFFYzg0NUI0TUdEV3IzV3RMVDAvSEZGMThBQU82NTV4NHNYcndZbjMvK09RekRRQ0FRd1BUcDArRjJ1M0hISFhmQXNxeDZyNTAyYlJxcXFxcnd4aHR2WVB2Mjdiam5ubnZRbzBjUDdOcTFDejE3OWdRQTdOMjdGd2lGczVxYW1zZzI3cjMzWG93ZVBUcXlyZ0VEQnVEeHh4L0g3My8vZTF4KytlVjQ0SUVIY1B6eHg3ZjcvaFBSa1lIaGpJaGlKbnhlMmY3OSt5TnRnVUFBUlVWRmpjSlJtTmZyeFU5Lyt0UEQzbVpxYWlvQ2dRQysrdW9yQUVCeWNqSWNEZ2V1dWVZYXJGeTVFci83M2U5d3hobG5SQTVSUnJ2Kyt1dVJscGFHbDE5K0dROCsrQ0JtenB5Sjh2THlTRGdMajV5RnIrNWN1M1l0cGs2ZGlwLzg1Q2VSWldFREJnekFBdzg4Z0x2dXVndVRKMC9HTTg4ODArdytFMUhYd25CR1JPMXErZkxscUttcHFkZVdscGFHODg4L1AzS1lMenE0TEY2OEdETm16TURkZDkrTkNSTW1ORnBmVmxaV2s5TmFOT1QzK3pGejVzd21sNjFZc1NJU0NPZk5tNGR4NDhiaDRvc3Z4azkvK2xOczI3WU5wNTU2YXJQcmZmSEZGekZ5NUVpNFhDNEFhRFJ5NW5BNDBMZHZYNlNtcHVMUlJ4L0Y0NDgvamxtelpqVzd2cmZmZmh2ejU4OXY5dEF2RVhVOURHZEUxQzdDSi92LzV6Ly93YkpseXlMdGZyOGZmZnYyeGZubm40OCtmZm9Bb1lBVDlzb3JyNkJidDI0NDdiVFRHcTN6MWx0dlJUQVlSTDkrL1ZyY3Zxb2lMeTh2RXB5aUxWNjhHTWNkZHh6V3IxK1B3c0pDTEZteUJNODk5eHorKzcvL0d4czNianpvVlo2REJnM0NxRkdqSXM5Mzdkb0ZWY1VYWDN5QndzSkNKQ2NuWThXS0ZYanFxYWVRa0pDQXpNeE1WRlZWTmJ1K280OCtHamZmZkhPTCswTkVYUWZER1JHMUM1L1BCd0M0ODg0N01XN2N1RWo3YmJmZGhnMGJOZ0FBZXZmdURSR0p6TUMvWXNVS2xKU1U0SnBycnFrM2xjYW1UWnV3WmN1V3lQUHc2eEVhU1R2MjJHTWpyL2Y3L2ZYcUNFOWFlL3p4eDZOMzc5N1l0V3NYM24vL2ZVeWVQQm5yMTYvSFhYZmRoVi85NmxmNHh6LytnWWtUSnlJOVBSMkRCZzNDZDk5OUZ6bGhQenM3R3dpZEkvZkJCeDlnMHFSSk1FMFRDSTM2clYrL0htNjNHd2lGd3FsVHArS0xMNzVBUWtJQ3NyS3kwS05IRDN6NjZhZVlQWHMyM256enpjaDBIQXNXTE1EcTFhdHh5U1dYdFBGL2ZTSTZrakdjRVZHN0NJZXo2R2tsRUxxRlVXcHFLZ0RBNFhCZ3dJQUIyTFJwRXdLQkFQNzg1eitqVjY5ZW1EeDVjcjNYTEZ5NEVQUG16V3R5TzVkZmZqbXV1KzQ2SUJUOHdpZmxOM1RmZmZmaG5IUE93Yng1ODNETU1jZEVyZ1ROeU1qQWswOCtpYUZEaCtLcXE2NUN2Mzc5OE1BREQ2QnYzNzdZc1dNSFBCNVBKSnk5OGNZYjJMbHpKeTY0NElMSWV1ZlBuMTl2T3g5OTlCSCs4SWMvSURFeEVYZmRkUmUrL2ZaYnZQamlpK2pkdXpjMmI5NE1yOWNiT1NUNjBrc3ZZZkRnd1F4bmJjTUUwUGgyRFVlNDNOemM0dzNEdUVsRVRsZlZZNlR1TXVGeVZWMWVWVlYxeGVyVnEzYzE4VExEc3F5clJlVFIzYnQzWjVhV2xsWWY2blpkTHRjUVZiMVJSTTRBY0l5cVZnTHdBbmpRNC9Fc2JwdTlvK2J3M3BwRTFDNjJiOThPTkJIT2ZENWZ2Vkd4NDQ4L0hzWEZ4WmczYng0MmJOaUFtMisrT1RJNWJiVHUzYnZqczg4K3EvY1RQbWN0MnVUSmsrdjFXYmh3WVdUWm5qMTc4T2FiYnphYW5YLzQ4T0Z3T0J3WU0yWU12dnp5U3dRQ0FTUW1KbUxreUpFb0xDd0VRcUd5cUtqb29PZWpiZHEwQ1ZWVlZUQk5FdzZIQTVabG9haW9DRnUzYmtWT1RnN1MwdEt3ZE9sU0FNRHExYXV4WmN1V0pzK3JvME16WXNTSVRLZlRlYS9MNWJwdzFLaFJ3enJMd0lQTDVScHZHSVpYUks0QmtDWWlYd0VvVnRVVUVabVlscGJXcDhGTHhMS3NDUzZYYTRXSVBBMmc4UnVwOWFZQXVGaFZONmpxYXlKU0F1QjBFZm5Zc3F5V1QvcWtINFRoaklqYXhmcjE2d0VBQXdjT3JOZStiOSsrZW5PYTVlWGxZZHUyYmZqTFgvNkNVMDQ1QldlZGRWYVQ2eE1ScEtlbjEvdHBlUDlLQUVoSVNLalhKM3FTVjlNMDBiMTc5MllEMGNrbm40ejkrL2ZENi9VQ0FISnljbEJRVUFDRTd1c1pDQVRxVFppN2N1VktQUFBNTTdqaGhoc3dkdXhZbkhmZWVTZ3ZMMGR5Y2pJQTRKUlRUb0dJNEtPUFBvSnBtbkM1WEpHclJCY3ZYb3dlUFhvYzlsME02SHVtYWFZYWhuRzlxcjdnY0RnK3NDenJIY3V5cmgwMmJGaXZXTmQydUxLenM1TlY5VVVBaWJadFgrZDJ1d2U0M2U3L2RydmRMby9IMDF0VmYxbFRVN01uM0Q4dkwyK1laVm5maXNoQ0FMMVZ0ZXlIYkY5VlgvSDVmQU05SHM4NUhvL25TcmZiUFZaRUxrTGRlL0dPdHRoSGFoN0RHUkcxaTVLU0Vnd2NPTEJlT0ZKVjdOeTVzOTVvMnNpUkk0SFFiUHQzMzMxM3BIM3UzTG00Ly83NzI3U203dDI3WTg2Y09VMk96Q0UwZ3BhY25Jemx5NWNEb1Vsd3YvdnVPK3pldlJ0ZmZ2a2xldmZ1WFcrK3N2ZmVldy92dlBNT2V2VG9nU2xUcHVETk45OUVjbkp5Skp4bFptWWlOemNYaXhmWEhRVTY2YVNUc0c3ZE92aDhQcnovL3ZzNDY2eXprSkNRMEtiNzJGV3Bxb2hJbW9nTUZKRmZpTWpUS1NrcFd5M0xXbWhaMWtWT3AzT28wK25NQU5BNDBjZWh6TXhNcDRoa2lraFJRVUhCVXdEc3FNVkJqOGV6b0xpNGVFZTRJUkFJOUFhUUJPQ1AxZFhWSXdEcy9DSGI5M2c4Szllc1dWTnZQaG0zMjcwQVFFQlZNMy9JdXFsbG5XTG9sNGppUzJWbEpWYXNXSUZ4NDhaaDY5YXR5TS9QUjBaR0J0eHVOeW9yS3pGaXhBZ0FRR2xwYWVUMlRGVlZWYWl0clkyc3crdjFSazdtYjB0RGhneHBkcG5ENGNEbzBhT3hmUGx5WEh2dHRSZzVjaVFtVEppQTJ0cGFmUDc1NXpqdHROTmdHTjkvcDUweFkwYWpjUFhKSjUvVUMzOW5uMzAyM0c0M2dzRWdKazZjaUVtVEpxR3dzQkRidDIvSCtQSGoyM3ovdWlvUlVZUytBRVJKRkpFSkFDYUl5RFlBYnN1eTNMWnRMemx3NE1DeWRldlc3WXRad1MzdysvMEhRdisyTWxwelB0M2V2WHRYbHBhVzlnLzNhNDg1ODF3dTE2QlFibGpSNWl1bmVoak9pS2pOdmZQT093Z0VBaGcvZmp6OGZqL3V1ZWVleUxLVFRqb0paNTk5TnI3NDRvdklTTmx0dDkyR1J4NTVCTGZjY2d1ZWVPSUpwS2FtWXMyYU5SZ3paa3k5OVlZdk1taEplQm9QaEc2aGRDaXV1KzY2eUdIWFFZTUc0ZTY3NzhiWFgzK05IVHQyTkRyazJ0U28xNDRkTytxTkRGNXd3UVdSQ3dqQ280Z0xGeTdFNE1HRGtaT1RjMGkxZFFoYmtab2dwK1RtNW80Q1VHTVlSclZ0MjlXcVdpMGkxZUhud1dDdzJqQ01Hci9mWDIyYVpyWFA1NnZlc0dGRE5ZQ2FWbXlsdzZocStQQjNmd0RqQUp4dG1tWk45KzdkeTEwdTE5dUJRR0N1MSt0MXg3ck9ob3FLaWtvc3kxb2xJc010eTNyQjUvTmQzM0FrSzlyaG5QVGZTc2JvMGFON0c0YnhYNm82RTBBWmdGdmFhVnNVd25CR1JHMXE3OTY5ZU82NTV6Qmt5QkJZbGdWVnhjS0ZDMUZWVllYMDlIVDA2OWNQRHozMEVPYlBuNC9qano4ZUR6MzBFTEt5c3BDV2xvWS8vdkdQbURScEVyS3lzckJ6NTA2Y2ROSko5ZGJibXZPejVzNmRpN2x6NXg1eTNlKysreTZxcTcvLys3Wml4ZmVEQTE5KytTVVNFeE94ZHUxYWZQUE5OMERkVlhRWU9uUW9Ta3RMOGU5Ly94c1pHUm1vcUtqQWUrKzloL0hqeDJQYXRHa29MaTV1Y2xzVkZSVndPQnc0NDR3ekFBQ0ppWWw0NzczM0Rybm05aUFpa3VpUWN3M0RjSWJid3RPR1JEOFB0NFduQlVsTVRJVEw1WUtxMmdEOG9aOWFFYWxWMVZvQTRSOS9nOGMxSXVJSEVPNFhXUzRpdFFCcWJkdXVqVjVmZEIvYnRtdEZwSHYwMzdPbXprV01HbEV6VkRVRndERWljcDFwbXYvUHNxeFZxdnArTUJqODFEVE5kYlcxdFp0S1NrcHFHNjJrWXdWdDI3N1lOTTMzUk9UUzFOVFVzNTFPNTh5S2lvcG4yekdJMWVOeXVlWURpTng3VFZYL1ZsTlRjM05KU2NuMmp0aCtWOFp3UmtSdEtqVTFGY2NlZXl5bVQ1OE9oUDVRWm1WbDFldHo4c2tubzF1M2JyanFxcXNpZjl6SGpSdUhvNDgrR2s4Ly9UVFdybDJMazA4K09SSmVFTHFyd0tPUFBscHZQVGZkZEZPajdZOGJOdzZUSmsyS1BOKy9meittVHAzYVl0MHZ2UEFDZHUvZTNlenl4TVJFUFBIRUU1SG5VNlpNd2RDaFF4RU1Cdkg0NDQ5RFZXR2FKaXpMd2hWWFhJSGk0dUpXMzJhcVlmaUpKUlZvME5ZU0VXd0hrQkQ2U1l4Nm5BQWdRVVFTVlRYeU9OU2VJaUpHNk55bnBQQTZtd3BMVFdtdVgvU2g1SVpNMDRTcVJvK1FOYnZ1Qm9jOHc2OHhBSXdRa1JFaWNwbXF6ZzRFQW44QlVONnFvdHRSWVdHaFo5aXdZYU5TVWxMdUY1RXJSR1IyejU0OWI4M016THpON1hhL2NyanJ6Y3JLU2pucXFLTUdOR3l2cnE3ZVhsSlNzaitxNlVOVjNTMGkvVlIxbElqOEpqazVlVlJ1YnU1RmhZV0ZYeC8yamxHTGpvZ1RJNG1vWmRuRG5LZEM5TFh1NmVuOW5wMHpDejhlYzJMTWFxbXVybzZjRk45VkJBSUJpRWhjQmExRHNXejVTdHh3OHg5UXRtdFhCUlNUU2xjWGZIYVlxekt5czdNVDA5UFRVMnByYTFNU0V4T1RIUTVIY2lBUVNERk5NMWxFa29QQllDcUFKTk0wVTJ6YlRvbCtyS3JKcG1rbXEycUtxaVliaHBHc3FxbXFtbVFZUmtwbzFDc3BORTFFQ29EazBPL1VjQUJyWWVTczN2SlEreDdidHYrMGQrL2VwenBxVk9wUWpSbzFhckRENGJoRFJDNE5uWVAyRjdmYmZVMXovUzNMS2hhUkVidDM3MDVwdUUrV1paMHVJaDgxZkkycVh1VHhlT1kzYkE4UnA5TjVrWWk4TENLYkE0RkFqdGZyUGRBVyswYU5jZVNNaU5wY1Z3dG1pRHE4UjdCRFlhQWF3SjVXOVAvQlJvOGVuV1dhNWlvQTNkRDRvZ0NJU0hRZ3ExYlY5YXI2dGFxdUZaSDF0bTJ2MzdkdjM0cDREV2FvT3dkdEE0QXJYQzdYVXdEZUJYQjFibTd1NHNMQ3dqY09kVjNCWU5Ccm11WXZtMmhmMXZRckFBQmFVRkR3TjVmTGRRNkFpdzNET0FmQTN3OTVSNmhWK0dsQ1JFUkhQQkd4bTJrSDZnTGJSbFg5dTRnczh2djlwUlVWRlZzM2I5N2MvRTFQNDVUYjdjNjNMT3RXRVhuSk1Jd0xBUnh5T1BONnZUc0JMRGljN2F0cWNlaS82Y0NXZTlQaFlqZ2pJcUxPUVBCOUdBc0EySytxZTFUMVBkdTJYeTRzTEZ3ZTZ3TGJpb2lFUnlSN3hHRGJKNkF1cEgzYjBkdnVTaGpPaUlpb00xQlYzU3dpSzFWMW1ZaXNNQXdqUHo4L3YrbWJyY1k1bDhzMUZzQnAxZFhWYzZLdmpodzFhbFJQVmIwNWRLaDJTWHRzT3pjM2Q0QnBtbWU2M2U1NTBaUGZPcDNPY1FBdUFWQis0TUNCRDlwajIxU0g0WXlJaUk1b2dVQ2d3alROWDl1MjdWWFZDcS9YNndPZ3JYaHBQRXNFTUNNcEtlbjIwSHhubTBNalphTUJwS2hxZ2MvbmU2UTlObXlhWmdxQXVaWmwzUXZnQ3hHcEJqQWN3SThCVkFHWUhNOFQrSFlHREdkRVJIUkVDMDMvOEs5WTE5R1dSR1NwcXY2dmlKd0ZJQWZBQ2FGRHRRVUFGcFNWbFQzZFh1Zk03ZDY5ZTNObVp1WnRJdklyQUdjQzZBNWdHNEMvQmdLQkI3MWU3NXIyMkM1OWorR01pSWdvem9RT3g5NGYramxrSG85bjVPRnV1N1MwdExxMHRQVFBBUDU4dU91Z0g0WTNQaWNpSWlLS0l3eG5SRVJFUkhHRTRZeUlpSWdvampDY0VSRVJFY1VSaGpNaUlpS2lPTUp3UmtSRVJCUkhHTTZJT290Z2JZVkFhb1BCSUNvcksyTmREUjFoS2lzcjRRLzRJWW9BZ3JVVnNhNkhxQ3RqT0NQcUpBNzRzVjFWcS94K1A4cUlkeGx4QUFBS3lFbEVRVlRLZDhXNkhEckNsSlh2UWsxMURSU29QZURIOWxhOGhJamFDY01aVVNkUlZscXlFOEFCdnorQXdxS3Y0ZlA1WWwwU0hTRnFhbXRSOUhVSnFtdHFBR2gxNk44U0VjVUl3eGxSNTJGRDlYbFZCTi83NEVNc1d2d3A5bFJVUVBWSXY4VWd0UmRWUmNYZXZmanMzMHZ3OW5zZlFCVkJxTTZKdnRrMUVYVThpWFVCUk5SMnNyT3prelc1K3p1R0dLZDM2NWFHL3hwekVrYU56TUhBWTQ5QjkvVDBXSmRIY1dUZnZrcHMrdTQ3ZkYyeUdsOHVXNDdLL2Z1aHFwOEc5dThhMTE3M2JDU2kxbUU0SStwayttVG45RXRMVG5nSndHa2lZaGdpTUIwT2lQRHRUdDlUdFJFSUJLR3FVRlVid01jMU5iVlhiOXU0YWxPc2F5UHE2dmhwVGRRSjllNTlRbnBxNytScEJ1UXNBR2tpbXFvcUNiR3VLNVpVRlNKMW4zbXEwSzRlVmtYZ1YrQUFGRDZGL1psdlYrQ0JzcktTL2JHdWk0Z1l6b2c2dGFPUHprdEZTazB2dzRHZWpxQ1JHdXQ2WWlrcFVZWWtKOGdWSW9hanFqYjRiRTJ0cm90MVRiSGtONEpWR3BUZHdmMWx1M2ZzMkhFZzF2VVEwZmNjc1M2QWlOclAxcTM1UGdBK0FOL0Z1cFpZc3l3clNVU0dxV3B5YXBMeDNab1N6N0pZMTBSRTFCUmVyVWxFUkVRVVJ4ak9pSWlJaU9JSXd4a1JFUkZSSEdFNEl5SWlJb29qREdkRVJFUkVjWVRoaklpSWlDaU9NSndSRVJFUnhSR0dNeUlpSXFJNHduQkdSRVJFRkVjWXpvaUlpSWppQ01NWkVSRVJVUnhoT0NNaUlpS0tJd3huUkVSRVJIR0U0WXlJaUlnb2pqQ2NFUkVSRWNVUmhqTWlJaUtpT01Kd1JrUkVSQlJIR002SWlJaUk0Z2pER1JFUkVWRWNZVGdqSWlJaWlpTU1aMFJFUkVSeGhPR01pSWlJS0k0d25CRVJFUkhGRVlZeklpSWlvampDY0VaRVJFUVVSeGpPaUlpSWlPSUl3eGtSRVJGUkhHRTRJeUlpSW9vakRHZEVSRVJFY1lUaGpJaUlpQ2lPT0dKZEFCRlJXOHZMeTB1MWJidFBkSnVJOUZOVlUwUU1BUDBzeXhvWXZUd1lESlo3dmQ0REhWNHNFVkVEREdkRTFPa0VBb0VUVE5OME4yd1hrZkREK1ZHUEFRQ0dZWXdCc0tLRFNpUWlhaFlQYXhKUnAxTllXT2hWMWFMVzlsZlZWUVVGQlkzQ0hCRlJMRENjRVZGbkZGVFZWMUFYdktDcWpUcEV0NnZxR3dDQ0hWOG1FVkZqREdkRTFDblp0cjBRd0w1V2ROMFhDQVRlN1lDU2lJaGFoZUdNaURvbHd6QjJBQ2hzZUc1WnROQ3l3bUF3dUtVamF5TWlPaGlHTXlMcWxBb0tDaW9CTEZOVkc2SERtR0ZSaHpNVndMSlZxMWFWeDY1U0lxTDZHTTZJcUxNS3F1cFhBUFllcEk4djFNZmZnWFVSRVIwVXd4a1JkVnJCWVBBckFHWGg1dzB2RGhDUmZYNi9mM21zNmlNaWFnckRHUkYxV2w2dmR6TUFkMVBubllYYTNNWEZ4ZC9Gb2pZaW91WXduQkZScHhZSUJGNXFicGx0Mjg5M2JEVkVSQzFqT0NPaVRxMnFxdW9UVmQzUnNGMVZ5eW9xS2o2SVRWVkVSTTFqT0NPaVRtM2R1blUxSXZKYStOQ21pRUJFb0tyL0xDMHRyWTUxZlVSRURUR2NFVkduRnd3R1gxUFYydkR6ME9NRnNhMktpS2hwREdkRTFPbFZWVlZ0QUxBcWF2UnN0V21hYTJKZEZ4RlJVeGpPaUtqVHMyMjdFc0FLL2Q0S3Y5Ky9LOVoxRVJFMWhlR01pRHE5ZGV2VzFZUW1tL1VCcUZYVnI3eGU3NEZZMTBWRTFCUkhyQXNnSXVvSUl2SmxhRUxhTk51Mmw4YTZIaUlpSXFLdVRpekwrdGl5ckJVOGFrQkU4WXdqWjBUVVZTaUExMFFrQllBZDYyS0lpSnJEY0VaRVhVWlZWZFZic2E2QmlJaUlpSWlJaUlpSWlJaUlpSWlJaUlpSWlJaUlpSWlJaUlpSWlJaUlpSWlJaUlpSWlJaUlpSWlJaUlpSWlJaUlpSWlJaUlpSWlJaUlpSWlJaUlpSWlJaUlpSWlJaUlpSWlJaUlpSWlJaUlpSWlJaUlpSWlJaUlpSWlJaUlpSWlJaUlpSWlJaUlpSWdPazhQbGN2MTQ5T2pSV1FBd2JOaXdYZ0NNV0JkRlJIU29ITEV1Z0lpb0xaeHd3Z2twQUphYXBua3ZnTHRUVTFQZnN5ekx0bTM3cXNMQ3dxOGI5bmM2blJrQXpqMlViWWhJME9QeHZOeW1oUk1STmNCd1JrU2R3cG8xYTN3dWx3dmgwYkpBSUhDcHcrRjR6VFJOajJWWjEzbzhucm5SL1czYnpuSTRISDhGVUsycXdaYldMeUtKcW1vRFlEZ2pvbmJGY0VaRW5VVVFnQjlBQWdCNHZkNDFPVGs1UDA1TVRMd0x3Q2ZOdlVoVngzczhubzliV3JsbFdROERtTkxXUlJNUk5jUndSa1JIQkpmTDlZU3FYdFpDdHdRUnVjbXlySVloYXFwbFdRQnd2TWZqMmRwK1ZSSVIvWEFNWjBSMFJGRFZaQkVSMjdidlBraTNHUURXcStyclRTMnNyYTNkMTM0VkVoRzFEWVl6SWpxU1ZCVVVGRHpjM0VMTHNpNFhrUTBlajZmWlBrUkU4WTdoaklnNmswcFY3UjdkNEhRNm5jRmdjRk5SVWRHZXBsNGdJdTlZbG5Vb0Z3UVFFYlVyaGpNaU9wS2tPSjNPNlEwYmc4SGdoMFZGUlVVaXNrZFZlMGN0RWhINW04UGhTQUZ3SElDbXd0VWNWUzFweGJZdkJQRHpIMVkrRVZITEdNNkk2RWlSb0tvcEluSlB1RUZFQkVDcWlPd0VVQVJnSzRBUjRlVk9wL05zRVJtdXFuYzFER2FCUUdCdFFrTENjQURmRmhRVStGcmF1R1ZaNzltMjNiTWQ5b3VJcUI2R015STZJb2hJT29DTmJyZjd1SENiWlZrNUl2STFBQi9xTGhyNFRrVDY1K1RrSkphVWxOU0t5SzJxdWx0VjUwU3R5bkM1WEdlRytnTkFkbWgrTkFDQTIrMytFSURtNWVVZHE2bzUwVFdZcGdtWHl6VVl3QUczMi8xRlIrdzNFWFU5REdkRWRFUlExVzRBeWh1MHBZa0lSR1IvNlBsYUVUR1RrNU9QY3pxZGxvaWNvcXJUQ3dvS0tzS3Z5YzdPVGdUd3I0TnNLZ0ZBUUZVbkFKalRUSi8xQUlhMDFiNFJFVVhqZmVlSTZJZ2dJc2MyRWM2Nm9XNjIvMzJoMzRXaFJXZUp5Q3dBeFlaaFBON01LbSsxYmJ0bitBZkFyVTExOHZsOHZSdjBlNjZOZDQySXFCNk9uQkZSM012SnlVa01uZEQvWG5TN1lSaVpxQXR1RmFpN0swQ0paVmxsQUI0VUVTTVlESTR2TEN6ME43UGFxdWdSTlpmTFZkVlVwOVdyVis4RkVJanFWOXRtTzBaRTFBU0dNeUtLZXc2SHd3cDlYcTJJYmxmVkxCRkJNQmdNajZqWkFGYUt5TmtBYmlzc0xGd09BSGw1ZWFtMmJYOE80T1k5ZS9Zc2o4bE9FQkcxRXNNWkVjVTloOE54Z2FxcTMrLy9qMlZaNTZOdXRFeFZkUXFBYjcxZTcwN1VYU0R3UUNpWUFVQmtTZzFWSFM0aUo2cHFuMWp0QXhGUmF6R2NFVkZjeThyS1NsSFZpMFRrMCtMaTR1OHN5M3BRUkM0S0xUNWcyL1lsZVhsNVBWVDFMd0IrQmVBVlZVMEJjTFBUNlN3b0tDajRHNEE4MUlXMC9QQjZWVFV4SnllblcvVHp1cGs1NmhzeVpJaTVidDI2NktiR25ZaUkyaERER1JIRnRhT09PdW8yQUFOVTlVYlV6VTkyWFdKaTRyMkJRTUIwT0J3YmJkc2VxcXBGQVBxcDZoODhIcytEZVhsNVBXemJQc1l3akZkZEx0ZTFBSEpVZFdOQlFVRnBkbloyTXVwRzNoNUpUazUrcEtYdGQrL2V2VHA2cW8yUTllMjB1MFJFREdkRUZQZThxdnEreCtONUV3QkN0MkdLM0lvcE96dDdUV1ptNXR2QllQQ0Z3c0pDRHdEazUrZnZ6Y3JLT3JWUG56NTNpc2pGQUdwVjlhYm9sYXJxNDZyNnovQnpFWmtrSWpjMDNMaXFubXJiZHVUMlRvWmhUQk9SM1BiY1lTSWlJcUs0bHBXVmxSTHJHb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0dEgvQjBvQ3U5cnJpVXhDQUFBQUFFbEZUa1N1UW1DQyIsCgkiVGhlbWUiIDogIiIsCgkiVHlwZSIgOiAiZmxvdyIsCgkiVXNlcklkIiA6ICIxMjU2ODU3NzMzIiwKCSJWZXJzaW9uIiA6ICIyMiIKfQo="/>
    </extobj>
    <extobj name="ECB019B1-382A-4266-B25C-5B523AA43C14-3">
      <extobjdata type="ECB019B1-382A-4266-B25C-5B523AA43C14" data="ewoJIkZpbGVJZCIgOiAiNTAzMTU4NDUxODcxIiwKCSJHcm91cElkIiA6ICIxNTAwNTM0MzA2IiwKCSJJbWFnZSIgOiAiaVZCT1J3MEtHZ29BQUFBTlNVaEVVZ0FBQW84QUFBak9DQVlBQUFCczVLYjhBQUFBQVhOU1IwSUFyczRjNlFBQUlBQkpSRUZVZUp6czNYbDhYR1hkLy8vM2RXWW1tVFpwbTVaQ1cyaWxRTmxDYVhJbVAvV240bktEZ0lvVVFSWVI4V1lSNFZaa0U3a0ZCUlJGNUZaUUZoRnZGTm1VUlpCRkVHU1I5V1p0TXBQUUJLZ3BUVmtLM2RNbWFaSlp6dWY3UnlZeFRkTnlDazBtemJ5ZWowY2Z5VnpuT3RkOFRtZ25iNjV6cm5Na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Z3MzL2MvNy92K1RXSDZWbFZWK1lsRTRyWTVjK1pNSC9yS0FHRDRlWVV1QUFDR1FQUUQvbG52czlFNXQ3dWtJOE84Y1NRUzJVSFNVWklxaHV6b0FLQ0Fvb1V1QUFDMnBEbHo1a3lQUnFOdmZwQXh6T3d5NTl4TnVWeHVqL3I2K2p2NmIvTjlmMGN6T3lBSWdqOW5zMWxYVWxMeW5WUXE5VCtTY2grNGVBRFlDaEFlQVl4V3R3UkI4TmpBUnMvelBpL3BTRE83ME16ZUdHeEg1OXo4SUFqMmlVUWlQNjZzckx5bi96WXorNnJuZVQ5TXA5TzN4dVB4VDBpNktKRklmTm81ZDFSdGJlMmFvVHdnQUJnSkNJOEFScXNYVXFuVURRTWJmZC8vdG5QdWhXUXllZEdtZHA0elo4NGJ6cm1yWXJIWWwvcTNlNTUzaEtTL05qVTF0VXY2aCsvN241TjBwNWs5dC9mZWUzOXhLQTRFQUVZU3dpT0FVYzMzL2JNazlRVkY1MXlacEl6disrMkQ5VThtaytXUzFORFFzTXozL2FjOXp6dGUwai9VRXloblMvSnp1ZHgzKy9WL3JMcTYraitjYzNkRUlwSEk4QndWQUJRTzRSSEFhRmZpbkNzSmd1Qkk5WngySHJTVDUzbGZrSFRTZ09iYm5YTWY2ZGRuanBrMTF0ZlhQOUcvVXlxVlNrbXFsSlJOSkJLN0Q4MWhBTURJUUhnRU1PcVpXWkJLcGU3WlZKOUVJckhCclhXU3llUnZKZjAya1VpY29aNlErT2VhbXBxL1NESkpxcTZ1M2o4SWdwVU5EUTExa3JKRGVBZ0FNR0lRSGdHTVZuMVRqTTY1VXQvM1d6YloyV3ljYzY3dnRlLzcxMHI2V241YnpEbFg0dnQrZXhBRThuMWZuWjJkT3pyblRvNUdvM01UaWNTUDYrcnFMcEVVRE8waEFVRGhFUjRCakNxZTUvVitydldmQ2N3NDUzNjRxZjNNYkg5SlgrOTluY3ZsL2hpSlJIcFBULzlTMG5hU3Z0SHZmZHFTeWVTUnZ1Ly9JTC9pK3BQTGxpMDdkRXNmRHdDTU5JUkhBS05Ldi9DWTdtMHpzeUNaVE42eXFmMFNpVVJGLy9EWTBORHdncVFYRW9sRWphUWR6S3piek40TWdpRFYwTkRRMGRzdm1VeitKSkZJcE16c2dMZmVlcXR6dSsyMkc2SWpBNENSZ2ZBSVlGVEo1WExqSXBHSXpLeXR0ODA1RjZtdXJqN3VQWGI5NkdDTlpuYVdwRzdubk9lYys3MXo3cTNLeXNxRG1wcWErc0pwWFYzZDN5VDlUWktDSUJqamVaNGlrY2kraVVUaU01SSsxTkhSOFpQWFhudXRiYkR4QVdCclEzZ0VNS3BFSXBFcDZnbU1xOVFUL2xZNjV4WTY1MzdlMjhjNU4xYlNPRE5iMXUvYXlHNUpyL1VmcTZhbVpnOHpPMExTbjh6c2FET2I2M25lYzZXbHBiY21Fb2tmNXJmTmNNNTl5TXhtU1BwUS9sWkFjczVkWVdiTEpiV1VsNWYvU2hMaEVjQ293TE90QVl3cVFSRHNuUC8yRGZXc2tMN09PWGVBYys0dXovTjJUeWFUVTRNZ3VFZzl3WEwzdHJhMjNjenN6K3ZXclV2VTFkWHQwVytvU0JBRU41clpZNUxxODJQOVM5S2hrdjVsWnR0TE9sYlNUcExlZHM3ZDdwejdqcGxkSUVuWmJMWW1tVXh1bDB3bVAxSmJXL3RPQVg0VUFEQWttSGtFTUtvNDUvWXhzNDVrTXZsNnZpa1NCTUZOenJrUFo3UFpheVN0OXdqQmNlUEc3U2JwcExGangrNC9lL2Jzejg2ZlAzK3BlcTZCL0c5Sk5VRVEvSC9PdWMvMDlxK3JxM3RhMHRQNWw3c09mUDlFSXRIN2xKbjB3RzBBTUJvdzh3aGcxSmc1YzJiY09mZEY1OXdUdmJmTnFhNnUvcGx6N3ROQkVIeTd2cjYrY2VBK3lXUnlucGtkTEdtWGtwS1NKeXNySzZlcVoxWnlaMG1YNW04QURnRElJendDR0RVcUtpcE95Ri9MZUl0Njd0VjRvdWQ1NTVqWkgvby81OW81TjBZOTEwZWFlazVIUHhFRXdlR1Nac1hqOFlmMzJtdXZTYmxjN2tkMWRYVVhGUEJ3QUdCRTRyUTFnRkdocHFabWdwbjlXTkpDei9QdVNpUVNSMG42blpuOUxabE1udUw3L25lZGM5T0RJRWhMK3BxWnRkZlYxYTN0M1QrVlN2Mjl1cnI2Tk0vemZsTlNVbkpoTXBrOHZiQkhCQUFqRXpPUEFFYUZUQ2FUbGJRa0NJS3phMnRyTStsMCtsa3orKzNxMWF1UGxKUjF6azJYOUIzUDg4NlJGRE96TS9zL2hVWTlBZkthSUFpKzF0YldkazdoamdRQUFBRERZcSs5OXBwVTZCb0FBQUFBQUFBQUFBQUFBQUFBQUFBQUFBQUFBQUFBQUFBQUFBQUFBQUFBQUFBQUFBQUFBQUFBQUFBQUFBQUFBQUFBQUFBQUFBQUFBQUFBQUFBQUFBQUFBQUFBQUFBQUFBQUFBRVhCRmJvQUFCaEpaczJhVlRwMjdOaHRneUJ3WFYxZHk1cWJtN3NMWFJNQWpDUmVvUXNBZ0pHa3JLeXNNaHFOWGh1THhmNVFWbFpXV2VoNkFHQ2tpUmE2QUFBWVNUelBHeStwUmxJOC96MEFvQjltSGdFQUFCQWE0UkVBQUFDaEVSNEJBQUFRR3VFUkFBQUFvUkVlQVFBQUVCcmhFUUFBQUtFUkhnRUFBQkFhNFJFQUFBQ2hFUjRCQUFBUUd1RVJBQUFBb1JFZUFRQUFFQnJoRVFBQUFLRVJIZ0VBQUJBYTRSRUFBQUNoRVI0QkFBQVFHdUVSQUFBQW9SRWVBUUFBRUJyaEVRQUFBS0VSSGdFQUFCQWE0UkVBQUFDaEVSNEJBQUFRR3VFUkFBQUFvUkVlQVFBQUVCcmhFUUFBQUtFUkhnRUFBQkFhNFJFQUFBQ2hFUjRCQUFBUUd1RVJBQUFBb1JFZUFRQUFFQnJoRVFBQUFLRVJIZ0VBQUJBYTRSRUFBQUNoRVI0QkFBQVFHdUVSQUFBQW9SRWVBUUFBRUJyaEVRQUFBS0VSSGdFQUFCQWE0UkVBQUFDaHVVSVhBQUNGVWxWVmRXQWtFbmxvYy9ZSmd1Q0xxVlRxZ2FHckNnQkdObVllQVJTdGpvNk9KOHhzOFdiczhtWjdlL3VqUTFnU0FJeDRoRWNBUmF1NXVibmJ6RzUvcjM1bTF2djE3dWJtNXU3aHFBMEFSaXJDSTRDaWxzdmxiakd6YmpQckM0bjk5UXVPM1daMlJ3RktCSUFSaGZBSW9LaGxNcGtsenJuNXptMzhFbkRubkp4ejg0TWcySnhUM0FBd0toRWVBUlMxVjE5OWRZMlovVi92Ni82emp3TysvNzlzTnJ0cytDc0VnSkdGOEFpZzJHVWx6WlBVdG9rK25aTG1OVFUxcFlleExnQVlrUWlQQUlxZWMrNDVTWDJ6aWdPdmZ6U3p0V2IyZktIcUE0Q1JoUEFJb09qVjFkVXROTE9tVFhSNU5aVktOUTlqU1FBd1loRWVBVUN5SUFodUdXelJUTDd0ZWtrYkxzVUdnQ0pFZUFTQW5odUdQMlJtcXdlMm0xbXJtZDFYbUtvQVlPUWhQQUpBenczRDEwcTZ1Ly9zWS83N0IxT3BWR3NoYXdPQWtZVHdDQUI1Wm5aemZ2VjFiM0RNaG5rQ0RRQVVFOElqQU9RRlFkQWthV0h2N0tPWnZaN0w1VjR1ZEYwQU1KSVFIZ0VnYiszYXRXc2xQZGV2NmZsY0xzZU53UUdnSDhJakFPUzF0TFIwNVhLNVdrbGRacFlKZ21CZVUxTlRlNkhyQW9DUkpGcm9BZ0JnSlBFODcybEp5NXh6WXlVOVUraDZBQUFBTUxJNTMvZWY4WDEvdnFSSW9Zc0JnSkdHbVVjQTB2VHBZM2FNakt2SWxFWW5sRmdrWHVoeUNpMW5lc3B5dVRFemQ2M2V1OUMxRkp6TGRWbDNkazBtczJiTmtpVkwxaFc2SEFDRnQrSGpGQUFVamUyM3J4bGJVcDQrV1o1M2dKUEdtVnk1WktXRnJxdlFQS2VvV1NDVGx5MTBMWVhuMGs3V1psS2JwQ2ZUYTZOWExsbFNTNGdFaWhqaEVTaFNrMmJOR2o4K1ZuYWp6QjNzSEtkbjhkN01MSkRUZmVsYzUwbExGaXhZVWVoNkFCUUc0UkVvUnBXVkpUT0RraHVjMDlHUlNFU1ZlKzZ1T1h0VmF0WXVPMnZTeEltRnJnNGpTT3VhTlZyd3IyWTF2dkthWG01c1VpNlhVMkIyMStKc3h6RnFidTR1ZEgwQWhoL1hQQUpGYUVjck9VblNrYVVsSlRyOTFGTjB5QmMvcjZsVHBxai9vL21BWG1hbVpjdFg2TUdISDlIUGYzbUZ1cnZUWDlyUkt6dDFzWFJab1dzRE1QdzRWUVVVbVprelo4YTlhT252bkhOVEQvcmNBVHI5MUZPMHphUkpCRWRzbEhOTzVXVmwybTNYV1ZxNGFKR2FGNzd1T2MvdFVWRWV2N2ExdFpYclFvRWl3MDNDZ1NLVGpwUnZLK2Zpa1VoRTFWV3pOYTY4dk5BbFlTc3hkc3dZSmFxckZJdEdaYVpZSmpwK2NxRnJBakQ4Q0k5QWtZbVZlTnRLRmk4dEtkRzBLVk1LWFE2Mk10T21UdEdZTVdQa3BGak1aUW1QUUJFaVBBSkZ4cGszM3FSWUpCclJoQWtUQ2wwT3RqSVRLeXBVVWxJaWM0b3FVbEpSNkhvQUREL0NJd0FBQUVJalBBSUFBQ0Ewd2lNQUFBQkNJendDQUFBZ05NSWpBQUFBUWlNOEFnQUFJRFRDSXdBQUFFSWpQQUlBQUNBMHdpTUFBQUJDSXp3Q0FBQWdOTUlqQUFBQVFpTThBZ0FBSURUQ0k0QlI1NVZYWHRGRkYxMmtJQWcyMmllWlRPcW1tMjdTTysrOHMwWGVzN096VTYydHJadDhUd0FZRFFpUEFFYWR0OTkrVy9mZWUrOUdnMXhYVjVmT1BmZGNYWEhGRlhyd3dRY0g3V05teW1hekcvd3hzdzM2WnJOWkhYUE1NVHJzc01NRzNRNEFvMG0wMEFVQXdIQzc4Y1lidFh6NWNzMmFOVXQvK01NZmROQkJCMm5LbENucjlYbm1tV2QweGhsbmJMRHY5NzczUFgzbEsxOVpyKzN1dSsvVzRzV0w1WnpUdmZmZXE4TU9PMnpJandFZnpNeVpNK1BsNWVVN3paOC8velZKVEJlSFVGMWRYZUY1M3VsbTlpVkp1enJuNG1hMnhqblhsTTFtejI1b2FIaWh0Ni92K3p0S09sL1M1NXh6MjVuWkt1ZmNvNUorVkZkWDEvd0J5dkI4My8rbWMrN3lWYXRXVFdwcGFlbmFJZ2VIelVKNEJGQlVYbm5sRlYxLy9mWDYzT2MrcHpQT09FT0hIWGFZZnZDREgramFhNjlWTlBydmo4VFpzMmZycXF1dTZuc2RCSUZPUC8xMFRaZ3dZYjN4M25ubkhWMTk5ZFU2NUpCRFZGNWVyaXV1dUVJZi9laEh0Y01PT3d6cmNXSHpqQjgvZm5JMEduM085LzFtTTd2Rjg3ejdneUJZa1VxbDJpVGxDbDNmU0ZOVFU3T0xtVDB1YVlaenJrM1NmRW5tbk50UjBqNlJTTVNYOUlJa0pSS0pXV2Iyb3FReTU5empacmJNT1ZjdDZSaEpCOCtaTStjVERRME44emV6Qk9mNy9zSE91UXNsSllibUtCRVc0UkhBcUpETDVkVFUxQ1JKZXVPTk55Uko4K2ZQVnlRUzBlVEprelZ0MmpTMXRiWHB2UFBPVTBWRmhiNzN2ZStwb3FKQzU1NTdyczQvLzN6OTRoZS8wTG5ubnRzMzNzU0pFelZ0MmpUZGM4ODlPdTIwMDlUVzFpWkpxcWlvNk91VHpXWjEzbm5uS1I2UDY0d3p6bEJwYWFtZWYvNTVuWDc2NmJyaGhodFVYbDQrN0Q4SGJCYlBPVmNqS1dGbUZ6cm5Vcjd2djJCbXowY2lrUmRxYTJ1M3pBV3hvMEFRQkZjNTUyWkl1cUdycStzN1RVMU43YjNiNXN5Wjg5SCtmYzFzcHFUbkpKMVVWMWUzcExmZDkvMkxuSFBuUnlLUm4wbWFHL2E5YTJwcTlnaUM0QkhuM0hSSmI1alpjdWZjdGx2dzhMQ1pDSThBUm9WMTY5YnB1T09PVzYvdHhCTlBsQ1FkZmZUUk91MjAwM1RXV1dmcDdiZmYxdTkrOTd1K0VQaUZMM3hCcjc3NnF2NzBwei9KOHp5ZGM4NDVjczVKa3BxYW1uVG5uWGZxekRQUFZHdHJxeVQxelR6bWNqbjk0QWMvVUZOVGs2Njc3anFOSHo5ZWt2U3JYLzFLWC8vNjEzWHFxYWZxaWl1dTJHQ21FaU9IbVRubm5GelBmL0FLU1o4eHMwODU1MXJOYkxudit5K2EyYzNwZFBySnBxYW1kS0hyTGJCOUpTbVR5WnpWUHpoS1V2L1QxWktVVHFmckdoc2I1dzZjd1UwbWt4ZjV2bitPcEU5c3podG5zOW5KbnVlVlN2cHhWMWZYTDB0TFM1K1hSSGdzSU1JamdGRmgzTGh4ZXZycHB5VkpQL3JSai9UWVk0L3B5U2VmbE9kNXltYXpPdnZzczFWWFY2Y2YvT0FIOG4xL3ZYM1BQUE5NZFhaMjZvNDc3dEM3Nzc2ckgvM29SNW93WVlKV3JseXBpUk1uU3BMV3JGa2o1Y05qZDNkMzMzdGNkTkZGbWpOblR0OVlPK3l3ZzY2ODhrcDk2MXZmMGdrbm5LQkxMcmxFdSsyMjIzRCtLQkNTYzg2VVh4elZqeWRwa3FSSnpybmRuWFBIbHBhV3Z1MzcvdTFtZGx0WFY5ZnJudWUxRlZ1WWRNNjFTeXFOUkNLVEphM2VWTi9HeHNaVkc5bVVsYlRPT2RlOU9lKzlaczJhZVMwdExkTjZ3K2pBZjc4WWZvUkhBS1BHMkxGamxjMW05Y0lMUFJNaDhYaGMwV2hVSjU5OHN1Yk5tNmZqano5ZSsrKy9mOThwNlA2Kzg1M3ZxS3lzVERmZmZMTXV2ZlJTL2V4blA5T0tGU3Y2d21QdnpHTTJtOVVKSjV5Z0JRc1c2SXd6enRESFAvN3h2bTI5ZHRoaEIxMXl5U1c2NElJTGRPeXh4K3JhYTY4ZGRiL3dMRERGWTdaTElwSElCVUVRT09lQ1hDNFhlSjdYOTlYenZDQ2J6VzYwTFJLSkJKbE1Kb2hFSWtFNm5RNGlrVWdRaThXQ3pzN09JQmFMQlIwZEhVRXNGZ3RLUzB1RFZhdFdCZkY0UEdodWJnN3lJV0tMTG5McG5XM3VIeVQ3ZmIrRGMrNHM1OXkzeG80ZCs0cVp2VmhkWGYyOGMrN0ZaREw1aXFSaVdHSi9sNlJ2T3VmK1hGTlQ4NVhhMnRxRm16dEFWVlhWWHM2NWlXYjI2T2JzeDZLWWtZZndDR0JVZWVtbGw5VGUzbk5XN2NZYmI5UkJCeDJrWTQ0NVJwLzR4Q2Ywemp2djZET2YrY3hHOTczaGhoczBlL1pzSlJJOTErTVBuSG1NUnFPYU1tV0t4bzRkcThzdnYxeFhYbm1sZnZXclgyMTB2UHZ1dTArMzNYYWJxcXFxdHZoeEZwcVRWQnIxdnA1ZmRXdVNMQktKbUNURllqSExCeXJMTDBJeXovT3NkNmF2cEtURXJDZVpXU3dXa3lRYk0yWk03ejdxL1g3Q2hBbW0vQXpoZHR0dFo1SXNIOElIQnNkMGZsWXJhMlk1NTF4T1VzNDVseld6WEwrMnJITXVsMitMbTFtOE56VDJIZGVBMTczeVFUTHVuUE1sVlR2bmpwRzBvcnE2ZW9Ha1cxdGJXKzlwYVdscEhYVG5VU0NUeVh3L0dvM3U3Wno3V0JBRWpZbEU0cmRkWFYyWE5qVTF2UnR5aUtqbmViMy9XSDQzaEtWaUdCQWVBWXdxanozMm1IYlpaUmN0WExoUTlmWDFldWFaWjNUZGRkZnBVNS82bEJZdFdxUlBmdktURzkxM3A1MTIwdDU3NzkzM2V1WEtsVEl6UGYzMDA2cXZyMWM4SHRkTEw3MmthNjY1UnJGWVRKTW1UVkpuWitkR3g5dCsrKzMxM2U5K2Q0c2Y0MGpoT1JjenN6SHUzNGxydmE5bTF2YzYzMlhRMTJibTh1SE05ZCs0a2ZHYzIxakNHeVQ4NWE5cDNHU2Z6ZEZicDNOdWpKbU5kODVObFRTdXJLeHNWTjgzK2VXWFgxNHQ2VlBWMWRWbk9PZk9rM1JHUEI0L3VicTYrdkwyOXZhZk5EYzNiL1JVZEUxTnpZUWdDUDdzbk52ZnpQNmNUQ2J2N0w4OWtVak1HcmlQbWExSkpwUExoK3A0OE1FUUhnR01HaXRYcnRUZi8vNTNIWHZzc1ZxNGNLRXV1T0FDSFhua2tmcnJYLytxUXc0NVJPUEdqZE5PTysya045OThzMjlCeTh5Wk15VkpEei84c0I1NjZDRWRldWloaWtRaVV2NVU5Y0tGQzFWWFZ5ZmxnOE1aWjV5aHA1OStXckZZVE5PblQ5ZUVDUlAwK09PUDY5ZS8vclh1dXV1dXZ0djkzSG5ublhyMTFWZjF0YTk5cllBL2thRmprdGFsYzlmSEkxcmtlWjVuWmw3L3IwRVFyTmZtblBQTWJJUHZCKzVyWnA2a0RkcDY5L0U4eit2L3V5dS9QZUtjOC9LcnB6Y1l1N2V0LzNibjNEZ3pPMVJTYkwzanlwK3Eza2pnekpuWlNrbExnaUJZSU9tM3FWVHFtZnlzWnpISXBsS3BYOWJVMUZ3WEJNRnB6cm52ZXA3M2czSGp4aDFRVTFPemYyMXQ3WnFCTzFSWFYzODRDSUxiblhNN21kblZ5V1J5NE0xVG81TCtOY2g3L1U3U0tVTjNLUGdnQ0k4QVJvMGJiN3hSTTJiTTBLNjc3aXJsYjZ2em05LzhScnZ1dXF0T091a2tUWjA2VlpkY2NvbW1USm1pcFV1WEtwbE05b1hITys2NFE4dVdMZFBoaHgvZU45NXR0OTIyM3ZpUFBQS0l2di85NzZ1a3BFUVhYSENCM25qakRkMXd3dzJhUEhteTNucnJMVFUwTlBTZDhyN3BwcHUwODg0N2o5cnc2RHluZE00MUwyaE1QVkhvV3ZJemsvMy9xS2FteG5WMmRycDBPdTNVYzYycXkyYXpMZ2dDTjIzYU5HVXltUm1SU09RTHZlRnhzQ2NEOWJzT2NyV1ozUjhFd1IxQkVEU2JXWWVaZFRRMk5yWVc0dzNHOHlIeEozUG16UGxkTkJxOXl6bTNUeEFFbDBqNlZ2OStpVVRpbTJaMlZmNitrRjlPSnBOL0hXUzRuSmtkTWJBeENJTE52cVlTdzRmd0NHQlVXTDE2dGU2NjZ5NmRkdHBwNjdYdnVlZWVrcVNQZk9RanV1MjIyNVROWmxWU1VxTFpzMmVydnI1ZWh4NTZxRG83Ty9YeXl5L3JxS09PMnVqNGl4Y3ZWbWRucHlLUmlLTFJxSHpmMXdNUFBLQWxTNWFvc3JKU1pXVmxldTY1NTVSSUpQVHFxNi9xN2JmZkh2UUpOUmdTTm5EUlNtMXQ3VVk3TDFteVJIUG16T2x3enZVRnYzNUIwU1N0azdRMkNJS1h6ZXdQeTVjdnYzL0praVhyaHZRSXRrSU5EUTNMWnMrZS9kV1NrcEkzSkIzVlB6d21Fb2t6SlYzdW5IdmF6TDZTVENhWGJHUVlHM2dhR3lQZnFMNUdBMER4aUVRaUdqOSt2T2JPSGZ6ZXcvdnNzNC9hMjl2VjBOQWdTYXFzckZRcWxaSWt6WnMzVDlsc1Z2dnV1MjlmLzNuejV1bmFhNi9WYWFlZHBuMzMzVmVISFhhWVZxeFlvWGc4TGtuNjlLYy9MZWVjSG5ua0VVVWlFU1VTaWI1VjNvODk5cGdtVEppd3llc3JNU0wwWG1NcFNXc2xQU1hwY2tuSG1kbkhVcW5VZ2ZYMTlYY1FIRGN1azhtMFdzOE5NOGYxL2p3VGlVU05tZjFTMGorN3Vybyt1NG5naUswVTRSSEFxREIrL0hoZGRkVlZHak5tektEYjk5eHpUOFhqY2IzNDRvdVNwRjEzM1ZWdnZ2bW1WcTFhcFdlZmZWYVRKMDllNzM2TkR6endnUDcydDc5cHdvUUpPdlhVVTNYWFhYY3BIby8zaGNkSmt5YXBxcXBLanozMm1DVHB3eC8rc0pxYm03VnUzVHI5L2U5LzE0RUhIcWo4U21LTVhHWm1EV1oyUVRxZDNxK3JxK3Nvei9QT1RTYVRkeWFUeWNXRkxtNmttRFZyVm1raWtiaGo3LzZyeVhvdURZaVZsWlZkNEp4elp2WnM3K3l2bVgwcmYyM3BqNHZ0ZnBqRmd0UFdBRWFOV2JNMldMVFpKeHFOYXM2Y09Ycnh4UmQxeWltbmFQYnMyWm83ZDY3UzZiU2VmUEpKN2JmZmZ1cFppOUhqdlBQTzJ5RDgvZk9mLzF3dm5INys4NTlYWFYyZGNybWNEam5rRUIxNjZLR3FyNi9YdSsrK3E0TVBQbmlJamhKYndxcFZxMVp1czgwMkg2K3ZyMytsR0s5YjNCelpiTlpKT2lJV2l4MlJTQ1RlbFBRdk00c0dRYkNuYzI1Yk0xc2w2ZlRlL3ZubldNczVkNTd2KzJjTk5xWno3cmQxZFhYL0dNN2p3SlpEZUFSUU5MNzk3VzlyM0xoeFV2NjJQQmRlZUtFYUd4dTFkT2xTSFhqZ2dldjFIV3pXY09uU3BlczkyL3J3d3cvdlcyRFQreHpyZSsrOVZ6dnZ2TE1xS3l1SCtHandRYnoxMWx1ZGI3MzFWbU9oNjlnYXRMUzBkRStjT1BGRTU5eWhadVk3NXo3bG5FdExldDNNYnBKMGVmOVQwL2xiR0VuU2dadTRiK1pEdzNnSTJNSUlqd0JHdmZ2dnYxOWRYZjkrU01WTEw3M1U5LzJ6eno2cmtwSVNMVml3UVAvNlY4OGRRNnFxcXJUcnJydXFwYVZGVHozMWxDb3FLdFRhMnFvSEhuaEFCeDk4c000ODgwek5uejkvMFBkcWJXMVZOQnJWL3Z2dkwvWGNFRnNQUFBEQWtCOGpNSVFzbVV4ZUwrbjZNSjJUeWVTdVExbE1NcG1jUFpUajQ3MFJIZ0dNZW4vNHd4KzBhdFhHSHJmYkUvQ3V2dnJxdnRlbm5ucXFkdDExVitWeU9WMTU1WlV5TTBVaUVmbStyeE5QUEZIejU4L1hKejd4aVZEdjNYdlBTQUFZTFFpUEFFYWR6Mzcycyt2ZHF1WHV1KzkrWCtQc3Nzc3VmU3V4blhOOVFYQlRqemdFZ05HTzhBZ0E3NkgzcVRFQUFHN1ZBd0FBZ00xQWVBUUFBRUJvaEVjQUFBQ0VSbmdFQUFCQWFJUkhBQUFBaEVaNEJBQUFRR2lFUndBQUFJUkdlQVFBQUVCb2hFY0FBQUNFUm5nRUFBQkFhSVJIb05qazBxMU9McDNMQldydjZDaDBOZGpLdExXMUtaUE55Sm15eXFWYkMxMFBnT0ZIZUFTS1RFZEc3NXBaWnphVDBjcVZxd3BkRHJZeXkxZXNWRmRYdDB4S2QyVDBicUhyQVREOENJOUFrVm5lMHJSTVVrYzZrMUZqMDZ2cTZ1b3VkRW5ZU25TbjAzcTVzVW5kM2QyU3JDdi9kd2xBa1NFOEFzVW5rTm52elpSNzRLR0g5ZlQvUGFmdWRMclFOV0VFTXpPMXJsbWp4NTk0U3ZjOThKRE1sSlBaVlpLQ1F0Y0dZUGk1UWhjQW9BQm16U3JkS1ZwMmw1dzdhR0pGaFQ2NXo4ZmtWODNScElrVktpMHBMWFIxR0VGYTE2elI2NHRhOU1wcnI2azIyYUIxNjliSnpCNXF5WFo4U2MzTlRGc0RSWWp3Q0JTcGJXZFdUaTJMeDI2U3RKOXp6b3RHby9LY2t4d2ZDL2czczBEWmJFNW1Kak1MSkQzYTNaMys1anVMWGxsYzZOb0FGQWEvSllBaU5ubnk3dVBHVG82ZjZja2RLS25NT1J0cjVtS0ZycXV3VE00cElxbm45R3lSZjB3NnA0eEpIVEt0TXdWUHJGdVp2V1Q1OHFiMlF0Y0ZvSENLKzFNUmdDUnArKzFyeG1wTTl6WmVWQk9qT1c5c29lc3BwSGlwdDN0cFROOTJjckd1alAyNnF6dDRyZEExRlZMR3kzVmF6cTNLdFM5ZnRYVHBVdTd0QkVEUlFoY0FvUENXTEtsZEoybWRwRGNMWFV1aCtiNWY2cHliWVdieE1TV3U1ZFhHaHVjTFhSTUFqQ1NzdGdZQUFFQm9oRWNBQUFDRVJuZ0VBQUJBYUlSSEFBQUFoRVo0QkFBQVFHaUVSd0FBQUlSR2VBUUFBRUJvaEVjQUFBQ0VSbmdFQUFCQWFJUkhBQUFBaEVaNEJBQUFRR2lFUndBQUFJUkdlQVFBQUVCb2hFY0FBQUNFUm5nRUFBQkFhSVJIQUFBQWhFWjRCQUFBUUdpRVJ3QUFBSVJHZUFRQUFFQm9oRWNBQUFDRVJuZ0VBQUJBYUlSSEFBQUFoRVo0QkFBQVFHaUVSd0FBQUlSR2VBUUFBRUJvaEVjQUFBQ0VSbmdFQUFCQWFJUkhBQUFBaEVaNEJBQUFRR2lFUndBQUFJUkdlQVFBQUVCb2hFY0FBQUNFNWdwZEFBQVVTbFZWMVlHUlNPU2h6ZGtuQ0lJdnBsS3BCNGF1S2dBWTJaaDVCRkMwT2pvNm5qQ3p4WnV4eTV2dDdlMlBEbUZKQUREaUVSNEJGSzNtNXVadU03djl2ZnFaV2UvWHU1dWJtN3VIb3pZQUdLa0lqd0NLV2k2WHU4WE11czJzTHlUMjF5ODRkcHZaSFFVb0VRQkdGTUlqZ0tLV3lXU1dPT2ZtTzdmeFM4Q2RjM0xPelErQ1lITk9jUVBBcUVSNEJGRFV5c3JLMWtwNnZ2ZDEvOW5IQVRPUno2OWJ0Mjc1TUpjSEFDTU80UkZBVWF1dHJjMlkyUXVTMmpiUnJkUE1YdUI2UndBZ1BBS0Fjcm5jaTVMNlpoVUhYdjlvWm0zNVBnQlE5QWlQQUlwZVEwUERBak5yM0VTWFZ4b2FHaFlNWTBrQU1HSVJIZ0ZBTWpPN2JiQkZNL20ybXlWdHVCUWJBSW9RNFJFQUpMVzN0OTl2WnFzSHRwdFpxNW5kVlppcUFHRGtJVHdDUU04Tnc5ZEt1cnYvN0dQKyt3ZFRxVlJySVdzRGdKR0U4QWdBZVdaMnM2U3MvaDBjczJHZVFBTUF4WVR3Q0FCNVFSQTBTVnJZTy90b1pxL25jcm1YQzEwWEFJd2toRWNBeUZ1N2R1MWFTYy8xYTNvK2w4c3RLMkJKQUREaUVCNEJJSytscGFVcmw4dlZTdW95czB3UUJQT2FtcHJhQzEwWEFJd2swVUlYQUFBamllZDVUMHRhNXB3YksrbVpRdGNEQUFDQWtjMzV2ditNNy92ekpVVUtYUXdBakRRYjNoRVhRUEdaUG4zTWpwRnhGWm5TNklRU2k4UUxYVTZobFpmcXE4NVp2SzNMWFYvb1dnck81YnFzTzdzbWsxbXpac21TSmVzS1hRNkF3aU04QWtWcysrMXJ4cGFVcDArVzV4M2dwSEVtVnk1WmFhSHJLalRQS1dvV3lPUmxDMTFMNGJtMGs3V1oxQ2JweWZUYTZKVkxsdFFTSW9FaVJuZ0VpdFNrV2JQR2o0K1YzU2h6Qnp2SDZWbThOek1MNUhSZk90ZDUwcElGQzFZVXVoNEFoVUY0QklwUlpXWEp6S0RrQnVjUVB5Z3BBQUFnQUVsRVFWUjBkQ1FTVWVXZXUydk9YcFdhdGN2T21qUnhZcUdyd3dqU3VtYU5GdnlyV1kydnZLYVhHNXVVeStVVW1OMjFPTnR4akpxYnV3dGRINERoeDJwcm9BanRhQ1VuU1RxeXRLUkVwNTk2aWc3NTR1YzFkY29VOVg4MEg5REx6TFJzK1FvOStQQWordmt2cjFCM2QvcExPM3BscHk2V0xpdDBiUUNHSDZlcWdDSXpjK2JNdUJjdC9aMXpidXBCbnp0QXA1OTZpcmFaTkluZ2lJMXl6cW04ckV5NzdUcExDeGN0VXZQQzF6M251VDBxeXVQWHRyYTJjbDBvVUdTNFNUaFFaTktSOG0zbFhEd1NpYWk2YXJiR2xaY1h1aVJzSmNhT0dhTkVkWlZpMGFqTUZNdEV4MDh1ZEUwQWhoL2hFU2d5c1JKdlc4bmlwU1VsbWpabFNxSEx3VlptMnRRcEdqTm1qSndVaTdrczRSRW9Rb1JIb01nNDg4YWJGSXRFSTVvd1lVS2h5OEZXWm1KRmhVcEtTbVJPVVVWS0tncGRENERoUjNnRUFBQkFhSVJIQUFBQWhFWjRCQUFBUUdpRVJ3QUFBSVJHZUFRQUFFQm9oRWNBQUFDRVJuZ0VBQUJBYUlSSEFBQUFoRVo0QkFBQVFHaUVSd0FBQUlSR2VBUUFBRUJvaEVjQUFBQ0VSbmdFVUZSV3JsdzVhUHU3Nzc2N3lmMXl1WndXTFZvMFJGVUJ3TmFEOEFoZ1ZPbnM3TlM2ZGV2Vys1UE5aaVZKQ3hjdTFOeTVjL1h3d3crdnQ4K2lSWXQweUNHSDZILy85MzgzT3U2VFR6NnB3dzgvWEgvNzI5K0cvQmdBWUNTTEZyb0FBTmlTRGpyb0lLMVpzMmE5dGgvKzhJYzY5TkJEdGNzdXUraGpIL3VZZnZ6akgydm5uWGZXckZtelpHYjYrYzkvcnRMU1VuMys4NS9mNkxpMzMzNjdLaW9xdFAvKyt3L0RVV0Nvelp3NU0xNWVYcjdUL1Buelg1TVVGTHFlRUNLKzd4OG42V3VTcXB4ejR5V3RNN1BYSlYyWlRDYXY3KzA0Wjg2Y3NtZzArajFKWHpHem1jNjVMak43U2RMUGs4bmtZNXY3eGx0NnZQZWpwcVltbHN2bC90TTVkNmh6emplemJaeHpiV2EyMURuM1RCQUVONlZTcWYvcnQ0dXJycTcrVDgvelRqYXoyYzY1cUtRbU03c3VtVXorVHBLOTMxb3FLeXZMNC9INHBaSVNkWFYxSDlzeVI3aDFJVHdDR0hWT09PRUVmZmF6bjVVa25YamlpZXR0Ty8vODgvV1ZyM3hGdGJXMW1qVnJsdjd5bDc5bzNyeDUrdVV2ZjZrWk0yWU1PdDY4ZWZNMGI5NDhlWjZuL2ZiYkwxUU4rKzY3cjM3eWs1OXNnYVBCVUJnL2Z2emthRFQ2bk8vN3pXWjJpK2Q1OXdkQnNDS1ZTclZKeWhXNnZ2NW16WnBWT243OCtBY2wvWWVrbkptOWJHWnJKYzF3enMyV2RJQ2szdkRvb3RIb3M1TG1TSHBCMHUxbTlpRkorMG5hei9mOTQ1TEo1RTJiOGZaYmVyek5WbDFkWFcxbWQzcWV0NHVaQldiMnFxUUZrc3FkYzd0SitxYm5lVHRJK21MdlByN3ZYK21jTzFYU1F1ZmNQV1kyWHRKK3pybmYrcjcvNFdReWVlS20zM1ZETlRVMVk0TWdPTkU1ZDY2a2FmbWZSMUVpUEFJWWRhWk1tYUxkZDk5ZGtoU0pSUHJhNzczM1hnVkJvR09PT1VZbEpTVzY4ODQ3ZGVXVlYyclBQZmRVYTJ1cjdyNzdibFZWVldubm5YZnUyOGZNOU90Zi8xcVRKMC9XU1NlZEZPcjlyNzMyV3VWeUl5cC9ZSENlYzY1R1VzTE1MblRPcFh6ZmY4SE1ubzlFSWkvVTF0YStVK2dDMVJOMFQ4OEh4MlE2blQ1ay92ejViL1p1ODMxL1J6UHorM1dQbUZrOENJS1AxdGZYdjlqYldGVlZkVUFrRXZtN21mMnFwcWJtMXRyYTJrekl0OS9TNDIyV09YUG1KSnh6VDBrcWsvU2I3dTd1bnpZMU5mVy9RTm56ZlgrZkFUOERTWm9sNmRpNnVycGJlaHRtejU0OUl4YUxQZStjT3lHUlNGeFRWMWRYRzdZTzMvZVBOclBmT2VmR1Nhck5oOGVpUlhnRVVEUisrdE9mcXFTa1JLV2xwWDF0SlNVbFdySmtpYTY2NmlxdFdiTkc1NXh6em5yaDhkWmJiOVVycjd5aWl5KytXSi83M09kQ3ZjOU5OOTJrYUpTUDE1SE96Snh6VHM0NUo2bEMwbWZNN0ZQT3VWWXpXKzc3L290bWRuTTZuWDZ5cWFrcFhjQlM5ODEvL1VuLzRDaEp5V1J5c2FURi9acHludWQ5SXBsTXJ1amZyNzYrL3VGRUl2R2tjMjdmZERxOWg2U1hRNzczbGg0dnRKa3paOFlqa2NoZm5YTmxRUkI4TzVWS1hUTkl0eUNaVEQ0bDZha0I3Vit2cTZ0YjNyOWgvdno1Yi9xK2Y2MmtpOHpzNC9rUUdOWXVadmFtbWYxUEVBUVBScVBScGUvdnFFWUhQdDBBakRydnZ2dXVtcHFhcFB3cTZmNU9PKzAwSFhYVVVZUHU5K0VQZjNpOTE0c1dMZExWVjErdEQzM29RL3JRaHo3VU4rWkEyMjY3cmJiZGR0dSsxN2xjanZDNEZYRE9tZkt6eS8xNGtpWkptdVNjMjkwNWQyeHBhZW5idnUvZmJtYTNkWFYxdmU1NVh0dHdoa2t6NjNET0tRaUN5V0c2MTliV3J0akl0aldTNUhsZTkrYTgvUlllTDdSSmt5WjlROUtPWm5iZlJvTGpSaVdUeWVVYjJiUkdQZi90TjZ2bVhDNzNxNGFHaHArcTUvVDE1QUYvWjRvT24yNEFScDBiYnJoQk45NTRveVFwQ043ZldvaTFhOWZxckxQT1VpUVMwYnZ2dnF0amp6MTJvMzIvK2MxdjZ1U1RUKzU3bmNsa1JuMTR0TUFVajlrdWlVUWlGd1JCNEp3TGNybGM0SGxlMzFmUDg0SnNOcnZSdGtna0VtUXltU0FTaVFUcGREcUlSQ0pCTEJZTE9qczdnMWdzRm5SMGRBU3hXQ3dvTFMwTlZxMWFGY1RqOGFDNXVUbklYNU80UlJlNTlFdytyaDhrKzMyL2czUHVMT2ZjdDhhT0hmdUttYjFZWFYzOXZIUHV4V1F5K2NvSFdYd1IwcDJTRG5QT1hlejcvdXZ2WjVGS1pXVmxpWmw5VkZKSFIwZkg0aEM3RE90NGd6R3p3L1AvWGE3YWdzTitVajJmQzQyYnMxTkRRMFBIRnF4aHF6ZTZQOTBBRktYdmYvLzdPdnp3d3lWSm4vNzBwOS9YR0pkZWVxbmVmUE5OL2VwWHY5S0ZGMTZvL2ZmZlg2ZWRkdG9HL1FaYm9aMU9wMVZTVXZLKzNuZHI0U1NWUnIydlM5bzFQNE5ua1VqRUpDa1dpMWsrVUZrK1JKdm5lZFk3MDFkU1VtTFdrOHdzRm90SmtvMFpNNlozSC9WK1AySENCRk4raG5DNzdiWXpTZWI3dmdZSmptbEpXVWxaTThzNTUzS1NjczY1ckpubCtyVmxuWE81ZkZ2Y3pPSzlvYkh2dUFhODdwVVBrbkhubkMrcDJqbDNqS1FWMWRYVkN5VGQydHJhZWs5TFMwdnJFUHlvbFV3bWIvTjkvNVBPdWYrUzlLanYrL2VaMllXcFZDb1Zkb3g0UEg2dXBPMGwvYWE1dWZrRHp4UnU2ZkVHNDV4THFHZlc3N2t0TVY0aWtkalh6QTR6czhZQks3T3htUWlQQURDSUwzLzV5OXA5OTkzMXlVOStVcEpVV2xxcXlaUERuRFhzQ1kvOXI2c2NyVHpuWW1ZMnh2MDdjYTMzMWN6Nlh1ZTdEUHJhekZ3K25MbitHemN5bm5NYlMzaURoTC84TlkyYjdMTTVldXQwem8weHMvSE91YW1TeHBXVmxRM2xmWk10bVV4K3kvZjloNXh6LytPY215dnA0RVFpOFJmbjNCbnZzYkRIODMzL3g1SithR1pOWnZiRC9odXJxcXAyaUVRaVkvcTNPZWZTdGJXMWI3eWY4YmFVeXNyS0Vrbmp6S3g3NEt4ZmRYVjFoZWQ1cXdmdTA5WFZOYTZwcWFsOXNQR3FxNnUvWkdhM09PYzZzdG5zMS90djIydXZ2U2FWbHBaT0dyaFBYVjNkb3BHMjhuNmtJRHdDS0NvUFAveXdtcHViQjkzVy94UjNJcEZRSXBIWTdQR0RJRkIzZDdmR2pCa1RvdmZXeXlTdFMrZXVqMGUweVBNOHo4eTgvbCtESUZpdnpUbm5tZGtHM3cvYzE4dzhTUnUwOWU3amVaN1gvM2RYZm52RU9lZmxWMDl2TUhadlcvL3R6cmx4Wm5hb3BOaDZ4NVUvVmIyUndKa3pzNVdTbGdSQnNFRFNiMU9wMURQNVdjOGhsMHdtNzVQMGdPLzdYM1hPWFNqcHlDQUkvc1AzL2YyVHlXVDl3UDZ6WjgrZUVvdkYvdVNjMjAvUzA1SytuRXFsMXBzZDlUenZka21mNk45bVpxOUoydVA5akxlbE5EVTFwUk9KUk5ZNVYxcFRVeFBydjVvN0NJS001M24vNk5mOWs1TEdEalpPVFUxTnpNeitSOUlaWnZhV3BDODFORFRVOWU4VGk4WE9rdlNEZ2Z0V1ZsWk9HN0N5RzNtRVJ3Q2p6dHR2djYyWFgrNVovRGx3d2N6U3BVdlYzTnlzU0NTaUdUTm02Ri8vK3BmR2pSdW5xVk9uYm5MTWUrKzlWMy8vKzk4M2FCOTRUV1Y3ZTgvRXg5aXhnLzR1R3pXYzU1VE91ZVlGamFrbkNsMUxmbWF5L3gvVjFOUzR6czVPbDA2bm5TUmxzMW1YeldaZEVBUnUyclJweW1ReU15S1J5QmQ2dytOZ0N5RDZYUWU1MnN6dUQ0TGdqaUFJbXMyc3c4dzZHaHNiV3d0d2cvRmNNcG04dWJLeTh2WjRQSDY1Yys3YmttNlJWTjEvbGl5UlNQei9rdTZXTkZuU2orcnE2bjQ2MkN4YWZ1Wnd2U24xSUFqV0R1d1hkcnd0YkhGK2xmT2MvaXVqOHpPUmZiYytTQ1FTelpKMkdiano3Tm16cDVqWnZaSSthbVozcGRQcGJ6WTJOcTRhMk0vTWJqV3pEUzRCU0tmVEc4eHVvZ2ZoRWNDb2MrdXR0K3FPTys2UWVrNWw5YlgvNVM5LzBUYmJiS016enp4VE8rNjRvODQvLzN3ZGNjUVIrdmpIUDY0enp6eFRMUzB0Mm1hYmJRWWRzNmFtUmwvNjBwY0czYmJMTHYvK3ZiVjBhYzhkUERZMkRvYUVEVnkwVWx1NzhidXdMRm15UkhQbXpPbHd6dlVGdjM1QjBTU3RrN1EyQ0lLWHpld1B5NWN2djMvSmtpWHJodlFJTmxOK3RmZDNmTjgvMERrM2UrKzk5NjU4T2Y5L1RGVlZWZnRJK29lWnJUS3pUNmRTcVdjM05rNHE5ZDdoZjNQRzI1TE03RkhuM0M3NXArcHN6bTExNVB2K3RwS2VNYk1aWnZiTlZDcDEzY2I2MXRmWE4wcmFyQVUweFk3d0NHQlV5ZVZ5T3UrODh6UjM3bHhwd0lLWm1UTm5Tdm1aeVlHMzVlbS9mVERUcDAvWGdRY2V1RUY3ZTN0NzN5bnFycTZ1dmxYZWxaV1ZtajkvdnRyYjIvV1JqM3hFUFdkYk1jTDBYbU1wU1dzbHBTUzlKT2w1TTNzcGxVb055U3JpTGNpY2M3MjN5NW1nZno4RjVYWkphektaek1jSDNoZHljMjNwOFRaSEVBUlhlWjczVFVuZjhuMy9qbVF5dVRrTFo2NlR0SE1RQkordnI2OS9PRVIvYkFiQ0k0QlJJd2dDZFhSMGJQSjZ3emZmZkZQTGxpM1RicnZ0TnVqMnQ5OStXMmFtNmRPbmgzclBuLzcwcDNya2tVZFVVbEtpVENZak05UGN1WE0xWThZTTNYLy8vZnI5NzMrdmYvN3puNW93WWNMN1BpNE1HVE96QmtsM1pqS1pCNE1nZUd2TW1ERXJoK3BwS2UrWDcvdlhPT2Z1cmF1cmU2VC9hWExmOTc4c3Fkck1PaktaVEVvOS93YSs3SnpiM3N3dTNCSkJiMHVQdHpucTYrc2JmZC8vaVhQdUFqTjd4UGY5NzYxZXZmcVBMUzB0ZmFjVEVvbkVMRE1yNzMrTmFrMU56WWZNN0JCSmp4TWNod2JoRWNDbzBSdjgrdCt3ZTZDYmJycEpZOGVPMVVjKzhwRkJ0ei81NUpPNjhzb3I5ZXl6ejRhYUxUemlpQ00wYytaTWRYZDNxN1MwVkh2c3NZYys4NW5QU0pKYVdscFVVVkZCY0J5QlZxMWF0WEtiYmJiNWVIMTkvU3NGdUc1eHMrUnZXZk5mdnUrM091Zm1tMW0zYzI0blNUdm5uL1g4N1g2cmpLdnorOHoxZlg5aks3NmVUaWFUbDRWOCs5RGo1Wi9CZlp1azIrcnE2bTdmN0FNZFJES1ovRkgrOWt3L2RNNWRNMm5TcE1zbVRaclVKS2t6ZjZ1Z25aMXpNclBWNjlhdHk2cm4vd2lxOGw5MzluMy9uc0hHZGM2dHJxdXJPMzVMMUZpTUNJOEFSbzI2dXA1RmxQMnZRZXp2d1FjZjFGLy8rbGVkZXVxcEtpc3I2MnZ2djFoaTZkS2wybjc3N2RjTGp2RjRYQ3RYcmh4MHpKcWFHdFhVMUd6UW5rNm5sVXFsdE9lZWUzNmdZOExRZU91dHR6cmZldXV0cmVJNnQxd3VkMjRrRWpraHYvRGp3NUtjbWIzdG5MdEYwaFdwVkdwZXYrN2o4MTlyOHMvdEhrelhSdG9Ic3puamxVcWFZR2EzK3I2L1d6S1ovTWxtdk0vR1dES1p2TENxcXVvT3ovTk9sYlN2YzI1UE00dEtXaUhwUVRPN3Y3MjkvWmJlR2NrZ0NNWjduaWZuM0k2U2RoeDBVTE9pZnJ6Z0IwVjRCREJxM0hQUFBhcXVydGJLbFN2MTZxdXY2cDEzM2xGN2U3dmk4Yml1di81NlhYUE5OZHAzMzMzMW4vLzVuMzM3bEplWDY1bG5udEVlZSt3aE05TWpqenl5UWVDcnJLelVFMDg4b1lzdnZsZ3pac3g0enpxNnVycjB4Qk5QYU1XS0ZUcjk5Tk9INUZoUlBPcnI2eCtYOUhpWXZzbGs4aVJKSjIycDk5NmM4WnFibTlkV1ZsWitMaDZQM3lUcEl0LzN0MDhtazkvZUVqTzcrVVV0L3hXbWJ5cVYrcE9rUDMzUTk5eVkvT01hMy8vTlFrY0J3aU9BVWFHOXZWMnJWcTNTNmFlZnJtZWZmVlpYWEhHRnpFeSs3NnVtcGtZbm5uaWlEai84Y0oxOTl0bnJ6U29lZmZUUnV2amlpM1grK2VmTE9hY1pNMmJvdU9PT1cyL3NzODgrVzExZFhYcnd3UWZWMmRuNW5yVkVJaEZObXpaTlo1eHhocjd3aFM4TXlmRUNJMUYrRmZneHZ1OEhrcjZTU0NRdXE2dXJHL3pHcWdDQXJjUE1QYW8vTTNQUHFuZm1mR1FmZSs2RmwydzBhV3RyMitpMjF0YldZYTFsdEhydWhaZnN3L3ZzWnpQM3JGNDljNC9xenhUNjd6TkdyRWhWVmRYZ3E5S3cxZVBlRVFCR2pmTHk4bzF1WTlFS01LeHk5ZlgxQ3dwZEJJWUc0UkVBQUFDaEVSNEJBQUFRR3VFUkFBQUFvUkVlQVFBQUVCcmhFUUFBQUtFUkhnRUFBQkFhNFJFQUFBQ2hFUjRCQUFBUUd1RVJBQUFBb1JFZUFRQUFFQnJoRVNnMnVYU3JrMHZuY29IYU96b0tYUTIyTW0xdGJjcGtNM0ttckhMcDFrTFhBMkQ0RVI2Qkl0T1IwYnRtMXBuTlpMUnk1YXBDbDRPdHpQSVZLOVhWMVMyVDBoMFp2VnZvZWdBTVA4SWpVR1NXdHpRdGs5U1J6bVRVMlBTcXVycTZDMTBTdGhMZDZiUmVibXhTZDNlM0pPdksvMTBDVUdRSWowRHhDV1QyZXpQbEhuam9ZVDM5ZjgrcE81MHVkRTBZd2N4TXJXdlc2UEVubnRKOUR6d2tNK1ZrZHBXa29OQzFBUmgrcnRBRkFDaUFXYk5LZDRxVzNTWG5EcHBZVWFGUDd2TXgrVlZ6TkdsaWhVcExTZ3RkSFVhUTFqVnI5UHFpRnIzeTJtdXFUVFpvM2JwMU1yT0hXcklkWDFKek05UFdRQkVpUEFKRmF0dVpsVlBMNHJHYkpPM25uUE9pMGFnODV5VEh4d0wrelN4UU5wdVRtY25NQWttUGRuZW52L25Pb2xjV0Y3bzJBSVhCYndtZ2lFMmV2UHU0c1pQalozcHlCMG9xYzg3R21ybFlvZXNxTEpOemlranFPVDFiNUIrVHppbGpVb2RNNjB6QkUrdFdaaTladnJ5cHZkQjFBU2ljNHY1VUJDQkoybjc3bXJFYTA3Mk5GOVhFYU00YlcraDZDaWxlNnUxZUd0TzNuVnlzSzJPLzd1b09YaXQwVFlXVThYS2Rsbk9yY3UzTFZ5MWR1cFI3T3dGUXROQUZBQ2k4SlV0cTEwbGFKK25OUXRkU2FMN3ZsenJuWnBoWmZFeUphM20xc2VINVF0Y0VBQ01KcTYwQkFBQVFHdUVSQUFBQW9SRWVBUUFBRUJyaEVRQUFBS0VSSGdFQUFCQWE0UkVBQUFDaEVSNEJBQUFRR3VFUkFBQUFvUkVlQVFBQUVCcmhFUUFBQUtFUkhnRUFBQkFhNFJFQUFBQ2hFUjRCQUFBUUd1RVJBQUFBb1JFZUFRQUFFQnJoRVFBQUFLRVJIZ0VBQUJBYTRSRUFBQUNoRVI0QkFBQVFHdUVSQUFBQW9SRWVBUUFBRUJyaEVRQUFBS0VSSGdFQUFCQWE0UkVBQUFDaEVSNEJBQUFRR3VFUkFBQUFvUkVlQVFBQUVCcmhFUUFBQUtFUkhnRUFBQkFhNFJFQUFBQ2hFUjRCQUFBUUd1RVJBQUFBb2JsQ0Z3QUFoVkpWVlhWZ0pCSjVhSFAyQ1lMZ2k2bFU2b0docXdvQVJqWm1IZ0VVclk2T2ppZk1iUEZtN1BKbWUzdjdvME5ZRWdDTWVJUkhBRVdydWJtNTI4eHVmNjkrWnRiNzllN201dWJ1NGFnTkFFWXF3aU9Bb3BiTDVXNHhzMjR6Nnd1Si9mVUxqdDFtZGtjQlNnU0FFWVh3Q0tDb1pUS1pKYzY1K2M1dC9CSnc1NXljYy9PRElOaWNVOXdBTUNvUkhnRVV0Ykt5c3JXU251OTkzWC8yY2NCTTVQUHIxcTFiUHN6bEFjQ0lRM2dFVU5ScWEyc3padmFDcExaTmRPczBzeGU0M2hFQUNJOEFvRnd1OTZLa3ZsbkZnZGMvbWxsYnZnOEFGRDNDSTRDaTE5RFFzTURNR2pmUjVaV0dob1lGdzFnU0FJeFloRWNBa016TWJodHMwVXkrN1daSkd5N0ZCb0FpUkhnRUFFbnQ3ZTMzbTlucWdlMW0xbXBtZHhXbUtnQVllUWlQQU5CencvQzFrdTd1UC91WS8vN0JWQ3JWV3NqYUFHQWtJVHdDUUo2WjNTd3BxMzhIeDJ5WUo5QUFRREVoUEFKQVhoQUVUWklXOXM0K210bnJ1Vnp1NVVMWEJRQWpDZUVSQVBMV3JsMjdWdEp6L1pxZXorVnl5d3BZRWdDTU9JUkhBTWhyYVducHl1Vnl0Wks2ekN3VEJNRzhwcWFtOWtMWEJRQWpTYlRRQlFEQVNPSjUzdE9TbGpubnhrcDZwdEQxQUFBQVlHUnp2dTgvNC92K2ZFbVJRaGNEQUNQTmhuZkVCVkI4cGs4ZnMyTmtYRVdtTkRxaHhDTHhRcGRUYU9XbCtxcHpGbS9yY3RjWHVwYUNjN2t1Njg2dXlXVFdyRm15Wk1tNlFwY0RvUEFJajBBUjIzNzdtckVsNWVtVDVYa0hPR21jeVpWTFZscm91Z3JOYzRxYUJUSjUyVUxYVW5ndTdXUnRKclZKZWpLOU5ucmxraVcxaEVpZ2lCRWVnU0kxYWRhczhlTmpaVGZLM01IT2NYb1c3ODNNQWpuZGw4NTFuclJrd1lJVmhhNEhRR0VRSG9GaVZGbFpNak1vdWNFNUhSMkpSRlM1NSs2YXMxZWxadTJ5c3laTm5Gam82akNDdEs1Wm93WC9hbGJqSzYvcDVjWW01WEk1QldaM0xjNTJIS1BtNXU1QzF3ZGcrTEhhR2loQ08xckpTWktPTEMwcDBlbW5ucUpEdnZoNVRaMHlSZjBmelFmME1qTXRXNzVDRHo3OGlINyt5eXZVM1ozKzBvNWUyYW1McGNzS1hSdUE0Y2VwS3FESXpKdzVNKzVGUzMvbm5KdDYwT2NPME9tbm5xSnRKazBpT0dLam5ITXFMeXZUYnJ2TzBzSkZpOVM4OEhYUGVXNlBpdkw0dGEydHJWd1hDaFFaYmhJT0ZKbDBwSHhiT1JlUFJDS3FycHF0Y2VYbGhTNEpXNG14WThZb1VWMmxXRFFxTThVeTBmR1RDMTBUZ09GSGVBU0tUS3pFMjFheWVHbEppYVpObVZMb2NyQ1ZtVFoxaXNhTUdTTW54V0l1UzNnRWloRGhFU2d5enJ6eEpzVWkwWWdtVEpoUTZIS3dsWmxZVWFHU2toS1pVMVNSa29wQzF3TmcrQkVlQVFBQUVCcmhFUUFBQUtFUkhnRUFBQkFhNFJFQUFBQ2hFUjRCQUFBUUd1RVJBQUFBb1JFZUFRQUFFQnJoRVFBQUFLRVJIZ0VBQUJBYTRSRUFBQUNoRVI0QkFBQVFHdUVSQUFBQW9SRWVBWXdxWnZhZWZUbzZPdlNQZi94RGI3enh4ckRVQkFDakNlRVJ3S2pSMk5pb280OCtXczNOelgxdGl4Y3YxcVdYWHFwTUp0UFh0bno1Y3AxMzNubDY3cm5uMXR2L3ozLytzK2JObTdmQnVJOC8vcml1dWVZYUxWKytmSlB2MzlYVnBkLzg1amM2NVpSVGxNMW10OGd4QWNCSVEzZ0VNR3FVbFpXcHJhMU54eDEzbko1NTVoa3BIeDd2dlBOT25YUE9PWnNNZE04Kys2d3V2L3h5WFhiWlpjcmxjdXR0ZStlZGQvU1h2L3hGWC96aUYzWGVlZWVwc2JGeGcvMmZlT0lKSFhIRUVmcmpILytvNmRPbnE2dXJhd2lPRUFBS2ovQUlZTlNZT1hPbXJyLytlbTIzM1hZNjg4d3o5YzkvL2xPZit0U25kUGJaWit1cHA1N1NSUmRkTk9ocDdkZGVlMDNmLy83M05XWEtGRjF4eFJXS1JDTHJiZi9xVjcrcUJ4OThVTi85N25mVjJOaW9yMy85NnpyKytPUDE2S09QcXJhMlZzY2ZmN3krKzkzdmF1clVxYnI1NXB2MXd4LytVT1hsNWNONDVBQXdmS0tGTGdBQXRxUXBVNmJvOTcvL3ZYN3hpMStvcHFaR2tuVFVVVWRwNGNLRmV2YlpaN1YwNmRJTjlybnFxcXMwWnN3WVhYdnR0ZHB1dSswR0hUY2VqK3ZJSTQvVTRZY2Zyc2NmZjF5WFhIS0ovdnUvLzF1U0ZJMUdkY2tsbCtpQUF3NFk0cU1EZ01JalBBSVlOYkxacktMUnFDWk5tcVJMTHJsa3ZXM25uSE9PT2pzN05XN2NPTFcwdEt5MzdkSkxMOVhxMWFzMWZmcjBUWTYvYXRVcTNYZmZmYnI3N3J1MWV2VnExZFRVS0JhTDZmbm5uOWRQZi9yVHZtc3VwMDZkT2lUSEJ3QWpBZUVSd0tqUTF0YW1iM3pqR3pyZ2dBTjAvUEhIeS9ONnJzcjU2MS8vcXNzdXUyelFmUzYvL0hKZGVlV1Y2N1hOblR1M2IwWlJrbGFzV0tFbm5uaENqei8rZU45aW1nTU9PRUNYWG5xcDl0aGpEMG5TeXkrL3JQLzkzLy9WTGJmY29sdHZ2VldmL2V4bmRleXh4MnJQUGZjY3dpTUdnTUlnUEFJWUZVcEtTalJyMWl4ZGM4MDFxcSt2MTg5KzlqT1ZsNWNyazhtb3E2dEwzL2pHTnhTUHh6YzV4aC8vK0VkMWQzZjN2YzVtcy9yYTE3Nm01Y3VYYTRjZGR0REpKNStzdVhQbmF2TGt5WktrcTYrK1dqdnZ2TE8rOElVdjZLcXJybEpqWTZPdXUrNDYvZU1mLzlBamp6eWkrKzY3VDlPbVRSdnlZd2VBNFVSNEJEQXFsSmFXNnVLTEw5YTBhZFAweHovK1VXZWZmYmF1dmZiYXZ1MUhIMzIwS2lyK0gzdDNIaDVWZWJCLy9INW16UWFFQUJJcFN0VFVGRkJob05ocTNWdHhYOXEzaWt1TDF1M1YxcjYwYjZuKzZ0cldja210VkpFcXVMVUtXcEM2bFVzRWtiNVZrUUpxSUFJSlc1U2dFSllBWm1mMjUvY0hJVTBJeTZGQ3pqRHovVndYVjJhZWVjNloreWhPYnM4MitmdGN4MHN2dmRUdXVjL24wOTEzMzYxQUlLQ1RUejVaeHBoMnIvLzk3My9YcWFlZXFnc3Z2RkNTTkhEZ1FEMzY2S05hc1dLRmxpOWZUbkVFa0pZb2p3RFN5dTIzMzY0ampqaENnd2NQYmplK2ZmdjIvZDU3Y1U5WFlwOSsrdWtIbktGLy8vNGNzZ2FRdGlpUEFOTE9sVmRlMldIc2lpdXVPT0QxWEhUUlJhcXRyZDNyNitGd1dMTm16ZExjdVhQM091Y1BmL2lEVGozMTFBTitid0JJVlpSSEFHa2xFb25vblhmZTBWbG5uYVZnTU5nNi91Q0REKzczM292MzNudHZ1K2MzMzN4enUzTWdkOWYybk1lOUtTb3FPcUQ4QUpEcUtJOEEwc3JTcFV0MTExMTM2WmUvL0tXdXV1cXExdkdUVHo1NXYrYzgrdjMrZHM4dnYvenlkczlYcmx6WmVvVzFKRDN6ekRNcUtpclNpQkVqSkVuUmFGU0JRT0FnYlFrQXBDYktJNEMwc21USkVrbHF2VUg0TG5QbnpsVk9UczQrbDkzWFZ3cSsrT0tMZXVTUlIvUS8vL00vR2pseVpJZlhQL3p3UTkxeHh4MjY2YWFiTkdMRUNQbDhmTHdDU0U5OHVnRklLNldscGNyUHoxZHhjWEc3OGQxdkd1NVVQQjdYdUhIak5IMzZkRjF3d1FXdGV4bDNOM0RnUUoxLy92bjY0eC8vcU5kZWUwMTMzbm1uaGcwYjloKzlKd0NrTXNvamdMUVJEb2UxYk5reW5YNzY2UjF1cXpObnpoeDE2OVp0bjh0ZmZQSEY3WjVYVjFmcnJydnVVbmw1dVVhTkdyWEhQWTY3NU9UazZNNDc3OVR3NGNQMXdBTVA2TlpiYjlVbGwxeWluLy84NS90OVh3QTRuRkFlQWFTTkR6NzRRSkZJUkYvLyt0Yzd2T2IxZXZkN0tEa1dpN1YrTTAxdGJhMnV2ZlphQllOQlBmbmtreG95WkVpN3VjbGtVdUZ3dUVOSkRZVkNtanAxcXA1NjZpbE5tVEpGZVhsNUdqMTY5RUhaUGdCSUJaUkhBR2xqM3J4NWt1VG9jUEgyN2RzMWR1eFk1ZVRreU8vM2E4T0dEYXF0clZXZlBuMGtTZm41K2JydnZ2c1VDb1ZhTDdUNStPT1A5Y1liYnlnM04xZFZWVlZxYm01Vzc5NjlPNnc3R0F6cXB6LzlxWVlQSDY2amp6NzZvRzhuQUxpSjhnZ2diUng1NUpFYVBIaXdvOXZqNU9mbnE3S3lVazFOVFlySDQvTDVmRHJ6ekRQMVgvLzFYNjF6emo3NzdIYkxlTDFldmZycXE2MlBCdzBhdE0vN1I1YVVsSHlwN1FHQVZFUjVCSkEyYnJqaEJ0MXd3dzN0eGthTUdMSEhpMXc4SGs5ckVYVHFoQk5PMEljZmZpaHJyVHdlVDRkRDFnQ1FDU2lQQUhBQWRwMFRDUUNaaWs5QkFBQUFPRVo1QkFBQWdHT1VSd0FBQURoR2VRUUFBSUJqbEVjQUFBQTRSbmtFQUFDQVk1UkhBQUFBT0VaNUJBQUFnR09VUndBQUFEaEdlUVFBQUlCamxFY2cweVNpdFVZbW1rZ2sxZGpVNUhZYUhHWWFHaG9VaThka3JPSktSR3ZkemdPZzgxRWVnUXpURk5NbWErMk9lQ3ltYmR1MnV4MEhoNW1hcmRzVURrZGtwV2hUVEp2Y3pnT2c4MUVlZ1F4VFUxV3hSVkpUTkJaVGVjVktoY01SdHlQaE1CR0pScldzdkVLUlNFU1NEYmY4WFFLUVlTaVBRT1pKeXRwbnJGVmk1dXc1bWpkL2dTTFJxTnVaa01Lc3RhcXRxOU0vMzNsUE0yYk9sclZLeU5vSmtwSnVad1BRK1l6YkFRQzRvTGc0ZUl3djl4VVpjMUgzL0h5ZGZ0b3BDZzA2U1FYZDh4VU1CSXFjQzhZQUFDQUFTVVJCVk4xT2h4UlNXMWVuVDlkV2FjV3FWU3Bkc2xUTnpjMnkxczZ1aWpkZHJzcEtkbHNER1lqeUNHU29Ya1VEQ25Pei9KTWxmZHNZNC9INWZQSVlJeGsrRnZCdjFpWVZqeWRrclpXMU5pbHBiaVFTdldYajJoWHIzTTRHd0IzOGxnQXlXTStlSlYxeWVtYjkzQ056bnFSY1kyeU90Y2J2ZGk1M1dSa2pyNlNkaDJjei9HUFNHTVdzMUNTclpxdmtPODNiNGcvVzFGUTB1cDBMZ0hzeSsxTVJnQ1NwVDUraE9jcU85UEQ0MU4yWDhPUzRuY2ROV1VGUFNkQ3ZueGdaZnpobUh3MUhrcXZjenVTbW1DZXh3eWJNOWtSanpmYk5temR6YnljQThya2RBSUQ3cXF0TG15VTFTL3JjN1N4dUM0VkNRV1BNVWRiYXJPeUFxVnBadm5TaDI1a0FJSlZ3dFRVQUFBQWNvendDQUFEQU1jb2pBQUFBSEtNOEFnQUF3REhLSXdBQUFCeWpQQUlBQU1BeHlpTUFBQUFjb3p3Q0FBREFNY29qQUFBQUhLTThBZ0FBd0RIS0l3QUFBQnlqUEFJQUFNQXh5aU1BQUFBY296d0NBQURBTWNvakFBQUFIS004QWdBQXdESEtJd0FBQUJ5alBBSUFBTUF4eWlNQUFBQWNvendDQUFEQU1jb2pBQUFBSEtNOEFnQUF3REhLSXdBQUFCeWpQQUlBQU1BeHlpTUFBQUFjb3p3Q0FBREFNY29qQUFBQUhLTThBZ0FBd0RIS0l3QUFBQnlqUEFJQUFNQXh5aU1BQUFBY296d0NBQURBTWVOMkFBQnd5NkJCZzg3emVyMnpEMlNaWkRKNWNWbFoyY3hEbHdvQVVodDdIZ0ZrckthbXBuZXN0ZXNPWUpIUEd4c2I1eDdDU0FDUThpaVBBREpXWldWbHhGcjcwdjdtV1d0My9YeXRzckl5MGhuWkFDQlZVUjRCWkxSRUl2R0N0VFppclcwdGlXMjFLWTRSYSsxMEZ5SUNRRXFoUEFMSWFMRllyTm9Zczl5WXZaOENib3lSTVdaNU1wazhrRVBjQUpDV0tJOEFNbHB1Ym02OXBJVzducmZkKzdqYm5zaUZ6YzNOTlowY0R3QlNEdVVSUUVZckxTMk5XV3NYU1dyWXg3UWQxdHBGbk84SUFKUkhBRkFpa2ZoQVV1dGV4ZDNQZjdUV05yVE1BWUNNUjNrRWtQR1dMbDI2MmxwYnZvOHBLNVl1WGJxNkV5TUJRTXFpUEFLQVpLMjEwL1owMFV6TDJCUkpIUy9GQm9BTVJIa0VBRW1OalkxdldHdS8ySDNjV2x0cnJYM0ZuVlFBa0hvb2p3Q3c4NGJoOVpKZWE3djNzZVh4ckxLeXNsbzNzd0ZBS3FFOEFrQUxhKzBVU1hIOXV6akduWHdERFFCa0Vzb2pBTFJJSnBNVmtqN1p0ZmZSV3Z0cElwRlk1bll1QUVnbGxFY0FhRkZmWDE4dmFVR2JvWVdKUkdLTGk1RUFJT1ZRSGdHZ1JWVlZWVGlSU0pSS0NsdHJZOGxrOHFPS2lvcEd0M01CUUNyeHVSMEFBRktKeCtPWkoybUxNU1pIMHZ0dTV3RUFBRUJxTTZGUTZQMVFLTFJja3RmdE1BQ1FhanJlRVJkQTV1bmJON3VmdDB0K0xPanJGckRlTExmanVDMHZxR3VNc1ZrTllmTm50N080emlUQ05oS3ZpOFhxNnFxcnE1dmRqZ1BBZlpSSElJUDE2VE0wSjVBWC9XOTVQTU9OMU1YSzVFazI2SFl1dDNtTWZOWW1aZVdKdTUzRmZTWnFaQnVzMUNEcDNXaTk3N0hxNmxKS0pKREJLSTlBaGlvb0x1N2ExWi83dkt5NXhCZ096MkwvckxWSkdjMklKbmJjWEwxNjlWYTM4d0J3QitVUnlFUURCZ1NLa29IbmpOSFZYcTlYQS9xWDZLU0JBMVI4M0xFcTZON2Q3WFJJSWJWMWRWcTlwbExsSzFacFdYbUZFb21Fa3RhK3NpN2VkSzBxS3lOdTV3UFErYmphR3NoQS9Xemdaa2xYQmdNQmpicjlWbDEyOFFVcTdOMWJiYithRDlqRldxc3ROVnMxYTg3Ykd2dndlRVVpMGN2N2VYSnZYeWVOY3pzYmdNN0hvU29nd3hRVkZXVjVmTUVualRHRkY1MC9YS051djFVOUNnb29qdGdyWTR6eWNuTjEvRmVMOWNuYXRhcjg1Rk9QOFppdjVlZGxUYXF0cmVXOFVDRERjSk53SU1ORXZYbTlaRXlXMSt2VjRFRW5xRXRlbnR1UmNKakl5YzdXa01HRDVQZjVaSzM4TVYvWG5tNW5BdEQ1S0k5QWh2RUhQTDBrbXhVTUJIUms3OTV1eDhGaDVzakMzc3JPenBhUi9INFRwendDR1lqeUNHUVlZejFkcmVUMytyenExcTJiMjNGd21PbWVuNjlBSUNCcjVKTTNrTzkySGdDZGovSUlBQUFBeHlpUEFBQUFjSXp5Q0FBQUFNY29qd0FBQUhDTThnZ0FBQURIS0k4QUFBQndqUElJQUFBQXh5aVBBQUFBY0l6eUNBQUFBTWNvandBQUFIQ004Z2dBQUFESEtJOEFBQUJ3alBJSUlLTTBOamFxb2FIQjdSZ0FjTmp5dVIwQUFBNmwydHBhclYyN1ZvTUhENVl4UmxPbVROR1VLVlAwNXB0dktqOC8zOUU2cXFxcTlNVVhYeHpRKzU1NDRvbnkrZmlJQlpCKytHUURrQmEyYmR1bTExOS9YVFUxTmRxMGFaTTJiZHFrNnVwcU5UVTFTWkttVFp1bW9xSWl2Zjc2NnpyenpETWRGMGRKZXZ6eHgxVldWcWFpb3FMOXptMXVidGJLbFN2MTFsdHZxV2ZQbmw5cW13QWdGVkVlQWFTRllEQ29xVk9ucW1mUG5zckt5dEthTld0MDNYWFhhZURBZ1RyNjZLUFZyMTgvdmZIR0c5cTZkYXUrOHBXdjZLMjMzdHJydWs0OTlWUjE2ZEtsM1ZqZnZuMTE0WVVYN2pmSHhvMGJ0WExseW9PeVRRQ1FpaWlQQU5KQ1hsNmU1czZkSzBsYXRteVpyci8rZW4zM3U5L1ZVVWNkSlVtS3grTjY3cm5uSkVsLytjdGY5cm11di83MXJ5b3BLZW1FMUFCdytLRThBc2dJcjc3NnF0YXZYNi9Ka3llcnBLUkVhOWV1MVlZTkczVGFhYWUxenZuQkQzNmdUWnMyNmVpamorNndmSFYxOVQ3M1Z1N1MzTng4MExNRFFDcWhQQUpJQ3hzM2JsUjVlYmtrNmJQUFBwTWsvZXRmLzFLUEhqMlVtNXVyaVJNbmF2anc0Um80Y0tBa2FjNmNPWm8rZmJyZWZmZGRTZEpISDMya05Xdlc2TVliYjFSMmRuYUg5UmNYRjJ2a3lKSDd6YkZ1M2JyV0hBQ1FqaWlQQU5MQ2tpVkxOR2JNR0VsU01wbVVKRDMyMkdPU3BPN2R1eXNXaTJuVXFGRjdYWDcyN05uS3lzclNOZGRjSTBuNjRJTVBXczlkek0vUFYvZnUzYlZxMWFyOTVnaUh3enJubkhNMFk4YU0xcXV0blpST0FEaGNVQjRCcElVTEw3eXc5WUtXWjU5OVZrODg4WVNtVFp2V2VzNWpWVldWQ2dzTDk3cjhQZmZjb3h0dnZMSDFLdXpzN096V3h3ZHlaYmFrZmI0UEFCenVLSThBMGtvaWtkQ3JyNzRxU1pveFk0WXV1K3d5OWUzYlYwVkZSWHI1NVpkVldscXErKysvdjkweTQ4ZVBWelFhMVM5LytjdldzUk5QUEZFbm5uaWlKT25XVzI5VlZWWFZBZVY0OU5GSDliV3ZmZTJnYkJNQXBCTEtJNEMwOHQ1NzcyblRwazJTcFBmZmYxOHpac3pRcEVtVGRNd3h4K2psbDErV01VWlpXVm50bHZINWZKbzhlYkl1dnZoaTllL2Z2OE02dDIzYnBvc3Z2bGhYWEhGRnUvRUxMN3hRZDk1NXA4NDg4OHpXc2ZyNmVsMTExVldLeFdLSGJCc0J3RTJVUndCcHcxcXI1NTkvWHYzNjlkTzZkZXYwd0FNUDZLR0hIdExvMGFQMTYxLy9XbXZXck5IbzBhTTdMUGZESC81UUw3MzBraDU1NUJFOTlkUlRlMXozZSsrOXAzWHIxblVZbnpsenBqNzg4TVBXNTVSR0FPbU84Z2dnYmZ6OTczL1hzbVhMZE45OTkrbTN2LzJ0Z3NHZ3hvMGJwMDJiTnVsdmYvdWJmRDZmTHJqZ2dnN0xkZTNhVmRkY2M0MmVmdnBwTFZ5NFVOLzg1amM3ekJrOGVIQ0haZi92Ly81UDMvcld0elJzMkxEV3NjYkdSczJiTis4UWJTRUF1SS95Q0NBdDFOWFZhY0tFQ1Rybm5ITjA3TEhIdG81MzZkSkZpVVJDTTJmTzFEbm5uTFBYaTErdXZ2cHFUWmt5UlpNbVRkcGplZXpldmJ1T09lYVlEdU05ZS9ac04xNVhWM2ZRdGdrQVVoSGxFVUJhV0x4NHNTS1JpSDd4aTErb3BxYW0zV3ZUcDA5WE9CemU1eTF6dW5YcnB1OTk3M3Y2NjEvL3FnOCsrRUFubjN4eTYydUJRRURUcGsxcnZSQ25yZkhqeDJ2aXhJbXR6NjIxOHZ2OU1zWWN0RzBEZ0ZSQ2VRU1FGczQ0NHd3OThNQURLaXdzYkZjZXJiVjY4ODAzTlhUbzBEMWVETlBXdGRkZXE1ZGZmbG5MbHkvWHlTZWZyR2cwcW5nOHJxZWZmbnFQODA4Ly9YU05IajFhMy83MnQvZjRlbk56czNKeWNyN2tsZ0ZBYXFFOEFrZ0xYcTlYWjU5OWRvZHhZNHltVFp1bTJ0cmFkdVB4ZUx6RDNNTENRczJlUFZ2ZHVuV1RKUDNoRDMvUW0yKyt1Yy8zSFRObWpNYU9IYnZYMStmUG4zOEFXd0VBcVkveUNDRHRaV1ZscWJDd1VQUG16ZFBLbFNzVkRBWTFaODRjOWVyVnE4UGNYY1V4SG85cjlPalJlN3c2ZTVkVFR6MVY5OTU3cjc3em5lL3NkVTRrRWxFd0dEeElXd0lBN3FNOEFzZ1luMy8rdVNaTm1pUkpLaWdvMEIxMzNMSFh1YmZmZm51N1cvRHN6WDMzM2FmNzdydHZuM1ArOFk5L0hQQzMxQUJBcXFJOEFrZzdKNTU0b2twTFN6dU1YM1BOTmJyNjZxdVZTQ1JhdjNkNmIzYVZUQUJBZXg2M0F3QkFaekxHN0xjNEFnRDJqdklJQUFBQXh5aVBBQUFBY0l6eUNBQUFBTWNvandBQUFIQ004Z2dBQUFESEtJOEFBQUJ3alBJSUFBQUF4eWlQQUFBQWNJenlDQUFBQU1jb2p3QUFBSENNOGdoa21rUzAxc2hFRTRta0dwdWEzRTZEdzB4RFE0Tmk4WmlNVlZ5SmFLM2JlUUIwUHNvamtHR2FZdHBrcmQwUmo4VzBiZHQydCtQZ01GT3pkWnZDNFlpc0ZHMkthWlBiZVFCMFBzb2prR0ZxcWlxMlNHcUt4bUlxcjFpcGNEamlkaVFjSmlMUnFKYVZWeWdTaVVpeTRaYS9Td0F5RE9VUnlEeEpXZnVNdFVyTW5EMUg4K1l2VUNRYWRUc1RVcGkxVnJWMWRmcm5PKzlweHN6WnNsWUpXVHRCVXRMdGJBQTZuM0U3QUFBWEZCY0hqL0hsdmlKakx1cWVuNi9UVHp0Rm9VRW5xYUI3dm9LQm9OdnBrRUpxNityMDZkb3FyVmkxU3FWTGxxcTV1Vm5XMnRsVjhhYkxWVm5KYm1zZ0ExRWVnUXpWcTJoQVlXNldmN0trYnh0alBENmZUeDVqSk1QSEF2N04ycVRpOFlTc3RiTFdKaVhOalVTaXQyeGN1MktkMjlrQXVJUGZFa0FHNjltenBFdE96NnlmZTJUT2s1UnJqTTJ4MXZqZHp1VXVLMlBrbGJUejhHeUdmMHdhbzVpVm1tVFZiSlY4cDNsYi9NR2Ftb3BHdDNNQmNFOW1meW9Da0NUMTZUTTBSOW1SSGg2ZnV2c1NuaHkzODdncEsrZ3BDZnIxRXlQakQ4ZnNvK0ZJY3BYYm1kd1U4eVIyMklUWm5taXMyYjU1ODJidTdRUkFQcmNEQUhCZmRYVnBzNlJtU1orN25jVnRvVkFvYUl3NXlscWJsUjB3VlN2TGx5NTBPeE1BcEJLdXRnWUFBSUJqbEVjQUFBQTRSbmtFQUFDQVk1UkhBQUFBT0VaNUJBQUFnR09VUndBQUFEaEdlUVFBQUlCamxFY0FBQUE0Um5rRUFBQ0FZNVJIQUFBQU9FWjVCQUFBZ0dPVVJ3QUFBRGhHZVFRQUFJQmpsRWNBQUFBNFJua0VBQUNBWTVSSEFBQUFPRVo1QkFBQWdHT1VSd0FBQURoR2VRUUFBSUJqbEVjQUFBQTRSbmtFQUFDQVk1UkhBQUFBT0VaNUJBQUFnR09VUndBQUFEaEdlUVFBQUlCamxFY0FBQUE0Um5rRUFBQ0FZNVJIQUFBQU9FWjVCQUFBZ0dPVVJ3QUFBRGhHZVFRQUFJQmpsRWNBQUFBNFp0d09BQUJ1R1RSbzBIbGVyM2YyZ1N5VFRDWXZMaXNybTNub1VnRkFhbVBQSTRDTTFkVFU5STYxZHQwQkxQSjVZMlBqM0VNWUNRQlNIdVVSUU1hcXJLeU1XR3RmMnQ4OGErMnVuNjlWVmxaR09pTWJBS1FxeWlPQWpKWklKRjZ3MWthc3RhMGxzYTAyeFRGaXJaM3VRa1FBU0NtVVJ3QVpMUmFMVlJ0amxodXo5MVBBalRFeXhpeFBKcE1IY29nYkFOSVM1UkZBUnN2TnphMlh0SERYODdaN0gzZmJFN213dWJtNXBwUGpBVURLb1R3Q3lHaWxwYVV4YSswaVNRMzdtTGJEV3J1STh4MEJnUElJQUVva0VoOUlhdDJydVB2NWo5YmFocFk1QUpEeEtJOEFNdDdTcFV0WFcydkw5ekZseGRLbFMxZDNZaVFBU0ZtVVJ3Q1FyTFYyMnA0dW1ta1pteUtwNDZYWUFKQ0JLSThBSUtteHNmRU5hKzBYdTQ5YmEydXR0YSs0a3dvQVVnL2xFUUIyM2pDOFh0SnJiZmMrdGp5ZVZWWldWdXRtTmdCSUpaUkhBR2hoclowaUthNS9GOGU0azIrZ0FZQk1RbmtFZ0JiSlpMSkMwaWU3OWo1YWF6OU5KQkxMM000RkFLbUU4Z2dBTGVycjYrc2xMV2d6dERDUlNHeHhNUklBcEJ6S0l3QzBxS3FxQ2ljU2lWSkpZV3R0TEpsTWZsUlJVZEhvZGk0QVNDVSt0d01BUUNyeGVEenpKRzB4eHVSSWV0L3RQQUFBQUVodEpoUUt2UjhLaFpaTDhyb2RCZ0JTVGNjNzRnTElQSDM3WnZmemRzbVBCWDNkQXRhYjVYWWN0K1VGZFkweE5xc2hiUDdzZGhiWG1VVFlSdUoxc1ZoZFhYVjFkYlBiY1FDNGovSUlaTEErZllibUJQS2kveTJQWjdpUnVsaVpQTWtHM2M3bE5vK1J6OXFrckR4eHQ3TzR6MFNOYklPVkdpUzlHNjMzUFZaZFhVcUpCRElZNVJISVVBWEZ4VjI3K25PZmx6V1hHTVBoV2V5ZnRUWXBveG5SeEk2YnExZXYzdXAySGdEdW9Ed0NtV2pBZ0VCUk12Q2NNYnJhNi9WcVFQOFNuVFJ3Z0lxUE8xWUYzYnU3blE0cHBMYXVUcXZYVktwOHhTb3RLNjlRSXBGUTB0cFgxc1dicmxWbFpjVHRmQUE2SDFkYkF4bW9udzNjTE9uS1lDQ2dVYmZmcXNzdXZrQ0Z2WHVyN1ZmekFidFlhN1dsWnF0bXpYbGJZeDhlcjBna2Vuay9UKzd0NjZSeGJtY0QwUGs0VkFWa21LS2lvaXlQTC9pa01hYndvdk9IYTlUdHQ2cEhRUUhGRVh0bGpGRmVicTZPLzJxeFBsbTdWcFdmZk9veEh2TzEvTHlzU2JXMXRad1hDbVFZYmhJT1pKaW9ONitYak1ueWVyMGFQT2dFZGNuTGN6c1NEaE01MmRrYU1uaVEvRDZmckpVLzV1dmEwKzFNQURvZjVSSElNUDZBcDVka3M0S0JnSTdzM2R2dE9Eak1IRm5ZVzluWjJUS1MzMi9pbEVjZ0ExRWVnUXhqcktlcmxmeGVuMWZkdW5Wek93NE9NOTN6OHhVSUJHU05mUElHOHQzT0E2RHpVUjRCQUFEZ0dPVVJBQUFBamxFZUFRQUE0QmpsRVFBQUFJNVJIZ0VBQU9BWTVSRUFBQUNPVVI0QkFBRGdHT1VSQUFBQWpsRWVBUUFBNEJqbEVRQUFBSTVSSGdFQUFPQVk1UkVBQUFDT1VSNEJZRC9tejUrdmUrKzkxOUhjbFN0WDZsZS8rcFUyYjk1OHlITUJnQnNvandEU1JqS1pWRHdlMys4ZmE2M1dybDJyeXNyS0RuL1dyMS9mWWIzcjFxM1QyMisvN1NoRFRVMk41c3labzRhR2hrT3doUURnUHAvYkFRRGdZQms5ZXJUZWZmZmQvYzc3MWE5K3BRa1RKcWl4c2JIRGExLzk2bGMxYmRvMHJWbXpSbXZYcnRYdzRjUGJ2YjV4NDBZdFdMQkFGMXh3Z2F5MW1qWnRtcTY3N2pwNXZkNkR1aTBBa0tvb2p3RFN4azkvK2xQOThJYy9sQ1RObkRsVEsxZXUxQzkrOFF2ZGV1dXQrdm5QZjY2U2toSkowbEZISGFXaFE0Y3FrVWkwVy83NTU1L1htalZySkVsTGxpelJrMDgrcWJQUFBydmRuRm16WnVuWlo1L1YrZWVmcjQ4Ly9saVRKazNTNHNXTE5YYnNXT1hsNVhYYXRnS0FXeWlQQU5MR01jY2MwL3E0dExSVTY5ZXZWeWdVa2pGR3hjWEZDb1ZDcmEvMzdObXp3L0xkdW5WcmZmeWQ3M3hIRHozMGtQNzV6MysybXpOMzdseWRjODQ1eXNuSjBTbW5uS0kvL2VsUCt1VXZmNm5ycnJ0TzQ4ZVBQMlRiQmdDcGduTWVBYVNOV0N5bVJZc1dhZEdpUlZxL2ZyM3E2K3UxYU5FaVdXdTFZc1dLMXRlY0tDZ29VQ2dVMG93Wk0xckhLaXNydFdyVktsMTY2YVd0WXllZmZMS2VldW9wSlJJSkpaUEpRN0pkQUpCSzJQTUlJRzNVMWRYcHh6LytzWUxCWUd1Wis5Ly8vVi9GNDNFOThjUVRrcVJvTktyUzBsSkg2eHMrZkxqS3k4dGJuNjlaczBiSEhudXN2djcxcjdlYlYxSlNvcGRmZmxrK24wL3IxcTA3eUZzRkFLbUZQWThBMHM3a3laTjEwMDAzNmV0Zi83cm16NTh2djkrdkNSTW02TkZISHoyZzlWeHh4Ulg2OWE5LzNmcjhnZ3N1ME5TcFUyV01rU1F0WExoUUsxYXNrQ1Q1ZlB5L09JRE13S2NkZ0xSVVgxK3YzTnpjdmI0K2Z2eDR6Wm8xcTkxWVkyT2ordmJ0SzBrYU0yYU0zbnp6VFVscXZjWFB0NzcxcmRhNU0yZk8xQ3V2dktMMzNudFB0OXh5aTM3MG94L0o0K0gveHdHa1A4b2pnTFMwY3VYSzFxdXJqVEVLaDhQeSsvMnRyOWZWMWNubjgrbktLNjlzSFh2dnZmZGFiOTl6NmFXWHRoNmVmdVNSUi9URkYxL292dnZ1YTUyYm01dXIzLy8rOTNyMjJXYzFjZUpFTFZteVJBOC8vSEFuYmlFQXVJUHlDQ0R0VkZWVmFjbVNKUm94WW9Ra3FVK2ZQcnI3N3J1Vm41L2ZidDRSUnh5aGtTTkh0ajQvLy96ejFkemNMRWs2OGNRVGRlS0pKMnJGaWhXcXFhbVIzKzlYNzk2OVZWSlNvdXpzN05abGJyNzVacFdVbEdqQmdnWEt5c3JxdEcwRUFMZFFIZ0drblFrVEppZy9QMTlubkhHR0pPbnh4eDlYV1ZtWjFxeFpvK2VlZTI2dnl4MXh4QkVkeGw1NDRRWDUvWDVaYS9YQUF3L29pQ09PMEdPUFBkWnVMK1laWjV6UitsN2hjRmlTOU9HSEg2cTB0RlNiTm0zU1RUZmR0TTlENkFCd09LRThBa2c3dDkxMm03eGVyd0tCZ0NTcHNMQlE1NTkvdnJwMzc3N1A4cmk3cXFvcXpaMDdWeGRjY0lGbXo1NnRSeDU1Uk5kZmY3MSs5YXRmNlNjLytZbmVmdnR0YmQ2OFdaczJiV3I5czZzOFB2end3OHJQejFlZlBuMTA3YlhYVWg0QnBBM0tJNEMwczJIREJ2WHExYXZkUFJvbGFlM2F0ZnRkZHRXcVZmcktWNzZpN094czNYZmZmUm8yYkppT1AvNTR6WjQ5VzBjZmZiVEdqUnVuZWZQbXFhYW1Sak5uenRTUlJ4NnBJNDg4VW9NR0RWSmhZYUUyYjk2c1NaTW02WVVYWGxELy92MFA0VllDZ0Rzb2p3RFN6b3daTTFyM09yYTFZOGVPL1M3Nzhzc3ZhL0hpeGJyb29vdTBZc1VLdmZEQ0MrM3VDeGtLaFZxL3FlYnZmLzk3aCtYbnpac25TZTBPYXdOQU9xRThBa2c3NDhhTlUzRnhjWWZ4UllzVzZjYy8vdkUrbDYycHFkRVJSeHloOWV2WDYvcnJyMWRKU1luam00b0RRQ2FnUEFKSU85dTNiOWZtelpzN2pOZlcxclkrRGdhRGFtcHE2akRuMDA4LzFUZS8rVTNkZU9PTmUveithd0RJZEpSSEFHbm50dHR1MisrY1k0NDVSdE9uVDlmamp6K3VZNDQ1Um1xNU4rU0dEUnMwYU5BZzllN2R1eE9TQXNEaGgvSUlJTzFNbkRoUi9mcjE2ekJlVmxhbXUrNjZTMnE1Q2ZpaVJZdjA0b3N2S2hLSlNKS3lzN04xNmFXWDZ2enp6Ky8wekFCd3VEQnVCd0RRdVlxK052Z3NHVHUxYTVjdWhVOU9lRVRmUFBucmJrYzZxQ0tSaUFLQlFPdjNUK1BnV3ZqQlIvcWZYL3cvMVd6YlZpdXI3MWF0TEh2SDdVd0FPaGQ3SGdHa2xXQXc2SFlFQUVockhyY0RBQUFBNFBCQmVRUUFBSUJqbEVjQUFBQTRSbmtFQUFDQVk1UkhBQUFBT0VaNUJBQUFnR09VUndBQUFEaEdlUVFBQUlCamxFY0FBQUE0Um5rRUFBQ0FZNVJISU5Na29yVkdKcHBJSk5YWTFPUjJHaHhtR2hvYUZJdkhaS3ppU2tScjNjNERvUE5SSG9FTTB4VFRKbXZ0am5nc3BtM2J0cnNkQjRlWm1xM2JGQTVIWktWb1UweWIzTTREb1BOUkhvRU1VMU5Wc1VWU1V6UVdVM25GU29YREViY2o0VEFSaVVhMXJMeENrVWhFa2cyMy9GMENrR0VvajBEbVNjcmFaNnhWWXVic09abzNmNEVpMGFqYm1aRENyTFdxcmF2VFA5OTVUek5tenBhMVNzamFDWktTYm1jRDBQbU0yd0VBdUtDNE9IaU1ML2NWR1hOUjkveDhuWDdhS1FvTk9ra0YzZk1WREFUZFRvY1VVbHRYcDAvWFZtbkZxbFVxWGJKVXpjM05zdGJPcm9vM1hhN0tTblpiQXhtSThnaGtxRjVGQXdwenMveVRKWDNiR09QeCtYenlHQ01aUGhid2I5WW1GWThuWksyVnRUWXBhVzRrRXIxbDQ5b1Y2OXpPQnNBZC9KWUFNbGpQbmlWZGNucG0vZHdqYzU2a1hHTnNqclhHNzNZdWQxa1pJNitrbllkbk0veGowaGpGck5Ra3EyYXI1RHZOMitJUDF0UlVOTHFkQzRCN012dFRFWUFrcVUrZm9UbktqdlR3K05UZGwvRGt1SjNIVFZsQlQwblFyNThZR1g4NFpoOE5SNUtyM003a3BwZ25zY01telBaRVk4MzJ6WnMzYzI4bkFQSzVIUUNBKzZxclM1c2xOVXY2M08wc2JndUZRa0ZqekZIVzJxenNnS2xhV2I1MG9kdVpBQ0NWY0xVMUFBQUFIS004QWdBQXdESEtJd0FBQUJ5alBBSUFBTUF4eWlNQUFBQWNvendDQUFEQU1jb2pBQUFBSEtNOEFnQUF3REhLSXdBQUFCeWpQQUlBQU1BeHlpTUFBQUFjb3p3Q0FBREFNY29qQUFBQUhLTThBZ0FBd0RIS0l3QUFBQnlqUEFJQUFNQXh5aU1BQUFBY296d0NBQURBTWNvakFBQUFIS004QWdBQXdESEtJd0FBQUJ5alBBSUFBTUF4eWlNQUFBQWNvendDQUFEQU1jb2pBQUFBSEtNOEFnQUF3REhLSXdBQUFCeWpQQUlBQU1BeHlpTUFBQUFjb3p3Q0FBREFNY29qQUFBQUhLTThBZ0FBd0RIamRnQUFjTXVnUVlQTzgzcTlzdzlrbVdReWVYRlpXZG5NUTVjS0FGSWJleDRCWkt5bXBxWjNyTFhyRG1DUnp4c2JHK2Nld2tnQWtQSW9qd0F5Vm1WbFpjUmErOUwrNWxscmQvMThyYkt5TXRJWjJRQWdWVkVlQVdTMFJDTHhnclUyWXExdExZbHR0U21PRVd2dGRCY2lBa0JLb1R3Q3lHaXhXS3phR0xQY21MMmZBbTZNa1RGbWVUS1pQSkJEM0FDUWxpaVBBREphYm01dXZhU0Z1NTYzM2Z1NDI1N0loYzNOelRXZEhBOEFVZzdsRVVCR0t5MHRqVmxyRjBscTJNZTBIZGJhUlp6dkNBQ1VSd0JRSXBINFFGTHJYc1hkejMrMDFqYTB6QUdBakVkNUJKRHhsaTVkdXRwYVc3NlBLU3VXTGwyNnVoTWpBVURLb2p3Q2dHU3R0ZFAyZE5GTXk5Z1VTUjB2eFFhQURFUjVCQUJKalkyTmIxaHJ2OWg5M0ZwYmE2MTl4WjFVQUpCNktJOEFzUE9HNGZXU1htdTc5N0hsOGF5eXNySmFON01CUUNxaFBBSkFDMnZ0RkVseC9iczR4cDE4QXcwQVpCTEtJd0MwU0NhVEZaSSsyYlgzMFZyN2FTS1JXT1oyTGdCSUpaUkhBR2hSWDE5ZkwybEJtNkdGaVVSaWk0dVJBQ0RsVUI0Qm9FVlZWVlU0a1VpVVNncGJhMlBKWlBLamlvcUtScmR6QVVBcThia2RBQUJTaWNmam1TZHBpekVtUjlMN2J1Y0JBQUJBYWpPaFVPajlVQ2kwWEpMWDdUQUFrR282M2hFWFFPYnAyemU3bjdkTGZpem82eGF3M2l5MzQ3Z3RMNmhyakxGWkRXSHpaN2V6dU00a3dqWVNyNHZGNnVxcXE2dWIzWTREd0gyVVJ5Q0Q5ZWt6TkNlUUYvMXZlVHpEamRURnl1UkpOdWgyTHJkNWpIeldKbVhsaWJ1ZHhYMG1hbVFick5RZzZkMW92ZSt4NnVwU1NpU1F3U2lQUUlZcUtDN3UydFdmKzd5c3VjUVlEczlpLzZ5MVNSbk5pQ1oyM0Z5OWV2Vld0L01BY0FmbEVjaEVBd1lFaXBLQjU0elIxVjZ2VndQNmwraWtnUU5VZk55eEt1amUzZTEwU0NHMWRYVmF2YVpTNVN0V2FWbDVoUktKaEpMV3ZySXUzblN0S2lzamJ1Y0QwUG00MmhySVFQMXM0R1pKVndZREFZMjYvVlpkZHZFRkt1emRXMjIvbWcvWXhWcXJMVFZiTld2TzJ4cjc4SGhGSXRITCszbHliMThualhNN0c0RE94NkVxSU1NVUZSVmxlWHpCSjQweGhSZWRQMXlqYnI5VlBRb0tLSTdZSzJPTThuSnpkZnhYaS9YSjJyV3EvT1JUai9HWXIrWG5aVTJxcmEzbHZGQWd3M0NUY0NERFJMMTV2V1JNbHRmcjFlQkJKNmhMWHA3YmtYQ1l5TW5PMXBEQmcrVDMrV1N0L0RGZjE1NXVad0xRK1NpUFFJYnhCenk5SkpzVkRBUjBaTy9lYnNmQlllYkl3dDdLenM2V2tmeCtFNmM4QWhtSThnaGtHR005WGEzazkvcTg2dGF0bTl0eGNKanBucCt2UUNBZ2ErU1RONUR2ZGg0QW5ZL3lDQUFBQU1jb2p3QUFBSENNOGdnQUFBREhLSThBQUFCd2pQSUlBQUFBeHlpUEFBQUFjSXp5Q0FBQUFNY29qd0FBQUhDTThnZ0FBQURIS0k4QUFBQndqUElJQUFBQXh5aVBBQUFBY0l6eUNBQUFBTWQ4YmdjQWdJTWxIQTdyZ1FjZTBNaVJJMVZTVWlKSjJyaHhvelpzMk9CNEhVT0hEcFV4WnIvejFxNWRxekZqeHNqdjkydmN1SEhLeWNuNVV0a0I0SEJCZVFTUU5yWnQyNmFWSzFkcTVNaVIrdkdQZjZ5UkkwZHE1c3labWpoeG91TjFMRnEwU0Q3ZnZqOGFhMnRyTldyVUtGVlhWOHRhcStuVHArdjY2NjgvQ0ZzQUFLbVA4Z2dnYlh6bEsxL1I1TW1UZGYvOTkrdXh4eDdUeG8wYjFiTm5UL245ZnIzOTBWdmxJUUFBSUFCSlJFRlU5dHY3WFBhMTExN1QrUEhqOS9zZWRYVjFHalZxbERadTNLZy8vdkdQZXVlZGR6Umh3Z1QxNk5GRGwxeHl5VUhjR2dCSVRaUkhBR2tsTnpkWER6LzhzRjU4OFVXZGVlYVptajE3dHF5MWFtaG8yT2R5NFhCNHYrdmV0R21UZnZLVG4yamR1blc2Nzc3N2RNWVpaK2kwMDA1VGMzT3pmdjNyWDZ1bXBrWTMzSEREUWR3YUFFZzlsRWNBYVNPUlNNanI5VXFTcnIzMjJ0YnhlRHorcGZjS0xsaXdRUGZmZjcvcTYrdjF1OS85VHVlZmY3NGt5ZVB4NkhlLys1Mk1NWHI4OGNmMXlTZWY2TTQ3NzFUWHJsMi81TllBUUdxaVBBSklDN0ZZVExmZGRwdU9PdW9vL2V4blAxTzNidDFhWC9QNWZKbzhlZkkrbDU4elo0NmVlKzY1RHVQaGNGaC8rdE9mTkhYcVZQWHMyVk9USmszUzRNR0QyODN4K1h4NjhNRUgxYjkvZjAyWU1FRWZmUENCUm84ZXJmUE9PKzhnYmlFQXBBYktJNEMwNFBQNWROcHBwMm5peEltYVAzKytmdk9iMytpVVUwNlJKQmxqV3ErKzNwdXlzckoyejYyMWV2UE5OL1duUC8xSlc3WnNVVlpXbHI3Ly9lK3JzckpTbFpXVmUxeEhUazZPdnZPZDcrZ2YvL2lIN3Jyckx2MzV6My9XZGRkZHArSERoKy8zSWh3QU9GendhUVlnTFJoamRQMzExMnZZc0dHNjQ0NDc5UERERDJ2YXRHbFN5MTdKb1VPSEh0RDZKa3lZb09lZmYxNkZoWVY2NElFSDlPeXp6KzV4eitTZTNIMzMzYXFwcWRIenp6K3Y4ZVBINjdUVFR1TXdOb0MwUVhrRWtGWUdEaHlvRjE5OFVRME5EZkw3L2ZKNFBBb0dneG96WnN3K2w1cy9mNzVlZSsyMTF1Y2pSNDVVZm42K1Jvd1lvV0F3cUFzdnZQQ0FzM3p2ZTk5VFRVME54UkZBV3FFOEFrZzcrZm41eXMvUGx5U2RkdHBwMnI1OXU3NzV6VzhxT3p1N2RjNTc3NzJubDE5K1dZODk5cGdrNlpSVFR0R3R0OTdhYmgwalI0NzhVamtLQ2dwVVVGRHdwZFlCQUttRzhnZ2c3WlNYbCt2b280OVdseTVkOU5sbm4ybnExS202NmFhYjJwWEhqUnMzYXNHQ0JlMldlL2JaWjdWdTNUbzk4Y1FUN2NZdnV1Z2kxZGJXSGxDR1VhTkc2Y29yci95U1d3SUFxWWZ5Q0NEdFBQamdnNnFwcWRIczJiTmJ4MTU1NVpWMjVkRmEyL3A0d1lJRkdqdDJyTmF2WDYvVFR6OWRqWTJOeXN2TGEzMTl4NDRkT3Y3NDQzWHV1ZWZ1OTcxMzdOaWhKNTU0UXZGNC9LQnVFd0NrQ3NvamdMU3lmZnQyclZpeFFzT0hEMi8zSGRYVHAwOXY5L3pxcTYrV3RWWjMzSEdIL3ZHUGYyamd3SUc2NTU1N05HellzRDJ1dDdpNFdOZGNjODErMzcrMnRyYkRua3NBU0NlVVJ3QnBaZjc4K1pLa004ODhzOTM0U3krOTFIb2U1SzduMWxwOTl0bG5HamR1bk00NjZ5eXA1V3NLVHp2dE5QWHExYXVUa3dQQTRjSGpkZ0FBT0pqZWZmZmQxbnMrN3MydVE4b2VqMGRUcDA1dExZN2hjRmhqeG96UnJGbXpPaTB2QUJ4dTJQTUlJRzAwTmpicS9mZmYxN0JodzlxZHM2aVdjeHcvK3VnanpadzVVOHVXTGRPSUVTT1VUQ2FWU0NSYWIrQzliTmt5V1dzMWNPQkFsN1lBQUZJZjVSRkEycGc3ZDY1aXNaak9QdnZzMXJIcTZtcEowb2dSSTdSdDJ6YjE3OTlmMTE5L3ZYcjA2Q0ZKdXYvKysxVlNVcUo0UEs3WnMyY3JKeWRISjV4d1FvZDF2L3JxcTNyOTlkYzdjV3NBSURWUkhnR2tqVldyVnNrWTAzb1lXcEsyYmRzbWo4ZWpiM3pqRzdyNjZxczFZTUFBcVdWUDVQZSs5ejI5OWRaYnJWZGxGeFlXNnU2NzcxWXdHT3l3N21IRGh1blNTeS9kYjRibTVtWTkrT0NEQjNXN0FDQ1ZHQWR6QUtTUm9xOE5Qa3ZHVHUzYXBVdmhreE1lMFRkUC9ycmJrUTZxVFpzMnFiQ3dzUFY1SkJMUnBrMmIxSzlmdi85NG5kRm9WQjZQaCsrbmxyVHdnNC8wUDcvNGY2clp0cTFXVnQrdFdsbjJqdHVaQUhRdVBna0JwSlcyeFZHU2dzSGdseXFPa2hRSUJMNWtLZ0JJSDF4dERRQUFBTWNvandBQUFIQ004Z2dBQUFESEtJOEFBQUJ3alBJSUFBQUF4eWlQQUFBQWNJenlDQUFBQU1jb2p3QUFBSENNOGdnQUFBREhLSThBQUFCd2pQSUlaSnBFdE5iSVJCT0pwQnFibXR4T2c4Tk1RME9EWXZHWWpGVmNpV2l0MjNrQWREN0tJNUJobW1MYVpLM2RFWS9GdEczYmRyZmo0REJUczNXYnd1R0lyQlJ0aW1tVDIza0FkRDdLSTVCaGFxb3F0a2hxaXNaaUtxOVlxWEE0NG5Za0hDWWkwYWlXbFZjb0VvbElzdUdXdjBzQU1nemxFY2c4U1ZuN2pMVkt6Snc5Ui9QbUwxQWtHblU3RTFLWXRWYTFkWFg2NXp2dmFjYk0yYkpXQ1ZrN1FWTFM3V3dBT3A5eE93QUFGeFFYQjQveDViNGlZeTdxbnArdjAwODdSYUZCSjZtZ2U3NkNnYURiNlpCQ2F1dnE5T25hS3ExWXRVcWxTNWFxdWJsWjF0clpWZkdteTFWWnlXNXJJQU5SSG9FTTFhdG9RR0Z1bG4reXBHOGJZencrbjA4ZVl5VER4d0wremRxazR2R0VyTFd5MWlZbHpZMUVvcmRzWEx0aW5kdlpBTGlEM3hKQUJ1dlpzNlJMVHMrc24zdGt6cE9VYTR6TnNkYjQzYzdsTGl0ajVKVzA4L0JzaG45TUdxT1lsWnBrMVd5VmZLZDVXL3pCbXBxS1JyZHpBWEJQWm44cUFwQWs5ZWt6TkVmWmtSNGVuN3I3RXA0Y3QvTzRLU3ZvS1FuNjlSTWo0dy9IN0tQaFNIS1YyNW5jRlBNa2R0aUUyWjVvck5tK2VmTm03dTBFUUQ2M0F3QndYM1YxYWJPa1prbWZ1NTNGYmFGUUtHaU1PY3BhbTVVZE1GVXJ5NWN1ZERzVEFLUVNycllHQUFDQVk1UkhBQUFBT0VaNUJBQUFnR09VUndBQUFEaEdlUVFBQUlCamxFY0FBQUE0Um5rRUFBQ0FZNVJIQUFBQU9FWjVCQUFBZ0dPVVJ3QUFBRGhHZVFRQUFJQmpsRWNBQUFBNFJua0VBQUNBWTVSSEFBQUFPRVo1QkFBQWdHT1VSd0FBQURoR2VRUUFBSUJqbEVjQUFBQTRSbmtFQUFDQVk1UkhBQUFBT0VaNUJBQUFnR09VUndBQUFEaEdlUVFBQUlCamxFY0FBQUE0Um5rRUFBQ0FZNVJIQUFBQU9FWjVCQUFBZ0dPVVJ3QUFBRGhHZVFRQUFJQmpsRWNBQUFBNFJua0VBQUNBWTVSSEFBQUFPR2JjRGdBQWJoazBhTkI1WHE5MzlvRXNrMHdtTHk0cks1dDU2RklCUUdwanp5T0FqTlhVMVBTT3RYYmRBU3p5ZVdOajQ5eERHQWtBVWg3bEVVREdxcXlzakZoclg5cmZQR3Z0cnArdlZWWldSam9qR3dDa0tzb2pnSXlXU0NSZXNOWkdyTFd0SmJHdE5zVXhZcTJkN2tKRUFFZ3BsRWNBR1MwV2kxVWJZNVlicy9kVHdJMHhNc1lzVHlhVEIzS0lHd0RTRXVVUlFFYkx6YzJ0bDdSdzEvTzJleDkzMnhPNXNMbTV1YWFUNHdGQXlxRThBc2hvcGFXbE1XdnRJa2tOKzVpMncxcTdpUE1kQVlEeUNBQktKQklmU0dyZHE3ajcrWS9XMm9hV09RQ1E4U2lQQURMZTBxVkxWMXRyeS9jeFpjWFNwVXRYZDJJa0FFaFpsRWNBa0t5MWR0cWVMcHBwR1pzaXFlT2wyQUNRZ1NpUEFDQ3BzYkh4RFd2dEY3dVBXMnRycmJXdnVKTUtBRklQNVJFQWR0NHd2RjdTYTIzM1ByWThubFZXVmxiclpqWUFTQ1dVUndCb1lhMmRJaW11ZnhmSHVKTnZvQUdBVEVKNUJJQVd5V1N5UXRJbnUvWStXbXMvVFNRU3k5ek9CUUNwaFBJSUFDM3E2K3ZySlMxb003UXdrVWhzY1RFU0FLUWN5aU1BdEtpcXFnb25Fb2xTU1dGcmJTeVpUSDVVVVZIUjZIWXVBRWdsUHJjREFFQXE4WGc4OHlSdE1jYmtTSHJmN1R3QUFBQkliU1lVQ3IwZkNvV1dTL0s2SFFZQVVrM0hPK0lDeUR4OSsyYjM4M2JKandWOTNRTFdtK1YySExmbEJYV05NVGFySVd6KzdIWVcxNWxFMkViaWRiRllYVjExZFhXejIzRUF1SS95Q0dTd1BuMkc1Z1R5b3Y4dGoyZTRrYnBZbVR6SkJ0M081VGFQa2MvYXBLdzhjYmV6dU05RWpXeURsUm9rdlJ1dDl6MVdYVjFLaVFReUdPVVJ5RkFGeGNWZHUvcHpuNWMxbHhqRDRWbnNuN1UyS2FNWjBjU09tNnRYcjk3cWRoNEE3cUE4QXBsb3dJQkFVVEx3bkRHNjJ1djFha0QvRXAwMGNJQ0tqenRXQmQyN3U1ME9LYVMycms2cjExU3FmTVVxTFN1dlVDS1JVTkxhVjliRm02NVZaV1hFN1h3QU9oOVhXd01acUo4TjNDenB5bUFnb0ZHMzM2ckxMcjVBaGIxN3ErMVg4d0c3V0d1MXBXYXJaczE1VzJNZkhxOUlKSHA1UDAvdTdldWtjVzVuQTlENU9GUUZaSmlpb3FJc2p5LzRwREdtOEtMemgydlU3YmVxUjBFQnhSRjdaWXhSWG02dWp2OXFzVDVadTFhVm4zenFNUjd6dGZ5OHJFbTF0YldjRndwa0dHNFNEbVNZcURldmw0eko4bnE5R2p6b0JIWEp5M003RWc0VE9kblpHako0a1B3K242eVZQK2JyMnRQdFRBQTZIK1VSeUREK2dLZVhaTE9DZ1lDTzdOM2I3VGc0ekJ4WjJGdloyZGt5a3Q5djRwUkhJQU5SSG9FTVk2eW5xNVg4WHA5WDNicDFjenNPRGpQZDgvTVZDQVJralh6eUJ2TGR6Z09nODFFZUFRQUE0QmpsRVFBQUFJNVJIZ0VBQU9BWTVSRUFBQUNPVVI0QkFBRGdHT1VSQUFBQWpsRWVBUUFBNEJqbEVRQUFBSTVSSGdFQUFPQVk1UkVBQUFDT1VSNEJBQURnR09VUkFBQUFqbEVlQWFTVmNEaDhRUE0zYjk2c3VYUG5xckd4Y2E5emtzbWtxcXVyVlY5ZnY5YzVXN2R1MVpZdFd3N292UUhnY0VSNUJKQTJObTdjcU1zdXUweHo1c3h4dkV4WldabnV2UE5PYmRpd1lhOXpwazJicGtzdXVVU3JWcTNhNCt0YnQyN1ZKWmRjb3VlZmYvNC95ZzBBaHhPZjJ3RUE0R0FwTEN6VU1jY2NvOS84NWpjNi92ampWVlJVOUtYWHVYbnpaajN4eEJNcUxpNVdWbGFXbGkxYjF1NzFrcElTUGZmY2M0cEdveG82ZEdpSDF5VnA0TUNCOG5qNGYzVTNGQlVWWmVYbDVSMnpmUG55VlpLU2J1YzVIQXdkT3RTZlNDU3VNOFo4MXhnVHN0YjJNTVkwV0dzM0cyUGVUeWFUazh2S3l1YTNXY1FNSGp6NE9vL0g4OS9XMmhPTU1UNUpGZGJhcDVjc1dmS2tKSHVBRVE3MituQ1FVUjRCcEExampIN3ptOS9vaWl1dTBEMzMzS1Bubm50T1B0OS8vakdYU0NRMFpzd1loY05oclYrL1hyZmNja3VIRXZqUVF3L3BiMy83bXdLQmdPNjk5OTQ5cm1mdTNMbkt6czcrajNQZ1A5ZTFhOWVlUHA5dlFTZ1VxclRXdnVEeGVONUlKcE5ieThyS0dpUWwzTTZYYWdZUEhqellXdnV5eCtNNXpscWJ0TmF1bExSYVVwNHg1bmhKdDNnOG5xOUl1bmpYTXFGUTZERmp6TzJTUGpIR3ZHNnQ3U3JwMjhhWWlhRlFhTmlTSlV0dVBKQU1CM3Q5T1Bnb2p3RFNTdS9ldmZYVG4vNVVZOGVPMVlJRkM5U3RXemN0WDc1OHIvTlhybHdwU1pvMWE1WktTMHVsbmI5QTFiOS9mLzMydDcvVi9QbnpOWGJzV0oxMTFsbjZ3UTkrb1BQT08wODMzSENESkNrU2llaEhQL3FSZXZmdXJaZGVla2xsWldWNi92bm45ZEJERDZscjE2NmR0TVZ3d0dPTUdTcHBpTFgyZm1OTVdTZ1VXbVN0WGVqMWVoZVZscFp1ZER0Z0tqanBwSk9HR0dQZWs1UXI2ZkZJSlBLN2lvcUtUVzJtZUVLaDBHblcydEJ1aXhaTCt1SGl4WXRmMkRWd3dna25IT1gzK3hjYVkyNFlNbVRJRTRzWEx5NDlnQ2dIZTMwNHlDaVBBTkxPOTcvL2ZmWHYzMThubkhDQ25uNzZhVDMzM0hON25adEk3Tno1TkgzNmRCbGpKRW0zM1hhYi92V3ZmK21OTjk3UTdiZmZyblBQUFZlU05HTEVDSTBaTTBZbm5uaWloZzBicG5uejV1blRUei9WVTA4OXBlenNiSldVbEdqRGhnMzYyYzkrcG1lZWVZWkQxU25DV211TU1USTcvd1huU3pyTFdudUdNYWJXV2xzVENvVStzTlpPaVVhajcxWlVWRVRkenV1R29xS2lMSy9YKzZveEpqZVpUUDZrckt6c2lUMU1TeTVac3VROVNlL3ROajV5OGVMRk5XMEhsaTlmL25rb0ZKb2s2YmZXMmxNbEhValpPOWpydzBGR2VRU1Fkb3d4T3VHRUV5UkpOOTk4czI2KytlYTl6bjNycmJkMDExMTM2UzkvK1l0S1NrcGF4K3ZxNnRTclZ5OWRkdGxsa3FUR3hrWVpZL1RnZ3c5cXdJQUJxcXFxVW5GeHNjYVBINit1WGJ1cXFxcEtrdlNMWC94Q1c3WnMwV2VmZmRhYXBWKy9mb2Q0aTdFdnhoaXJuU1d5N2JCSFVvR2tBbU5NaVRIbWg4RmdjRU1vRkhySldqc3RIQTUvNnZGNEdqS2xUQllVRk53a3FaKzFkc1plaXVOZUxWbXlwR1l2TDlWcDV6Ly9pSnZydzhGSGVRU1FGaEtKaEY1KytlWFc1MGNmZmJST09lVVVTVko5ZmIwKy9QQkRmZnZiMzNhOHZtN2R1dW00NDQ3VCtQSGpOV3JVS0gzeHhSZjYzZTkrcDJlZWVVWUxGaXpRblhmZTZXZzlmcjlmQ3hjdS9BKzJLTFhacEZXVzN4NDNaTWlRUkRLWlRIbzhua1Fpa1VoNlBKNWtJcEZJZXIzZVJEd2VUM284bnFUWDYwM0c0L0dreitkTHhHS3hwTmZyVFVhajBhVGY3MDlFbzlHazErdE4rdjMrNUk0ZE8zYjlUQVFDZ1dSdGJXMHlFQWdrcTZxcUVpM25KMzdwQzE1MjdWMXVXeVRiUFA2S01lWi9qVEUvenNuSldXR3QvV0R3NE1FTGpURWZMRm15WkVVNlg2aGhyZjEreXorYkNRZHh0YWRyNTYydXlsTjBmZmdQVVI0QnBJVkVJcUhISG50TWFqa1g4ZHh6ejIwdGoxT25UdFZUVHoybFJ4NTVSR2VjY1liamRYNzY2YWVhUG4yNlJvMGExVzc4akRQTzBGdHZ2ZFZ1Yk5La1NmcjQ0NDgxY2VMRWR1Tzd5a3E2TVpLQ1BzOUlTVjgxeGxocnJmVjRQTllZWTFzdVVySStuOC91N0NXMjliSGY3NWUxMWdhRFFTdkpabWRuN3lwa3V4N2JMbDI2V0dPTUxTd3NsQ1Ridlh0MzIxTGNXc3ViTVNaaXJZMUxhdnNuSVNsaGpJbGJheE9TNHRiYW9MVTJhL2QvRDN2Nzk5SlNKTE9NTVNGSmc0MHgxMHJhT25qdzROV1NwdGJXMXI1ZVZWVlZld2ovMGJyQ0dETkVPLzg3V25BdzFqZGt5SkJ6ckxYZnM5YVc3M1psZGtxc0QxOE81UkZBV2dnRUFwby9mK2Z2bEt1dXVxcmRhemZlZUtNV0xGaWdlKzY1UjVNblQvN1N0L0FKQkFMcTJiTm51N0dzckN4NXZkNE80K25NWTR6ZldwdmRjaTdocmpabTFIS2VZZHZuTFQrTmRoYVYxamt0WmEzdCtCN1hZNHpwY0FMcHZvcjVseTN0dTNJWlk3S3R0VjJOTVlXU3V1VG01cWJkaWF3REJnd0lTT3Bpclkwc1hicTBxZTFyZ3djUHp2ZDRQRi9zdmt3NEhPNVNVVkd4eHp2ckR4NDgrSEpyN1F2R21LWjRQRDZ5N1dzREJ3NHNDQWFEQmJzdnMzang0clY3dS9wOVgrdURPeWlQQU5LZXorZlQyTEZqZGRWVlYybjA2TkdhTW1YS2w3NTF6azAzM2FRVksxYTBQby9INDBva0V2cld0NzdWYnQ3cnI3K3VYcjE2ZmFuM1NrVldVbk0wOGVjc3I5WjZQQjZQdGRaampQSHUzQUc1ODduSDQvRWtrOGwyWThZWWo3WFcyL0p6MTdqWFd1dVIxRzQ1ejg0cmpqekdHRy9iMzFmV1dvKzExdGQySGJ2bXQzMlBsc2RkSkgxZmtyOWQvcFpEMVh2Wkk1bXcxbTZUVkoxTUpsZExtbGhXVnZaK3k5N050Rk5SVVJFZE1tUkkzQmdUSERwMHFMKzB0RFMyNjdWa01obnplRHh0ZDdPZkxpbG5UK3NaT25TbzMxcjdrS1NmV1d2WFM3cDg2ZEtsaTl2TzhmdjkveXZwN3QyWEhUQmd3Skc3WGRudGFIMXdCK1VSUUVZb0xDelUzWGZmcmJ2dXVrdUxGaTNTV1dlZDlSK3RaMWZaQ0lmRE91V1VVM1RGRlZkSWt2NzJ0NzlwelpvMXV1dXV1eVJKbjN6eWljYU5HNmRrTWozdlMyMDhSdEdFcVZ4ZFh2YU9TeEYyN1FIY3RiZlNEQmd3d0VTalVhT2RaZDdFNDNIVG8wZVBvendlenlXN3l1TnVGODNzWE1HL3o0UDh3bHI3UmpLWm5KNU1KaXV0dFUzVzJxYnk4dkxhRExqQitEcEp4MWxyVDJwN0pYUExuc2p6ZHowZk1tUklwYVRqZGwvNGhCTk82RzJ0L2J1a2IxaHJYNGxHbzdlVWw1ZHYzMzJldFhhcXRiWnM5L0ZvTk5wdTc2YlQ5Y0VkbEVjQUdlUGNjODlWLy83OTFiZHYzd05lZHRkM1p1ZmsvSHVuUzJGaG9iN3hqVzlJa3ViTm02ZjE2OWUzUGc4RUFnY3ROL2FvUTVtcnFLam9NS21nb0tEWkdOTTZ0MDFSdEpLYUpkVW5rOGxsMXRwbmEycHEzcWl1cm00KzVNbFRrTFYycmpIbU9Fay9PTkRiNElSQ29WNlMzcmZXSG1XdHZhV3NyT3pwdmMzOStPT1B5eVh0ODRLWEExa2YzRUY1QkpCUmRpK09UVTA3VC9IYTN6MFp0MjdkS3Uwc0k0Y3dIUTZSWGVkTlNsSzlwREpKSDBwYWFLMzlzS3lzYkozYkFkMldUQ1luZUR5ZVd5VDlPQlFLVFYreVpNbUJYRGp6dEtSams4bmtCUjkvL0xIekw1YnZ2UFhoSUtNOEFzZ29xMWF0MGwvLytsZmw1T1RJNS9OcHpwdzU4bmc4YXJteWQ2K1dMVnVtN3QyN3EwZVBIcDJXRlFlTnRkWXVsZlJ5TEJhYmxVd20xMmRuWjI5cmUyNWZwdnY0NDQvTFE2SFFBOGFZKzZ5MWI0ZENvVjkrOGNVWGY2bXFxZ3J2bWpOa3lKQmlhMjFlMi9ORWh3NGRlclMxOWpKSi96d1lSZTlncncrSEJ1VVJRRnBadVhLbE5tellvQzVkdXV6eDlXQXdxRGZlZUtQMWVWWldsa2FOR3JYSCtVT0dETkg5OTkrdlpES3B0OTU2UzJlZWVlWityK0xkdG0yYnNyS3lXaSttNFR1dDNiVjkrL1p0UFhyME9QWGpqejlla1FIbkxYNHBTNVlzK1hVb0ZKS2tlNHd4VHhRVUZJd3JLQ2lva0xSRFVoOUp4eHBqWkszOW9ybTVPYTZkclh4UXk4OWpRNkhRNjN0YXJ6SG1pOFdMRi8vSVNZYUR2VDRjR3BSSEFHbGp6Wm8xdXUyMjI1U2ZuNitsUzVmcTk3Ly92WDcyczU4cEdBeTJ6aWtxS3RMNzc3L2YrcldFdWJtNWV5MkVmZnYyVmQrK2ZmWC8yYnZ6NktqcXcvM2p6NTJaVEZZZ0FaU3dsYUFnaXd1bXVPR0dTeEZSVkw2MWFzVUZxNEtwb0dMZFdxV0sxb1hXRFJBWEZEZEFxd2dLL0FUUklydktJb0lzWVFzSUJZTVF3T3pNL3ZuOTBUQWxKSUViQzdrVDV2MDZKOGZNL1h6dW5XYzRuT0h4cmg5ODhJRzJidDJxdi8vOTc0Zk1NSHIwYUUyYU5FbVNkTVlaWi9DTWE0ZHQyN1p0NzdadDI3aXB0RDFtMmJKbGozWHAwbVdDeStVYUpPa2l5N0k2R1dNOGtuWkorc3dZODJscGFlbjRmWHNrSTVGSVE1ZkxKY3V5MmtpcTlsRkt4cGdkZGdNYzd1M2h5S0E4QWpncStIdyszWG5ubmZKNnZSb3pab3krKys0N1BmNzQ0NW8xYTVZdXZQQkN0VzdkT25xbzJ1MTJ5K1B4S0NFaFFlRndXSUZBUUQ2ZlQ0RkFRSUZBUUczYXRGSDM3dDBsU1Y5OTlaVkdqaHlwbTI2NlNlM2F0WXUrMzlDaFE1V2FtbG9seHgxMzNLRXJycmhDWHErMzBueWd2cWk0cU9XUGR1WXVYNzc4UFVudkhhNzNQdHpidzVGQmVRUndWRWhLU2xLWExsM1VyMTgvTld2V1RMMTY5VktuVHAzMDRZY2Zhc21TSlpveFk0YjI3dDJyVU9qUXQrcjd4ei8rSWYxbkw0aW1UWnVtU3k2NVJJTUdEYW8wcDZaaTJLUkpFODZMQkhCVW96d0NPR29NR3paTUZZL0dreW9PVVIvNERHcGpqSUxCb0lMQm9FS2hrQ3pMa3R2dGp2NjRYQzY1M1c2cDRncnNwNTkrV3NhWVE1N3JlUC85OXgraFR3VUFzWVh5Q09Db3NYOXhySWxsV2ZKNnZiVzZEK1BSK254cUFQZ2xqcnBuZEFJQUFPRElvVHdDQUFEQU5zb2pBQUFBYktNOEFnQUF3RGJLSXdBQUFHeWpQQUlBQU1BMnlpTUFBQUJzb3p3Q0FBREFOc29qQUFBQWJLTThBZ0FBd0RiS0l4QnZ3b0ZDUzFZZ0hJNm90S3pNNlRTb1owcEtTaFFNQldVWmhSUU9GRHFkQjBEZG96d0NjYVlzcUorTU1YdER3YUIyNzk3amRCelVNd1c3ZHN2bjg4dElnYktnZm5JNkQ0QzZSM2tFNGt6QjV0eWRrc29Dd2FCVzU2NlZ6K2QzT2hMcUNYOGdvSldyYytYMyt5VVpYOFhmSlFCeGh2SUl4SitJakJsampNTFRabnloK1Y5OUkzOGc0SFFteERCampBcUxpalI3emp4Tm5UWkR4aWdzWTE2U0ZIRTZHNEM2WnprZEFJQUQyclZMYk90Sm5TVEx1andqUFYzbm5kdE4yVjFPVWVPTWRDVjZFNTFPaHhoU1dGU2tUVDlzMXBwMTY3UjAyUXFWbDVmTEdETmpjNmlzai9MeTJHME54Q0hLSXhDbmpzbnFuSm1hbERCVzBzV1daYms4SG85Y2xpVlpmQzNndjR5SktCUUt5eGdqWTB4RTBreS9QekJnK3c5cnRqaWREWUF6K0ZjQ2lHTk5tM1pva05JMDZWNlhySjZTVWkzTHBCaGpKVGlkeTFsR2xpVzNwUDhjbm8zenIwbkxVdEJJWlRJcU40ck1LZDhkZXFhZ0lMZlU2VndBbkJQZjM0b0FKRWt0V25STlViSy9pY3VqREUvWWxlSjBIaWNsSmJvNkpDWm9vQ1Vyd1JjMHczMyt5RHFuTXprcDZBcnZOV0ZyVDdpMFlNK09IVHU0dHhNQWVad09BTUI1K2ZsTHl5V1ZTOXJxZEJhblpXZG5KMXFXMWRvWWs1VHN0VGF2WGIxaW9kT1pBQ0NXY0xVMUFBQUFiS004QWdBQXdEYktJd0FBQUd5alBBSUFBTUEyeWlNQUFBQnNvendDQUFEQU5zb2pBQUFBYktNOEFnQUF3RGJLSXdBQUFHeWpQQUlBQU1BMnlpTUFBQUJzb3p3Q0FBREFOc29qQUFBQWJLTThBZ0FBd0RiS0l3QUFBR3lqUEFJQUFNQTJ5aU1BQUFCc296d0NBQURBTnNvakFBQUFiS004QWdBQXdEYktJd0FBQUd5alBBSUFBTUEyeWlNQUFBQnNvendDQUFEQU5zb2pBQUFBYktNOEFnQUF3RGJLSXdBQUFHeWpQQUlBQU1BMnlpTUFBQUJzb3p3Q0FBREFOc29qQUFBQWJLTThBZ0FBd0RiTDZRQUE0SlF1WGJyMGRMdmRNMnF6VGlRUzZiMTgrZkpwUnk0VkFNUTI5andDaUZ0bFpXVnpqREZiYXJISzF0TFMwcGxITUJJQXhEektJNEM0bFplWDV6ZkdmSGlvZWNhWWZmLzlKQzh2ejE4WDJRQWdWbEVlQWNTMWNEZzgzaGpqTjhaRVMrTCs5aXVPZm1QTUJBY2lBa0JNb1R3Q2lHdkJZRERmc3F4VmxsWHpLZUNXWmNteXJGV1JTS1EyaDdnQjRLaEVlUVFRMTFKVFU0c2xMZHozZXYrOWp3ZnNpVnhZWGw1ZVVNZnhBQ0RtVUI0QnhMV2xTNWNHalRHTEpKVWNaTnBlWTh3aXpuY0VBTW9qQUNnY0RpK1dGTjJyZU9ENWo4YVlrb281QUJEM0tJOEE0dDZLRlN2V0cyTldIMlRLbWhVclZxeXZ3MGdBRUxNb2p3QWdHV1BNQjlWZE5GT3hiSnlrcXBkaUEwQWNvandDZ0tUUzB0SlBqVEUvSDdqY0dGTm9qSm5rVENvQWlEMlVSd0Q0enczRGl5Vjlzdi9leDRyZlAxdStmSG1oazlrQUlKWlFIZ0dnZ2pGbW5LU1EvbHNjUTNhZVFBTUE4WVR5Q0FBVklwRklycVNOKy9ZK0dtTTJoY1BobFU3bkFvQllRbmtFZ0FyRnhjWEZrcjdaYjlIQ2NEaTgwOEZJQUJCektJOEFVR0h6NXMyK2NEaThWSkxQR0JPTVJDTGY1dWJtbGpxZEN3QmlpY2ZwQUFBUVMxd3UxM3hKT3kzTFNwRzB3T2s4QUFBQWlHMVdkbmIyZ3V6czdGV1MzRTZIQVlCWVUvV091QURpVDZ0V3lXM2NEZEtEaVo1R1h1Tk9janFPMDlJUzFkZXlURktKejNyTDZTeU9zOEkrNHc4VkJZTkZSZm41K2VWT3h3SGdQTW9qRU1kYXRPaWE0azBMM0NHWDZ4SkxhbUJrcFVrbTBlbGNUbk5aOGhnVGtaRXI1SFFXNTFrQlM2YkVTQ1dTNWdhS1BTUHo4NWRTSW9FNFJua0U0bFRqZHUwYU5reElmVmZHdXNLeU9EeUxRelBHUkdScGFpQzh0My8rK3ZXN25NNER3Qm1VUnlBZWRlN3N6WXA0MzdFc1hlOTJ1OVc1VXdlZGNtSm50VHYrT0RYT3lIQTZIV0pJWVZHUjFtL0kwK28xNjdSeWRhN0M0YkFpeGt6YUVpcTdRWGw1ZnFmekFhaDdYRzBOeEtFMnh0dGYwcldKWHEvdUdaU2pxM3IzVW1help0ci8wWHpBUHNZWTdTellwYysrK0plR1BUZENmbitnVHh0WDZxQXQwdk5PWndOUTl6aFVCY1Nackt5c0pKY25jYlJsV1ptWFgzcUo3aG1Vb3lhTkcxTWNVU1BMc3BTV21xb1QycmZUeGg5K1VON0dUUzdMWlhWTVQwdDZyYkN3a1BOQ2dUakRUY0tCT0JOd3B4MGp5MHB5dTkwNnRjdEphcENXNW5RazFCTXB5Y242OWFsZGxPRHh5QmdsQkQwTm16cWRDVURkb3p3Q2NTYkI2enBHTWttSlhxK2FOMnZtZEJ6VU04MHpteWs1T1ZtV2xKQmdoU2lQUUJ5aVBBSnh4akt1aGtaS2NIdmNhdFNva2ROeFVNOWtwS2ZMNi9YS1dQTEk3VTEzT2crQXVrZDVCQUFBZ0cyVVJ3QUFBTmhHZVFRQUFJQnRsRWNBQUFEWVJua0VBQUNBYlpSSEFBQUEyRVo1QkFBQWdHMlVSd0FBQU5oR2VRUUFBSUJ0bEVjQUFBRFlSbmtFQUFDQWJaUkhBQUFJMTZOdEFBQWdBRWxFUVZRQTJFWjVCRkR2bEphV3FyQ3c4S0J6ZHV6WWNjanRoTU5oaGNQaHc1S3BzTEJRUC83NDQySFpGZ0RFTW8vVEFRQ2d0Z1lQSHF6aTRtSzkrdXFyYXRLa1NaWHhqUnMzNnNZYmIxVHYzcjMxeUNPUDFMaWRHVE5tYVBqdzRSb3hZb1E2ZCs0c1NRcUZRZ29FQWdkOWY1ZkxwYVNrcEVyTHBrNmRxakZqeG1qV3JGbnllUDd6MVZwWVdHaXJ4RFpvMEVBdFdyUTQ1RHdBaUFXVVJ3RDF6ajMzM0tPY25Cemw1T1RvalRmZVVIcDZlblFzR0F4cXlKQWhTa2hJMEhYWFhYZlE3Znp6bi85VXc0WU4xYUZEaCtpeXlaTW42NWxubmpub2V1M2J0OWNISDN4UWFkbXlaY3QwMm1tblJZdWpKTTJjT2ZPUTI1S2tpeTY2U004Kysrd2g1d0ZBTEtBOEFxZ1hqREZhdkhoeDlQVnZmL3RiZmZEQkIvcC8vKy8vNllRVFRvZ3Vuemx6cHRhdlg2OSsvZnBwOSs3ZDJyMTd0endlajdwMjdWcHBlNHNYTDlhYU5XczBmUGh3dWQxdWxaU1VxRUdEQnRIeHA1OStXbDZ2dDBxTzk5OS9YeVVsSmRIWHQ5OSt1NExCb0RaczJLQUdEUnFvWDc5K2txU21UWnVxVzdkdWNybGNtalZyVm8yZjYvSEhILzhmL2xRQW9PNVJIZ0hVQytGd1dIZmVlV2VWNWNPSEQ2OTIvcnZ2dnF0MzMzMVhrcFNXbHFhNWMrZFdHbi85OWRkMSt1bW42N3p6emxNd0dOVHZmLzk3blhubW1kSEQxK2VkZDU1U1VsS3FiUGZMTDcrc1ZCN2J0Mit2N2R1M3krLzNxMGVQSHRIQ3VmL2VVTGZiWGVQbnNpekx4cWNIZ05oQmVRUlFyd3djT0ZEWFhITk5wV1hmZlBPTi92S1h2MmowNk5HVkRrRkwwdHR2djYxSmt5WlZXalo3OW15dFdMRWlldWg1NHNTSit1bW5uOVNqUjQ5YVgvVHkwRU1QNmUyMzM5YmF0V3QxeXkyM2FNNmNPZnJESC80UTNXNGtFdEY1NTUxMzBHMWNkTkZGdFhwUEFIQVM1UkZBdlpLVWxGVHA4TElrSlNjblM1SlNVbEtxakNVbUpsWjZYVmhZcUdIRGhxbG56NTVLVEV6VXhvMGJOV2JNR0YxODhjWHExcTJiSms2Y1dPdE04K2ZQMTFsbm5hWDE2OWRyMUtoUjBmS29pb3RyM25ycnJSclhmZVdWVjJyOWZnRGdKTW9qZ0hwbHhJZ1Jldm5sbHlzdGkwUWlVc1g1aHdjZUJnNkZRcFd1ak42K2ZidDI3ZHFsNmRPbmEvcjA2VkpGK2J6dnZ2c3FyZGVqUjQ5cTN6OFlET3E0NDQ2THZpNHFLdExLbFN1cjdBM2QzOGtubjF6aldIcDZ1a0toVUkzakFCQnJLSThBNnBXZVBYdnFuSFBPcWJSczdkcTFHanQyckc2Ly9YYTFiTm15MHRqTW1UTXJYV2pUc1dOSHZmUE9PMHBQVDlldVhidDB4eDEzYU5DZ1FXcldyRm1sOWY3MHB6OHBJU0doeXZ0Ly9QSEg4dmw4MGRkZmYvMjFqREhxMXEyYkZpMWFWR1YrSkJMUjVaZGZYdVBuS1N3czFObG5uMjN6MHdPQTh5aVBBT3FWamgwN3FtZlBucFdXcGFTa2FPellzVHJyckxPaUY3enNzM256NWtybDBiSXNuWHp5eVFxSHcvcnJYLytxWC8vNjE5WGUwcWRYcjE3VlhqQ3plUEZpNWVYbFJWOS8vZlhYU2s5UDEvVHAwN1YyN1ZxcDRvcnNWcTFhcVdIRGhzckt5dEtOTjk1WTQrZjUvUFBQbFphV1Zzcy9CUUJ3RHVVUlFMMnlkZXRXZmZ2dHQ1V1diZGl3UVpLMFpzMGFsWmVYVnhyTHo4K3ZkanVqUjQvV3BrMmJOR0hDaFAvcGl1Znk4bkx0M2J0WEw3LzhjdlJwTlMrLy9MTE9QLzk4WFhycHBUcm1tR1AwZi8vM2Y5SDVQL3p3ZzI2NTVSYU5HemRPdi9yVnJ5cU5BVUI5UUhrRVVLOU1tREJCRXlaTXFIYnM2YWVmcm5iNWdYdjJQdjc0WTczNTVwdTY3TExMTkgvK2ZPWG41eXMvUDE4REJneW9kWjdubjM4Kyt2dm5uMyt1aHg5K1dGOTk5WlZVY2JYMTBxVkxLODBQaDhNcUxTMk5ucWU1Yk5reWpSZ3hRcU5HaldJUEpJQjZnZklJb0Y2d0xFc0pDUW5LeWNsUm56NTlLbzE5ODgwM0dqSmtpRjU5OWRWS053eVhwUEhqeDJ2S2xDbVZsczJiTjArcWVEemhzbVhMMUtwVks3VnExYXJTb3c3dFhqQnpLTVlZZmY3NTU5SFhUWnMybFNUNS9YNjkrT0tMZXUrOTk5U2lSUXR0Mzc1ZDdkdTN0NzFkQUhBSzVSRkF2ZUIydTdWdzRjSnF4L2J0c1V0TFM2dDBjMjVKR2pSb2tBWU5HbFJwMmYzMzM2Lzc3cnRQelpzM3IvUTR3ZjA5OE1BRDFUNWg1cU9QUHRMZXZYc1BtalVTaVdqbnpwMVNSWGw4NG9rbm9tTVBQZlNRSk9tdXUrNlMzKy9Yb0VHRDFMZHYzMnJmQ3dCaUVlVVJRTXk3L1BMTFZWaFlXT1A0d1c3VnM3L2pqanRPNDhhTlU2dFdyU290RDRmRDJyUnBVL1Ira1pKMHlTV1hWSHZCek5kZmZ4MjlZS2E4dkZ4VHAwNVZRVUdCQ2dvS3RINzlla25TMldlZnJVYU5HcWwvLy81eXVWelJ3OWlTb3V0Mjc5NWRBd2NPVkhwNnV0YXNXU1BMc3RTeFk4ZGEvS2tBZ0RNb2p3QmlYazVPanZ4K2Y0M2plWGw1K3Vpamo5UzNiMTlsWm1iV09LOWh3NGFLUkNMYXNtV0wxcXhaVStuSDUvUHBzY2NlcTFVdWw4dWwwYU5IcTNYcjFtclZxcFdhTjIrdURSczJhUGp3NFdyVnFsV1ZQYVhoY0RpNjEvS0dHMjZJN2lXZFBuMjYxcXhab3pGanh0VHEvUUhBQ1pSSEFESHZpaXV1T09qNC9Qbno5ZEZISCttaWl5NnFjcXVlQTVXVWxPaTY2NjVUT0J4V1ptYW1UanJwSk9YazVPakVFMDlVNTg2ZDllbW5uOXJPbFpTVXBObXpaMGRmZi83NTU1bzNiNTdPT3Vzc3FlS1F0U1R0M0xsVGt5ZFAxaWVmZktMcnI3OWVxaWlTKytUbDVhbE5temEyM3hjQW5FUjVCQkJYR2pSb29KRWpSK3E0NDQ3VHNjY2VHMTMrMTcvK1ZYZmRkVmUwMUIzc2dwbElKS0p6empsSEF3WU1VTDkrL1dwOHJ6VnIxa1J2RXQ2OGVYTmRkZFZWT3ZmY2M2TlhWMmRuWjZ1NHVGaExseTdWYjM3em15UHdhUUhnOEtNOEFvZzcrL1lNN3E5WHIxNDY2YVNUYXJXZGd6MTJVSkl5TXpOMS92bm5xMi9mdmpydHROT2k1MlBlY01NTm1qaHhvdWJObXllUHg2TXp6amhEbDE1NmFTMC9CUUE0NDVmZkdSZEF2WlRWOGRRTFpKbC9ObXpRSUhQMFN5L3FyRE5PY3pvUzZwR0ZpNy9WM2ZmOVdRVzdkeGZLNlA4MnIxMCt4K2xNQU9xV3kra0FBQUFBcUQ4b2p3QUFBTENOOGdnQUFBRGJLSThBQUFDd2pmSUlBQUFBMnlpUEFBQUFzSTN5Q0FBQUFOc29qd0FBQUxDTjhnZ0FBQURiS0k4QUFBQ3dqZklJQUFBQTJ5aVBRTHdKQndvdFdZRndPS0xTc2pLbjA2Q2VLU2twVVRBVWxHVVVVamhRNkhRZUFIV1A4Z2pFbWJLZ2ZqTEc3QTBGZzlxOWU0L1RjVkRQRk96YUxaL1BMeU1GeW9MNnllazhBT29lNVJHSU13V2JjM2RLS2dzRWcxcWR1MVkrbjkvcFNLZ24vSUdBVnE3T2xkL3ZsMlI4RlgrWEFNUVp5aU1RZnlJeVpvd3hDaytiOFlYbWYvV04vSUdBMDVrUXc0d3hLaXdxMHV3NTh6UjEyZ3dabzdDTWVVbFN4T2xzQU9xZTVYUUFBQTVvMXk2eHJTZDFraXpyOG96MGRKMTNiamRsZHpsRmpUUFNsZWhOZERvZFlraGhVWkUyL2JCWmE5YXQwOUpsSzFSZVhpNWp6SXpOb2JJK3lzdGp0elVRaHlpUFFKdzZKcXR6Wm1wU3dsaEpGMXVXNWZKNFBISlpsbVR4dFlEL01pYWlVQ2dzWTR5TU1SRkpNLzMrd0lEdFA2elo0blEyQU03Z1h3a2dqalZ0MnFGQlN0T2tlMTJ5ZWtwS3RTeVRZb3lWNEhRdVp4bFpsdHlTL25ONE5zNi9KaTFMUVNPVnlhamNLREtuZkhmb21ZS0MzRktuY3dGd1RueC9Ld0tRSkxWbzBUVkZ5ZjRtTG84eVBHRlhpdE41bkpTVTZPcVFtS0NCbHF3RVg5QU05L2tqNjV6TzVLU2dLN3pYaEswOTRkS0NQVHQyN09EZVRnRGtjVG9BQU9mbDV5OHRsMVF1YWF2VFdaeVduWjJkYUZsV2EyTk1VckxYMnJ4MjlZcUZUbWNDZ0ZqQzFkWUFBQUN3amZJSUFBQUEyeWlQQUFBQXNJM3lDQUFBQU5zb2p3QUFBTENOOGdnQUFBRGJLSThBQUFDd2pmSUlBQUFBMnlpUEFBQUFzSTN5Q0FBQUFOc29qd0FBQUxDTjhnZ0FBQURiS0k4QUFBQ3dqZklJQUFBQTJ5aVBBQUFBc0kzeUNBQUFBTnNvandBQUFMQ044Z2dBQUFEYktJOEFBQUN3amZJSUFBQUEyeWlQQUFBQXNJM3lDQUFBQU5zb2p3QUFBTENOOGdnQUFBRGJLSThBQUFDd2pmSUlBQUFBMnlpUEFBQUFzSTN5Q0FBQUFOc29qd0FBQUxDTjhnZ0FBQURiS0k4QUFBQ3dqZklJQUFBQTJ5eW5Bd0NBVTdwMDZkTFQ3WGJQcU0wNmtVaWs5L0xseTZjZHVWUUFFTnZZOHdnZ2JwV1ZsYzB4eG15cHhTcGJTMHRMWng3QlNBQVE4eWlQQU9KV1hsNmUzeGp6NGFIbUdXUDIvZmVUdkx3OGYxMWtBNEJZUlhrRUVOZkM0ZkI0WTR6ZkdCTXRpZnZicnpqNmpURVRISWdJQURHRjhnZ2dyZ1dEd1h6THNsWlpWczJuZ0Z1V0pjdXlWa1Vpa2RvYzRnYUFveExsRVVCY1MwMU5MWmEwY04vci9mYytIckFuY21GNWVYbEJIY2NEZ0poRGVRUVExNVl1WFJvMHhpeVNWSEtRYVh1Tk1ZczQzeEVBS0k4QW9IQTR2RmhTZEsvaWdlYy9HbU5LS3VZQVFOeWpQQUtJZXl0V3JGaHZqRmw5a0NsclZxeFlzYjRPSXdGQXpLSThBb0JrakRFZlZIZlJUTVd5Y1pLcVhvb05BSEdJOGdnQWtrcExTejgxeHZ4ODRISmpUS0V4WnBJenFRQWc5bEFlQWVBL053d3ZsdlRKL25zZkszNy9iUG55NVlWT1pnT0FXRUo1QklBS3hwaHhra0w2YjNFTTJYa0NEUURFRThvakFGU0lSQ0s1a2pidTIvdG9qTmtVRG9kWE9wMExBR0lKNVJFQUtoUVhGeGRMK21hL1JRdkQ0ZkJPQnlNQlFNeWhQQUpBaGMyYk4vdkM0ZkJTU1Q1alREQVNpWHlibTV0YjZuUXVBSWdsSHFjREFFQXNjYmxjOHlYdHRDd3JSZElDcC9NQUFBQWd0bG5aMmRrTHNyT3pWMGx5T3gwR0FHSk4xVHZpQW9nL3JWb2x0M0UzU0E4bWVocDVqVHZKNlRoT1MwdFVYOHN5U1NVKzZ5Mm5zempPQ3Z1TVAxUVVEQllWNWVmbmx6c2RCNER6S0k5QUhHdlJvbXVLTnkxd2gxeXVTeXlwZ1pHVkpwbEVwM001eldYSlkweEVScTZRMDFtY1p3VXNtUklqbFVpYUd5ajJqTXpQWDBxSkJPSVk1UkdJVTQzYnRXdllNQ0gxWFJuckNzdmk4Q3dPelJnVGthV3BnZkRlL3ZucjErOXlPZzhBWjFBZWdYalV1Yk0zSytKOXg3SjB2ZHZ0VnVkT0hYVEtpWjNWN3ZqajFEZ2p3K2wwaUNHRlJVVmF2eUZQcTllczA4clZ1UXFIdzRvWU0ybExxT3dHNWVYNW5jNEhvTzV4dFRVUWg5b1liMzlKMXlaNnZicG5VSTZ1NnQxTG1jMmFhZjlIOHdIN0dHTzBzMkNYUHZ2aVh4cjIzQWo1L1lFK2JWeXBnN1pJenp1ZERVRGQ0MUFWRUdleXNyS1NYSjdFMFpabFpWNSs2U1c2WjFDT21qUnVUSEZFalN6TFVscHFxazVvMzA0YmYvaEJlUnMzdVN5WDFURTlMZW0xd3NKQ3pnc0Y0Z3czQ1FmaVRNQ2Rkb3dzSzhudGR1dlVMaWVwUVZxYTA1RlFUNlFrSit2WHAzWlJnc2NqWTVRUTlEUnM2blFtQUhXUDhnakVtUVN2NnhqSkpDVjZ2V3JlckpuVGNWRFBOTTlzcHVUa1pGbFNRb0lWb2p3Q2NZanlDTVFaeTdnYUdpbkI3WEdyVWFOR1RzZEJQWk9Sbmk2djF5dGp5U08zTjkzcFBBRHFIdVVSQUFBQXRsRWVBUUFBWUJ2bEVRQUFBTFpSSGdFQUFHQWI1UkVBQUFDMlVSNEJBQUJnRytVUkFBQUF0bEVlQVFBQVlCdmxFUUFBQUxaUkhnRUFBR0FiNVJFQUFBQzJVUjRCQUFCZ0crVVJRTDIzZCs5ZWJkKysvUmV2LytPUFB4NTB2S3lzVEtXbHBZZmNUakFZL01VWkRwU1hseWVmejNmWXRnY0Fod3ZsRVVDOUVBNkhheHliUFh1MmV2ZnVyWVVMRjlaNnU0c1hMMWFmUG4wMFljS0VHdWNNR3paTVYxNTVwZkx5OG1xY1k0elJkZGRkcDZGRGgxWmE3dlA1VkY1ZWZ0Q2ZBejliSkJMUnJiZmVXaVhUeG8wYnRXN2R1a1ArK1AzK1d2ODVBSUJkSHFjREFNQ2g3Tnk1VTNmZGRaZisrTWMvNm9JTExxZ3lQbS9lUEtXbHBhbHIxNjYxM3ZacHA1Mm1peTY2U0gvLys5OWxXWmF1dWVhYVN1TmZmUEdGcGsrZnJpdXZ2Rkx0MnJXcmNUc0xGaXpRbGkxYk5HREFnRXJMcjdqaUN1M1pzK2VnR1o1NzdqbGRlT0dGMGRmcjE2OVhXVm1aemp6enpFcnpjbkp5RHJrdFNmcnd3dzhQbWhVQS9oZVVSd0JIek91dnY2NjFhOWYrb25WYnRteXArKzY3VDVLVWxwWW1yOWVyUC8vNXp4bzVjcVRPT09PTTZMeVNraExOblR0WHZYcjFVa0pDZ3UzdGI5dTJMWHE0dW5mdjN2cisrKzgxZWZKay9lcFh2NHJPQ1FRQ2V2cnBwNVdabWFrZVBYcG8wYUpGa3FRMmJkb29Nek96MHZiZWZmZGRkZXJVU1QxNzlsUW9GRkl3R0ZSeWNySWtxWHYzN3JyaWlpdXFaTmk5ZTdlZWVlYVo2T3RwMDZacHdvUUpLaW9xa2lROTlkUlRzaXhMa25UNzdiZExrbTY5OVZiZGZQUE4xWDZtZi8vNzN6V09BY0RoUW5rRWNNU3NXN2N1V3JocXEzMzc5dEhmVTFKU05ITGtTTjF5eXkyNi8vNzc5ZWFiYjBiSHAwMmJwa0Fnb0duVHB1bnp6ejgvNkRhLyt1cXI2TzlUcGt6UlcyKzlWV204b0tCQWQ5NTVaNVgxU2twS2ROZGRkMFZmMzNmZmZlcmJ0Mi8wOVpJbFM3UnMyVEtOR1ROR2xtVnA4dVRKR2pWcWxONTQ0dzFKVXV2V3JTdnRXZHhuNjlhdGxWNDNidHhZSjV4d2d1Yk9uYXZqamp0T0hUcDBpSTQxYXRSSWt1Unl1ZVIydTZ2OWZDNFhaeUlCT1BJb2p3Q09tT2VmZi82d2JTc2pJME12dlBDQyt2WHJwOEdEQit1VFR6NlJ5K1hTK1BIamRmenh4K3ZhYTYrdGNkMTMzMzIzMmd0ZVVsTlROVzNhdENyTEJ3d1lvQ1pObWxUYUs3alBnWWZOSTVHSVhuamhCVjE2NmFYS3pzNld6K2ZUbURGajFMWnQyMW9mT3U3V3JadE9QLzEwelpneFEzLzg0eDlsakZIYnRtMlZuWjBkblRObXpCaU5HVE9tVnRzRmdNT0o4Z2lnM2pqKytPUDF4Qk5QU0pLOFhxK21USm1pN2R1MzY0VVhYbEQzN3QyMWFkTW1qUmd4UWprNU9lclVxWk5VY1NoMzJMQmh1djc2NjZ0c3o3SXNOV2pRb01weXQ5c3R0OXRkN2RpQjNubm5IVzNhdEVsLy92T2Z0VzNiTmsyWk1rVzdkKy9XeUpFam80ZWNhMlBwMHFVcUx5L1htV2VlcVVHREJxbG56NTZWeXVOdmYvdGJYWG5sbGRXdXUzMzdkdjNsTDMrcDlYc0NRRzFRSGdIVUt4ZGRkSkZVY1h1ZVYxNTVSUjA3ZGxUMzd0MGxTVC85OUpNV0xGaWdmdjM2UmVlUEd6ZE94aGhkZmZYVlZiWlZXbHFxYzg0NXA4cHl2OTh2eTdLcUhUdlFpaFVyRkFxRmRPdXR0MGFYWFgvOTlUcmhoQk9pcnovNDRBTk5uRGpSMXVkYnNHQ0JXcmR1clJZdFdsUTczcXhaTTUxODhzblZqdGtwdXdEd3Y2SThBcWhYakRGU3hiMFgyN2R2cit1dXV5NDZ0bXZYTHFtaUZLcWlZTTZZTVVNWFhIQ0Jzckt5cW13cktTbEpqejc2YUpYbEw3LzhzdExTMGlxVjBIMGVmdmpoU3E4ZmZQQkJEUnc0VUkwYU5kS3p6ejZyM054Yy9mR1BmNncwNS9UVFQ5Y2xsMXhTWlZzLy8veXpSbzRjV1duWi9QbnpEMXBheDQwYnAwOCsrYVRhc1ZBb1ZPTjZBSEM0VUI0QjFDdno1czNUaHg5K3FLRkRoMnJVcUZHVnhyWnMyU0pKK3U2NzczVCsrZWNyT1RsWlU2Wk1VU0FRcUhaYkhvOUhQWHYyckxKODNMaHhhdEtrU2JWakI1YkhmWHNJRnl4WW9ObXpaK3UxMTE1VGFtcHFwVG5ISDM5OHRZZWF0MjdkV3FrOGJ0dTJUVnUzYmxWSlNZbmVmLzk5RlJjWGErWEtsWHIvL2ZmVnExY3YvZXBYdjFLYk5tMXEzUFA0ODg4L2EvejQ4Zko0K0dvSGNPVHdEUU9nWG5uNzdiZTFldlZxbFpXVlZSbGJ0V3FWSkduV3JGa2FQSGl3VkhFRmMwMUNvWkMrL2ZiYktzdkx5c3JrOFhpcUhhdk96cDA3OWZqamordjY2Ni9YYWFlZFZvdFBVMWxSVVpHU2twTDA1WmRmNnNzdnY1VFA1NHRleVgzNjZhY3JJeU5EWGJ0MjFlV1hYeDVkNTlGSEg1WGI3ZFpqanowbVZkektCd0NPSk1vamdIcGowYUpGV3JseXBhNisrbXExYmR1MjBsaGhZYUdXTDErdXl5NjdUTk9uVDllU0pVdDArdW1uSDNSN1BwOVBkOXh4UjQzakJ4dmIvMzN2dnZ0dStmMSt0V3ZYVG0rOTlaYnk4L09Wa1pHaGdRTUgxdUxUU1NlZWVHS2wyd245OXJlL1ZjK2VQYU01dnYvK2UzWHMyTEhTT252MzdvM3VhZlQ1ZkJvMWFwUWFOMjVNaVFSd3hGQWVBZFFicjc3NnFwS1RrNnN0ZFo5ODhvbENvWkJ1dSswMi9mdmYvOVliYjd4eDBQS1lrSkNnakl5TWFpOWt5Y25KVVpNbVRmVFVVMDlWR2J2MDBrc3IzV2R4Ky9idDJyQmhneVRwaFJkZVVNdVdMZFdxVmF0S1Ywalg1b0taUThuTHk0dmV6N0pwMDZiUjVTdFdyTkJqanoybXJWdTNWbnRsT1FBY0xwUkhBUFhDN05tenRYTGxTdlh2MzE5Tm1qU3BOTFpueng2TkhUdFdaNTk5dHJLeXNuVDk5ZGZya1VjZTBmVHAwM1haWlpkVnU3MEJBd1pVZVpUZ1BoNlBSeDZQUitucDZWWEdEbngrZHZ2MjdmWHV1KytxVmF0VzFjNlhwRFBQUEZPWFhucHBsZVc3ZCsvVzhPSEREL3E1VlhFQjBMN25YOCtlUFZ2ejU4K1hKSjExMWxseXVWeGF2SGl4WnM2Y3FhNWR1MnJZc0dHVmJpNE9BSWNiNVJGQXpBdUZRaG94WW9RYU5XcWttMjY2cWRKWUpCTFIwS0ZEVlZaV3BydnZ2bHVxMkR2NDhjY2ZhOWl3WWVyY3VYT2xLNjAvL3ZqalE5NjgzTzZ0ZXA1ODhrbGRlT0dGT3Vta2t5b3RMeW9xMG9ZTkc2TG5QN1p0MjdiYUVydDE2OVpLNVhIcDBxWDYvdnZ2VlZCUW9JS0NBdTNZc1VOdnYvMjJYbi85ZFQzeXlDT1NwUDc5KzBjZlZTaEpEenp3Z0pLU2t2VDQ0NC9yM0hQUGxTcWV4MzN1dWVjcUpTWGxvUGtCNEplZ1BBSTQ3Q0tSU0xVWHRQd1NxYW1wZXVlZGQ3UjE2MWJkYzg4OWxhNWtqa1FpZXZycHAvWFZWMTlwNE1DQmxSNXArUERERCt1bW0yN1N3SUVETlhyMGFMVnExVXFTMUtWTEY5MTc3NzBIZmMrMzMzNWJhV2xwdXVhYWF3NDZyMzM3OWlvdUx0YTZkZXUwWnMwYXJWbXpScm01dWRxMmJac3lNek9yZlhyTndTeGF0RWlmZi82NVdyZHVyZGF0V3lzcEtVbG5ubm1tK3ZidHErT09PMDZ2dnZwcXBma2xKU1dTcEZOT09TVmFIRXRMUy9XWHYveEZyNzMyMmlIUCtRU0FYNEx5Q09DdysrbW5uM1RGRlZjY2xtMTkrT0dIV3Jac21kTFQweXM5Z3JDMHRGUkRodzdWN05tejFidDM3eW9YaUdSbFpla2YvL2lIQmc4ZXJGdHV1VVhEaGczVGFhZWRwdU9QUDE3SEgzLzhRZDl6OHVUSmF0S2tpWDczdTk4ZE10K0xMNzZvOGVQSEt5RWhRWjA2ZGRMNTU1K3ZFMDg4c2NiYjZSek1uWGZlV2VuWjJvc1dMVktiTm0yaWV6YU5NWXBFSWxxd1lJRW1UcHlvd3NKQ0hYdnNzZEZEMnFvNEoxS1MyclJwVSt2M0J3QTdLSThBRHJ1YWJyRDlTMlJrWkdqVXFGSGF1SEdqa3BLU3BJcDdLZzRiTmt6YnQyL1hOZGRjb3djZmZMRGFkYnQxNjZZbm5uaENqejc2cUhKeWNuVGpqVGRHYitGenVGeDc3Ylc2K09LTDFhbFRKeVVrSkVpU2Z2amhoMmpSOWZsOGg3eGc1dUdISDViWDY5WGN1WE5yblBQVFR6L3A1NTkvMWh0dnZDR1h5NlZ6enoxWEF3WU0wTHg1OHpSanhneU5HVE5HWHE5WHMyYk5VcE1tVFhUc3NjY2UxczhKQVB0UUhnRWNkZzBiTm95ZWYzaTR0R3ZYVHFvNFZQdmtrMCtxckt4TWp6MzJXSTNQZWQ2blo4K2VhdDY4dWU2Ly8zNTE3dHo1c0dhU3BKWXRXNnBseTVhVmxqVnUzTGpXbi85UXo4SDJlRHpxMkxHamV2VG9vYXV1dWtvWkdSbVNwTXpNVEMxY3VEQjZTTHRwMDZiNjA1LytWT3ZQQVFCMkhmemJDc0JSSjZ2anFSZklNdjlzMktCQjV1aVhYdFJaWi96eW0xbzdaZTNhdGNySXlGQ3paczFzcjFOV1ZsYmx5UytvdllXTHY5WGQ5LzFaQmJ0M0Y4cm8vemF2WFQ3SDZVd0E2aFo3SGdIVU93ZmVLTnNPaWlNQUhCNHVwd01BQUFDZy9xQThBZ0FBd0RiS0l3QUFBR3lqUEFJQUFNQTJ5aU1BQUFCc296d0NBQURBTnNvakFBQUFiS004QWdBQXdEYktJd0FBQUd5alBBSUFBTUEyeWlNUWI4S0JRa3RXSUJ5T3FMU3N6T2swcUdkS1Nrb1VEQVZsR1lVVURoUTZuUWRBM2FNOEFuR21MS2lmakRGN1E4R2dkdS9lNDNRYzFETUZ1M2JMNS9QTFNJR3lvSDV5T2crQXVrZDVCT0pNd2ViY25aTEtBc0dnVnVldWxjL25kem9TNmdsL0lLQ1ZxM1BsOS9zbEdWL0YzeVVBY1lieUNNU2ZpSXdaWTR6QzAyWjhvZmxmZlNOL0lPQjBKc1F3WTR3S2k0bzBlODQ4VFowMlE4WW9MR05la2hSeE9odUF1bWM1SFFDQUE5cTFTMnpyU1owa3k3bzhJejFkNTUzYlRkbGRUbEhqakhRbGVoT2RUb2NZVWxoVXBFMC9iTmFhZGV1MGROa0tsWmVYeXhnelkzT29ySS95OHRodERjUWh5aU1RcDQ3SjZweVptcFF3VnRMRmxtVzVQQjZQWEpZbFdYd3Q0TCtNaVNnVUNzc1lJMk5NUk5KTXZ6OHdZUHNQYTdZNG5RMkFNL2hYQW9oalRadDJhSkRTTk9sZWw2eWVrbEl0eTZRWVl5VTRuY3RaUnBZbHQ2VC9ISjZOODY5SnkxTFFTR1V5S2plS3pDbmZIWHFtb0NDMzFPbGNBSndUMzkrS0FDUkpMVnAwVFZHeXY0bkxvd3hQMkpYaWRCNG5KU1c2T2lRbWFLQWxLOEVYTk1OOS9zZzZwek01S2VnSzd6VmhhMCs0dEdEUGpoMDd1TGNUQUhtY0RnREFlZm41UzhzbGxVdmE2blFXcDJWblp5ZGFsdFhhR0pPVTdMVTJyMTI5WXFIVG1RQWdsbkMxTlFBQUFHeWpQQUlBQU1BMnlpTUFBQUJzb3p3Q0FBREFOc29qQUFBQWJLTThBZ0FBd0RiS0l3QUFBR3lqUEFJQUFNQTJ5aU1BQUFCc296d0NBQURBTnNvakFBQUFiS004QWdBQXdEYktJd0FBQUd5alBBSUFBTUEyeWlNQUFBQnNvendDQUFEQU5zb2pBQUFBYktNOEFnQUF3RGJLSXdBQUFHeWpQQUlBQU1BMnlpTUFBQUJzb3p3Q0FBREFOc29qQUFBQWJLTThBZ0FBd0RiS0l3QUFBR3lqUEFJQUFNQTJ5aU1BQUFCc296d0NBQURBTnNvakFBQUFiS004QWdBQXdEYktJd0FBQUd5alBBSUFBTUEyeStrQUFPQ1VMbDI2OUhTNzNUTnFzMDRrRXVtOWZQbnlhVWN1RlFERU52WThBb2hiWldWbGM0d3hXMnF4eXRiUzB0S1pSekFTQU1ROHlpT0F1SldYbCtjM3hueDRxSG5HbUgzLy9TUXZMODlmRjlrQUlGWlJIZ0hFdFhBNFBONFk0emZHUkV2aS92WXJqbjVqekFRSElnSkFUS0U4QW9ocndXQXczN0tzVlpaVjh5bmdsbVhKc3F4VmtVaWtOb2U0QWVDb1JIa0VFTmRTVTFPTEpTM2M5M3Ivdlk4SDdJbGNXRjVlWGxESDhRQWc1bEFlQWNTMXBVdVhCbzB4aXlTVkhHVGFYbVBNSXM1M0JBREtJd0FvSEE0dmxoVGRxM2pnK1kvR21KS0tPUUFROXlpUEFPTGVpaFVyMWh0alZoOWt5cG9WSzFhc3I4TklBQkN6S0k4QUlCbGp6QWZWWFRSVHNXeWNwS3FYWWdOQUhLSThBb0NrMHRMU1Q0MHhQeCs0M0JoVGFJeVo1RXdxQUlnOWxFY0ErTThOdzRzbGZiTC8zc2VLM3o5YnZueDVvWlBaQUNDV1VCNEJvSUl4WnB5a2tQNWJIRU4ybmtBREFQR0U4Z2dBRlNLUlNLNmtqZnYyUGhwak5vWEQ0WlZPNXdLQVdFSjVCSUFLeGNYRnhaSysyVy9Sd25BNHZOUEJTQUFRY3lpUEFGQmg4K2JOdm5BNHZGU1N6eGdUakVRaTMrYm01cFk2blFzQVlvbkg2UUFBRUV0Y0x0ZDhTVHN0eTBxUnRNRHBQQUFBQUlodFZuWjI5b0xzN094Vmt0eE9od0dBV0ZQMWpyZ0E0aytyVnNsdDNBM1NnNG1lUmw3alRuSTZqdFBTRXRYWHNreFNpYzk2eStrc2pyUENQdU1QRlFXRFJVWDUrZm5sVHNjQjREektJeERIV3JUb211Sk5DOXdobCtzU1MycGdaS1ZKSnRIcFhFNXpXZklZRTVHUksrUjBGdWRaQVV1bXhFZ2xrdVlHaWowajgvT1hVaUtCT0VaNUJPSlU0M2J0R2paTVNIMVh4cnJDc2pnOGkwTXp4a1JrYVdvZ3ZMZC8vdnIxdTV6T0E4QVpsRWNnSG5YdTdNMktlTit4TEYzdmRydlZ1Vk1IblhKaVo3VTcvamcxenNod09oMWlTR0ZSa2RadnlOUHFOZXUwY25XdXd1R3dJc1pNMmhJcXUwRjVlWDZuOHdHb2U4eU0zajRBQUNBQVNVUkJWRnh0RGNTaE5zYmJYOUsxaVY2djdobVVvNnQ2OTFKbXMyYmEvOUY4d0Q3R0dPMHMyS1hQdnZpWGhqMDNRbjUvb0U4YlYrcWdMZEx6VG1jRFVQYzRWQVhFbWF5c3JDU1hKM0cwWlZtWmwxOTZpZTRabEtNbWpSdFRIRkVqeTdLVWxwcXFFOXEzMDhZZmZsRGV4azB1eTJWMVRFOUxlcTJ3c0pEelFvRTR3MDNDZ1RnVGNLY2RJOHRLY3J2ZE9yWExTV3FRbHVaMEpOUVRLY25KK3ZXcFhaVGc4Y2dZSlFROURaczZuUWxBM2FNOEFuRW13ZXM2UmpKSmlWNnZtamRyNW5RYzFEUE5NNXNwT1RsWmxwU1FZSVVvajBBY29qd0NjY1l5cm9aR1NuQjczR3JVcUpIVGNWRFBaS1NueSt2MXlsanl5TzFOZHpvUGdMcEhlUVFBQUlCdGxFY0FBQURZUm5rRUFBQ0FiWlJIQUFBQTJFWjVCQUFBZ0cyVVJ3QUFBTmhHZVFRQUFJQnRsRWNBQUFEWVJua0VBQUNBYlpSSEFBQUEyRVo1QkFBQWdHMlVSd0FBQU5oR2VRU0FHRkZTVXVKMEJBQTRKSS9UQVFEZ2NQSDVmUHJtbTIvK3AyMDBiZHBVSjU5ODhtSExaTmZkZDkrdDdkdTNhL3o0OFVwTVRLeno5d2NBdXlpUEFCejMybXV2YWR5NGNiOTQvUzVkdXVpVlYxN1JuajE3ZFAvOTkvOVBXYzQ5OTF5TkdESGlzR2M3bEhQT09VZi8rTWMvOU9xcnIycnc0TUcvK1AwQTRFaWpQQUp3WENBUWtNL24wODAzMzZ5a3BLUmFyNStabVNsSk92YllZelY1OHVRYTU3Mzk5dHVhTW1XS1B2amdneHJmSnprNStZaGsrLzc3Ny9YOTk5L1hPTThZbytUa1pPM1pzMGRqeDQ2dGRvN0g0MUhmdm4xcm5RRUFEaWZLSTRDWTBhOWZQNlducDFkWnZtSERCaTFac2tTOWV2VlNSa1pHamV0N1BCNjFidDFheTVZdFUxcGFtdHEzYjE5cHZFR0RCcEtrbGkxYktpVWxKYm84R0F6cXZmZmUwM1hYWFZlbFBCNnViQXNYTHRUcnI3OSt5QUw2NVpkZjZzc3Z2Nnl5UEJRS3liSXN5aU1BeDFFZUFjUzg3Ny8vWHM4Ly83eTZkdTE2MElLbWlpTDQyR09QS1JLSmFQejQ4ZFVXdmdPOThzb3JHanQyckZ3dWwyNisrZVlqbGsyU1pzMmFwY1RFUkJVVkZhbFJvMFpWeHBjdlh5NjMyMTNsdk1zWFgzeFJIMzc0WWEyeUFjQ1J3TlhXQUk0cUNRa0pldnJwcDFWUVVLQ0hIbnBJb1ZEb29QTy8rKzQ3alJzM1RxZWZmcnB1dlBIR0k1b3JLU2xKbG1YSjUvT3BiOSsrNnQrL3Y1WXRXMVpwM3QvKzlqZTkrT0tMVmRiM2VyMlY5cFlDZ0ZNb2p3Q09PaWVkZEpJR0R4NnNiNy85VnFOSGo2NXhYbjUrdmg1ODhFRWRjOHd4ZXVhWlorUnlIYm12eEZ0dnZWVmZmZldWdkY2dmtwS1M5TWdqajJqUG5qMjYvZmJiZGQ5OTkybmJ0bTFTeGJtUGJyZTd5dm9EQnc3VXJGbXpqbGcrQUxDTHc5WUFZc3FPSFR1cTNPK3dvS0JBa3JSdDI3WnFpMVhidG0yckxQLzk3Myt2dVhQbjZ1MjMzMWEzYnQzMDYxLy91dEo0U1VtSjdycnJMdmw4UG8wYU5jcldJZWZEa2Eyb3FFZ3VsMHRubjMyMnpqampETDMvL3Z0Njg4MDNWVnhjTEVueSsvM2NxZ2RBVEtNOEFuQmNKQktSS2k1NGVlNjU1L1RaWjU5Vk8rL0JCeCtzZHZtWFgzNVo1ZHhHeTdMMDZLT1A2dFpiYjYzMjV0dTdkKzlXS0JUU3NHSEQxTEZqeHpyTDlzSUxMMmpPbkRtNjRZWWIxTGR2WDkxODg4MzYzZTkrRnowa1hWWldwdFRVMUJyekFJRFRLSThBSExmdnZFU1B4NlBiYnJ0TmZmcjBxVFErZCs1Y3ZmLysreG95WkloYXQyNWRaZjIwdExScXQ5dWlSUXROblRwVlhxKzN5bGhXVnBZbVRab2tqK2ZnWDRPSE8xdE9UbzRpa1loZWYvMTEvZk9mLzlSdHQ5MFdQZGZTNy9lcnBLUkVqUnMzUG1nbUFIQVM1UkdBNDhyS3l1UjJ1NVdVbEtTMmJkdXFiZHUybGNZM2I5NHNTZXJjdWJNNmRPaWdWYXRXS1NzcnEwb3g2OTY5KzBFdmtOazMxcU5IajRQbTZkdTNyd1lPSEhoWXMrM1R2SGx6L2UxdmY5Tk5OOTJra1NOSHl1ZnpSY2YybmZmWXZIbnpnK1lEQUNkUkhnRTRyckN3VUEwYk5yUTExK2Z6NmQ1NzcxV2JObTAwYXRTb1N2ZE52UDc2NnhVT2gydGNkOG1TSlZxNWNxV3V2ZmJhZys1eHpNN09QdXpaWnMyYXBkTFMwa3J6TDdua0VrblMxS2xUSlVtclZxMlNLczZ0M0xmc1FKMDZkYXB5LzBvQXFFdVVSd0NPKy9ISEg2TlBZam1VcEtRa1BmWFVVeG8wYUpBZWV1Z2hQZi84ODlFaW1KT1RjOUIxWDN6eFJhMWN1Vkw5Ky9lM2ZkdWJ3NVZ0eElnUjBUMkxoL0xCQngvVU9EWm8wQ0RLSXdCSFVSNEJPS3EwdEZTYk4yL1daWmRkWm51ZE04NDRRdzg4OElDR0RSdW04ZVBINjVaYmJvbjViQk1uVG94ZWZGT2RVYU5HNmYzMzM5ZlZWMSt0Kys2N3I4WjVoenBIRXdDT05MNkZBRGhxM3J4NUNvZkRPdU9NTTJxMTNqWFhYS09NakF4ZGNNRUY5U0piUWtKQ3RYUEx5c3IwM0hQUGFlclVxVXBMUzlPa1NaT1VtNXVyRzI2NFFUMTY5S0FzQW9nNTNDUWNnR09NTVhydnZmZVVuSnlzODg4L1g0RkFRSDYvdjhyUHZ2TVlnOEZncGVYbm5YZWV3dUd3Z3NGZ3ZjdFdWRlNrc1dQSDZxcXJydExVcVZQVnQyOWZmZm5sbDNyaGhSZVVrSkNnSVVPRzZJb3JydEE3Nzd4VDdhMkdBTUFwL0M4dEFNZDg5dGxuV3J0MnJXNjg4VWFscGFYcG9vc3VVbEZSVVkzeisvWHJWKzN5VnExYWFjcVVLVEdmYmN1V0xmcjIyMjgxZi81OExWeTRVTUZnVUYyNmROR3p6ejRidlVpbmUvZnU2dDY5dTVZdlg2NTMzbmxITDczMGt0NTQ0dzFkZWVXVjZ0dTNiN1czQXdLQXVrUjVCT0NZMHRKU3BhZW42dzkvK0lNazZmNzc3NWZmNzYvMWRtcTZMVTZzWkF1RlFycjIybXUxWmNzV1NWSktTb3A2OWVxbHE2NjZTcWVlZW1xMTY1MTY2cWthUG55NDFxNWRxemZlZUVNVEprelF4eDkvckNsVHB0aStnQWNBQU9CL2x0WHgxQXV5T25YWmZzb1o1NXB2RmkweFR2djN2Ly90ZElRYUhjNXNNMmZPTktOR2pUSkxsaXd4Z1VDZzF1dXZXN2ZPVEp3NDhiRGwrYVcrV2JURW5IN3V4U2FyMDZrL1ozVTg5Y2lkY0FvZ1pySG5FWUNqWXZrdzdPSE1kdkhGRit2aWl5Lyt4ZXVmY01JSk91R0VFdzViSGdENHBiaGdCZ0FBQUxaUkhnRUFBR0FiNVJFQUFBQzJVUjRCQUFCZ0crVVJBQUFBdGxFZUFRQUFZQnZsRVFBQUFMWlJIZ0VBQUdBYjVSRUFBQUMyVVI0QkFBQmdHK1VSaURmaFFLRWxLeEFPUjFSYVZ1WjBHdFF6SlNVbENvYUNzb3hDQ2djS25jNERvTzVSSG9FNFV4YlVUOGFZdmFGZ1VMdDM3M0U2RHVxWmdsMjc1ZlA1WmFSQVdWQS9PWjBIUU4yalBBSnhwbUJ6N2s1SlpZRmdVS3R6MThybjh6c2RDZldFUHhEUXl0VzU4dnY5a295djR1OFNnRGhEZVFUaVQwVEdqREZHNFdrenZ0RDhyNzZSUHhCd09oTmltREZHaFVWRm1qMW5ucVpPbXlGakZKWXhMMG1LT0owTlFOMnpuQTRBd0FIdDJpVzI5YVJPa21WZG5wR2VydlBPN2Fic0xxZW9jVWE2RXIySlRxZEREQ2tzS3RLbUh6WnJ6YnAxV3Jwc2hjckx5MldNbWJFNVZOWkhlWG5zdGdiaUVPVVJpRlBIWkhYT1RFMUtHQ3ZwWXN1eVhCNlBSeTdMa2l5K0Z2QmZ4a1FVQ29WbGpKRXhKaUpwcHQ4ZkdMRDloelZibk00R3dCbjhLd0hFc2FaTk96UklhWnAwcjB0V1QwbXBsbVZTakxFU25NN2xMQ1BMa2x2U2Z3N1B4dm5YcEdVcGFLUXlHWlViUmVhVTd3NDlVMUNRVytwMExnRE9pZTl2UlFDU3BCWXR1cVlvMmQvRTVWR0dKK3hLY1RxUGs1SVNYUjBTRXpUUWtwWGdDNXJoUG45a25kT1puQlIwaGZlYXNMVW5YRnF3WjhlT0hkemJDWUE4VGdjQTRMejgvS1hsa3NvbGJYVTZpOU95czdNVExjdHFiWXhKU3ZaYW05ZXVYckhRNlV3QUVFdTQyaG9BQUFDMlVSNEJBQUJnRytVUkFBQUF0bEVlQVFBQVlCdmxFUUFBQUxaUkhnRUFBR0FiNVJFQUFBQzJVUjRCQUFCZ0crVVJBQUFBdGxFZUFRQUFZQnZsRVFBQUFMWlJIZ0VBQUdBYjVSRUFBQUMyVVI0QkFBQmdHK1VSQUFBQXRsRWVBUUFBWUJ2bEVRQUFBTFpSSGdFQUFHQWI1UkVBQUFDMlVSNEJBQUJnRytVUkFBQUF0bEVlQVFBQVlCdmxFUUFBQUxaUkhnRUFBR0FiNVJFQUFBQzJVUjRCQUFCZ0crVVJBQUFBdGxFZUFRQUFZQnZsRVFBQUFMWlJIZ0VBQUdBYjVSRUFBQUMyVVI0QkFBQmdtK1YwQUFCd1NwY3VYWHE2M2U0WnRWa25Fb24wWHI1OCtiUWpsd29BWWh0N0hnSEVyYkt5c2puR21DMjFXR1ZyYVducHpDTVlDUUJpSHVVUlFOekt5OHZ6RzJNK1BOUThZOHkrLzM2U2w1Zm5yNHRzQUJDcktJOEE0bG80SEI1dmpQRWJZNklsY1gvN0ZVZS9NV2FDQXhFQklLWlFIZ0hFdFdBd21HOVoxaXJMcXZrVWNNdXlaRm5XcWtna1VwdEQzQUJ3VktJOEFvaHJxYW1weFpJVzdudTkvOTdIQS9aRUxpd3ZMeStvNDNnQUVITW9qd0RpMnRLbFM0UEdtRVdTU2c0eWJhOHhaaEhuT3dJQTVSRUFGQTZIRjB1SzdsVTg4UHhIWTB4SnhSd0FpSHVVUndCeGI4V0tGZXVOTWFzUE1tWE5paFVyMXRkaEpBQ0lXWlJIQUpDTU1lYUQ2aTZhcVZnMlRsTFZTN0VCSUE1UkhnRkFVbWxwNmFmR21KOFBYRzZNS1RUR1RISW1GUURFSHNvakFQem5odUhGa2o3WmYrOWp4ZStmTFYrK3ZOREpiQUFRU3lpUEFGREJHRE5PVWtqL0xZNGhPMCtnQVlCNFFua0VnQXFSU0NSWDBzWjlleCtOTVp2QzRmQktwM01CUUN5aFBBSkFoZUxpNG1KSjMreTNhR0U0SE43cFlDUUFpRG1VUndDb3NIbnpabDg0SEY0cXlXZU1DVVlpa1c5emMzTkxuYzRGQUxIRTQzUUFBSWdsTHBkcnZxU2RsbVdsU0ZyZ2RCNEFBQURFTmlzN08zdEJkbmIyS2tsdXA4TUFRS3lwZWtkY0FQR25WYXZrTnU0RzZjRkVUeU92Y1NjNUhjZHBhWW5xYTFrbXFjUm52ZVYwRnNkWllaL3hoNHFDd2FLaS9QejhjcWZqQUhBZTVSR0lZeTFhZEUzeHBnWHVrTXQxaVNVMU1MTFNKSlBvZEM2bnVTeDVqSW5JeUJWeU9vdnpySUFsVTJLa0VrbHpBOFdla2ZuNVN5bVJRQnlqUEFKeHFuRzdkZzBiSnFTK0syTmRZVmtjbnNXaEdXTWlzalExRU43YlAzLzkrbDFPNXdIZ0RNb2pFSTg2ZC9abVJienZXSmF1ZDd2ZDZ0eXBnMDQ1c2JQYUhYK2NHbWRrT0owT01hU3dxRWpyTitScDlacDFXcms2VitGd1dCRmpKbTBKbGQyZ3ZEeS8wL2tBMUQydXRnYmlVQnZqN1MvcDJrU3ZWL2NNeXRGVnZYc3BzMWt6N2Y5b1BtQWZZNHgyRnV6U1oxLzhTOE9lR3lHL1A5Q25qU3QxMEJicGVhZXpBYWg3SEtvQzRreFdWbGFTeTVNNDJyS3N6TXN2dlVUM0RNcFJrOGFOS1k2b2tXVlpTa3ROMVFudDIybmpEejhvYitNbWwrV3lPcWFuSmIxV1dGakllYUZBbk9FbTRVQ2NDYmpUanBGbEpibmRicDNhNVNRMVNFdHpPaExxaVpUa1pQMzYxQzVLOEhoa2pCS0Nub1pObmM0RW9PNVJIb0U0aytCMUhTT1pwRVN2VjgyYk5YTTZEdXFaNXBuTmxKeWNMRXRLU0xCQ2xFY2dEbEVlZ1RoakdWZERJeVc0UFc0MWF0VEk2VGlvWnpMUzArWDFlbVVzZWVUMnBqdWRCMERkb3p3Q0FBREFOc29qQUFBQWJLTThBZ0FBd0RiS0l3QUFBR3lqUEFJQUFNQTJ5aU1BQUFCc296d0NBQURBTnNvakFBQUFiS004QWdBQXdEYktJd0FBQUd5alBBSUFBTUEyeWlNQUFBQnNvendDaUR2QllGQmJ0MjVWWVdHaDdYWFdyMSt2ZWZQbUhkRmNBRkFmVUI0QnhKM1hYMzlkZmZyMDBmang0MjJ2TTNYcVZBMGRPdlNJNWdLQStzRGpkQUFBT0Z3V0xseW9qejc2U0U4ODhZUlNVMU9ybmJOdDJ6YU5HemRPbVptWkdqOSt2SHIzN3Eyc3JLeGYvSjVsWldWNjhza25xeDFMVFUzVmtDRkRmdkcyQVNBV3NlY1J3RkZqNTg2ZG1qTm5qZ1lNR0ZEdElXbS8zNjlISG5sRXh4eHpqTjU3N3oyMWJObFNRNFlNa2Mvbis4WHZHUXdHOWNVWFgranJyNy9XdDk5K0cvMlpOMitlWnMyYTlUOStJZ0NJUGV4NUJIRFV1UExLSzFWWVdLZ1JJMFlvSnlkSHI3MzJtdExUMHlWSnhoZ05IVHBVYTlldTFTdXZ2S0wwOUhROThjUVR1dTIyMi9UZ2d3L3FoUmRla01mejM2L0VYYnQyYWZyMDZkSFhhOWV1bGQvdjE5aXhZNlBMVGo3NVpMVnQyMWFTOU5CREQrbXl5eTZManIzODhzdWFOR2xTSFgxeUFLZzdsRWNBUjVXYmI3NVp4Y1hGK3V5enoxUllXS2owOUhUNS9YNDk5dGhqK3RlLy9xVkhIMzAwV3ZoT1BQRkUvZTF2ZjlPZi8veG4zWHZ2dlhyeXlTZlZxRkVqcVdJdjVwdHZ2aG5kcnMvblV5Z1VxclRzaGh0dWlHNExBT0lGNVJIQVVXZlFvRUhxMTYrZkdqUm9vSzFidDJySWtDRmF2WHExSG5qZ0FYWHExRW1YWDM2NUhuLzhjVjF5eVNYcTBhT0h5c3ZMOWRSVFQ2bHYzNzU2NUpGSGRQYlpaNnR6NTg2YU8zZHVkSnZQUGZlY3BrK2ZYdVZRZEcydTJBYUFvd0huUEFJNEtxV2xwZW0xMTE3VE5kZGNvN3k4UFAzOTczL1g3My8vZTUxd3dnazYvL3p6OWZqamoydmR1bldTcEt1dXVrb2pSb3hRV1ZtWjdycnJMdDErKyswS0JBSk9md1FBaUVtVVJ3QkhKY3V5VkZKU29uYnQydW45OTkvWHhSZGZIQjE3N0xISDFMUnBVLzNwVDM5U2NYR3hKS2xidDI2YU9IR2lMcnp3UWwxMDBVWHllcjBPcGdlQTJNVmhhd0JIclh2dnZWZVNLbDBJSTBrcEtTbDY2cW1udEdyVktqVm8wQ0M2dkduVHBucnV1ZWVraWtQZnk1WXRpNDZGUWlHRlFpR2RjODQ1bGJiMTNudnZIZUZQQVFDeGhmSUk0S2p6MFVjZmFmMzY5YnI3N3J1MWZmdDI3ZGl4bzlwNUxWdTIxSUlGQ3lvdE8vSEVFOVc0Y1dQMTZkTkhaNTk5dGlScHhZb1YrdGUvL3FWcnI3MVdyVnUzcmpRL09UbjVDSDRTQUlnOWxFY0FSNTE1OCticHUrKyswd01QUEtEMzNudFBuMzc2cWUxMWh3OGZydlBPTzArLytjMXZvc3RtelpxbHJLd3NQZkRBQTdJc1MyVmxaVXBMUzVPNFlBWkFIS0k4QWppcWhFSWhMVnUyVEYyN2RwWFg2OVU5OTl5ajIyKy8vYURyckYyN1ZrT0dERkh6NXMxMTRva25WaHBidVhLbGxpMWJwbUhEaHNubGNtbnc0TUVLaDhONjZhV1hqdkFuQVlEWVJIa0VjRlRKemMzVjNyMTcxYTFiTjBsUzQ4YU4xYmh4NHhybmI5aXdRYzg4ODR5T1BmWllqUjQ5dXNyY2wxOStXUjA2ZElqdWliejQ0b3MxZE9oUUxWcTBTR2VlZVdhTjJ5MHRMWlhiN1Q1c253c0FZZ1ZYV3dNNHFpeGN1RkNTb3VjclN0S1BQLzZvWWNPR1ZUbjNNUzh2VHprNU9VcEtTdExvMGFQVnJGbXpTdVB6NTgvWGtpVkxOSGp3WUZtV0pVbnExYXVYV3JSb29lSERoOHNZRTUzcjgvbjA3TFBQNnZYWFg5ZUlFU00wZGVyVUt1ZEhBc0RSZ0QyUEFJNHFjK2ZPVldabXB0cTBhUk5kdG5qeFlrMmVQRm1USjAvVzFWZGZyVnR2dlZWNzl1eFJUazZPUEI2UFJvOGVyUll0V2xUYXpyWnQyL1QwMDArclZhdFcyclZybDhhUEg2L2R1M2RyejU0OWtxVDE2OWRyenB6L3o5NmRoMGRWSHV3ZnY4L01aTElDWVE5N0ZCU2hMNFdJMWxMazU5S3FhSzNWYWtFVXFXdEZRYWtWRlJXM2lpSythc1dsb21oUlFVV1ExeFlGRVZGUlZCYU5ZSVFnRUVnb0VpUmh5Wjdaemp5L1B3eFRZZ0FQS2psRDV2dTVMaTh5WjV0N2NuRU50ODg1enptTGxaT1RJMGxLU1VuUnZIbnpWRmxaS1VscTE2NmRycnZ1dWtiOTdBRFFHQ2lQQUpxTTdkdTM2NnV2dnRLNTU1NWJiL2w1NTUybkFRTUdhT3JVcVpvOWU3Yis5YTkveWVmenllZnphY3FVS2ZzY0lmejN2Lyt0a3BJU3BhV2w2ZW1ubjFicjFxM1ZxbFVydFd6WlVvTUhEOWI4K2ZNMWRlcFUvZU1mLzRqdDgrYWJieW9TaWNqbjg4VW0xQUJBVTBONUJOQms3SG1jNEw2dVJjekt5dElkZDl5aFN5KzlWRTg4OFlRV0xWcWtqSXdNTFZteVJCMDdkbFJ5Y25LOTdhKzQ0Z3FkZi83NXlzcksydWQ3ZGV2V1RXKysrYVoyNzk0ZFcwWmhCSkFJdU9ZUlFKT3g1OUdEdi9qRkwvYTdUWmN1WFRScDBpUTkrK3l6NnR5NXN5WlBucXcvL09FUHNTZk43SkdTa3JMZjRpaEpaNTk5dHFaTW1hS1dMVnYrcEo4QkFPSWRJNDhBbW94Ky9mcXBYNzkranJiTnljblJqQmt6OU1ZYmIyajc5dTFxM3J6NUQzclB6TXhNNWVibS9xQjlBZUJ3UkhrRWtMQXN5OUk1NTV6amRnd0FPS3h3MmhvQUFBQ09VUjRCQUFEZ0dPVVJBQUFBamxFZUFRQUE0QmpsRVFBQUFJNVJIZ0VBQU9BWTVSRUFBQUNPVVI0QkFBRGdHT1VSQUFBQWpsRWVBUUFBNEJqbEVVZzBkcWpNa2hXeTdhaXFxcXZkVG9QRFRHVmxwY0tSc0N5amlPeFFtZHQ1QURRK3lpT1FZS3JEK3NZWVV4c0poN1Z6NXk2MzQrQXdVN3BqcHdLQm9Jd1VxZzdyRzdmekFHaDhsRWNnd1pRVzVaZElxZzZGdzFxVC81VUNnYURia1hDWUNJWkMrbkpOdm9MQm9DUVRxUHU3QkNEQlVCNkJ4Qk9WTWM4YUkzdmVnb1ZhOHZGU0JVTWh0ek1oamhsalZGWmVydmNYZjZpNTh4YklHTmt5NW5GSlViZXpBV2g4bHRzQkFMaWdSNC9rSTN6cGMyUlp2MjJabWFsQkp3NVFUdCtmcTFYTFRDWDdrOTFPaHpoU1ZsNnVUWVZGV3J0dW5YSlg1cW1tcGtiR21BVkZrZXB6VlZEQXNEV1FnQ2lQUUlKcW05MDdLejBsNlVWSnY3WXN5K1B6K2VTeExNbmlhd0gvWlV4VWtZZ3RZNHlNTVZGSmk0TEIwSiszRmE3ZDdIWTJBTzdnWHdrZ2diVnAwN05aV3B1VUd6eXl6cENVYmxrbXpSZ3J5ZTFjN2pLeUxIa2xmWHQ2TnNHL0ppMUxZU05WeTZqR0tMcTRabWRrWW1scGZwWGJ1UUM0SjdHL0ZRRklranAyN0orbTFHQnJqMDh0ZmJZbnplMDhia3BKOXZSTVR0SW9TMVpTSUd3ZURRU2o2OXpPNUthd3g2NDF0clhMcmlyZHRYMzdkdTd0QkVBK3R3TUFjRjl4Y1c2TnBCcEpXOXpPNHJhY25KeGt5N0s2R0dOU1V2MVcwVmRyOHBhNW5Ra0E0Z216clFFQUFPQVk1UkVBQUFDT1VSNEJBQURnR09VUkFBQUFqbEVlQVFBQTRCamxFUUFBQUk1UkhnRUFBT0FZNVJFQUFBQ09VUjRCQUFEZ0dPVVJBQUFBamxFZUFRQUE0QmpsRVFBQUFJNVJIZ0VBQU9BWTVSRUFBQUNPVVI0QkFBRGdHT1VSQUFBQWpsRWVBUUFBNEJqbEVRQUFBSTVSSGdFQUFPQVk1UkVBQUFDT1VSNEJBQURnR09VUkFBQUFqbEVlQVFBQTRCamxFUUFBQUk1UkhnRUFBT0FZNVJFQUFBQ09VUjRCQUFEZ0dPVVJBQUFBamxFZUFRQUE0QmpsRVFBQUFJNVJIZ0VBQU9BWTVSRUFBQUNPV1c0SEFBQzM5TzNiOXd5djE3dmdZUGFKUnFObnIxcTFhdDZoU3dVQThZMlJSd0FKcTdxNmVyRXhadk5CN0xLbHFxcHEwU0dNQkFCeGovSUlJR0VWRkJRRWpUR3ZmdDkyeHBnOWY3NWVVRkFRYkl4c0FCQ3ZLSThBRXBwdDJ6T01NVUZqVEt3azdtMnY0aGcweHN4eUlTSUF4QlhLSTRDRUZnNkhpeTNMV20xWis3OEUzTElzV1phMU9ocU5Ic3dwYmdCb2tpaVBBQkphZW5wNmhhUmxlMTd2UGZyNG5aSElaVFUxTmFXTkhBOEE0ZzdsRVVCQ3k4M05EUnRqbGt1cVBNQm10Y2FZNVZ6dkNBQ1VSd0NRYmRzckpNVkdGYjk3L2FNeHBySnVHd0JJZUpSSEFBa3ZMeTl2dlRGbXpRRTJXWnVYbDdlK0VTTUJRTnlpUEFLQVpJd3hNL2MxYWFadTJYUkpEYWRpQTBBQ29qd0NnS1NxcXFvM2pURzd2N3ZjR0ZObWpKbmpUaW9BaUQrVVJ3RDQ5b2JoRlpKZTMzdjBzZTdudDFhdFdsWG1aallBaUNlVVJ3Q29ZNHlaTGltaS94YkhpSk1uMEFCQUlxRThBa0NkYURTYUwybmpudEZIWTh3bTI3YS9kRHNYQU1RVHlpTUExS21vcUtpUXRIU3ZSY3RzMnk1eE1SSUF4QjNLSXdEVUtTb3FDdGkyblNzcFlJd0pSNlBSei9Mejg2dmN6Z1VBOGNUbmRnQUFpQ2NlajJlSnBCTExzdElrZmVSMkhnQUFBTVEzS3ljbjU2T2NuSnpWa3J4dWh3R0FlTlB3anJnQUVrL256cW5kdk0weXc4bStGbjdqVFhFN2p0c3lrbldSWlptVXlvRDFUN2V6dU02eUF5WVlLUStIeTh1TGk0dHIzSTREd0gyVVJ5Q0JkZXpZUDgyZkVicGFIcy9wbHRUTXlNcVFUTExidWR6bXNlUXpKaW9qVDhUdExPNnpRcFpNcFpFcUpYMFFxdkE5Vmx5Y1M0a0VFaGpsRVVoUXJYcjBhTjQ4S2YwRkdldDNsc1hwV1h3L1kweFVsdWFHN05xcml0ZXYzK0YySGdEdW9Ed0NpYWgzYjM5MjFQKzhaV21ZMSt0VjcxNDk5Zk9mOVZhUDdrZXFWY3VXYnFkREhDa3JMOWY2RFFWYXMzYWR2bHlUTDl1MkZUVm16dVpJOWNVcUtBaTZuUTlBNDJPMk5aQ0F1aG4vVlpLR0pQdjlHak42cEg1LzlwbkthdDllZXorYUQ5akRHS09TMGgxNmErRTdldUNoeVFvR1ErZDI4NlNQM2l3OTdIWTJBSTJQVTFWQWdzbk96azd4K0pLZnRpd3I2N2VEVDllWTBTUFZ1bFVyaWlQMnk3SXNaYVNuNitpamVtaGpZYUVLTm03eVdCN3JtTXlNbENsbFpXVmNGd29rR0c0U0RpU1lrRGVqclN3cnhldjFxbC9mLzFHempBeTNJK0V3a1phYXFtUDc5VldTenlkamxCVDJOVy9qZGlZQWpZL3lDQ1NZSkwrbnJXUlNrdjErZFdqZjN1MDRPTXgweUdxdjFOUlVXVkpTa2hXaFBBSUppUElJSkJqTGVKb2JLY25yODZwRml4WnV4OEZocG1WbXB2eCt2NHdsbjd6K1RMZnpBR2g4bEVjQUFBQTRSbmtFQUFDQVk1UkhBQUFBT0VaNUJBQUFnR09VUndBQUFEaEdlUVFBQUlCamxFY0FBQUE0Um5rRUFBQ0FZNVJIQUFBQU9FWjVCQUFBZ0dPVVJ3QUFBRGhHZVFRQUFJQmpsRWNBY1dIcjFxM0t6YzJWTVNhMnJMQ3dVSjkrK21tRGJaY3VYYXFDZ29MOUhtdmx5cFZhdm56NVQ1WnQ2ZEtsbWp0MzdqN1hQZjc0NDFxN2RtM3M5ZnIxNi9Yb280ODJXallBYUd5VVJ3Qng0Zm5ubjlkZi92SVhsWldWeFphOThzb3JHamR1WElOdGI3bmxGczJaTStlQXgvckhQLzd4azJWYnRteVozbmpqalgydWUrMjExMVJZV0JoNy9aLy8vRWN6Wjg1c3RHd0EwTmg4YmdjQWdMS3lNczJiTjArWFhucXBXclpzR1ZzZWpVYmw4VFQ4ZjF4ampMeGVyK1Bqdi8vKyt4by9mcnlqYlFjT0hLZ0hIM3p3Z050czNicFZKU1Vsa2lUYnRyVjU4MmF0WExsU2tsUlVWQ1JqVE94MXExYXQxSzFidDBiTEJnQ0hHdVVSZ092bXpKbWpqSXdNWFhMSkpmV1cyN2E5ejVJWWpVWVBxandlY2NRUnV1eXl5Mkt2WjgrZXJlVGtaSjF6empuMXRudmhoUmZxblRiZm45ZGVlMDJ6WnMyU0pBVUNBYjN3d2d1YU1XTkdMRnNrRXRIbzBhTWxTV2VjY1lidXZQUE9Sc3NHQUljYTVSR0FxOHJMeXpWanhneGRlKzIxU2sxTjFkYXRXOVd4WTBkWmxxVlFLQ1MvMzk5Z24zQTR2TS9sKzVPZG5hMHJyN3d5OW5yaHdvWHEwS0ZEdldXcU8wMmVrcElpU1Nvb0tOQnp6ejBuU1ZxM2JwM0t5OHQxNjYyM0tqMDlYZVBIajllWU1XTWtTU2VkZEpKdXVlVVduWFhXV1pLa1JZc1dhZno0OGZyNDQ0OFBXVFlBY0JQbEVZQ3Jwa3lab3N6TVRKMTMzbmtLQkFLNi9QTExkY29wcDJqY3VIRUtCb01OU21JMEdwVnQyMHBOVFhWMC9FQWdvSktTRWtVaUVSMTU1SkdTcEVna3NzLzlJNUZJN1AxOFBwOHlNaktrdW9LNzU3WFA1MU5SVVZHOVBEdDI3SWd0S3kwdGxUR20zalpaV1ZuN0xINC9OQnNBdUlueUNNQTFHemR1MUd1dnZhWUhIbmhBUHA5UE0yYk1VRmxabVM2NjZDS3BybHlscDZmWDI2ZW1wa2FTR3BTeHlzcEt6Wmt6Ujl1M2I5ZFhYMzJsaW9vS25YcnFxU292TDVja25YRENDYkdKS3NGZ2NKOEZiZStSenV6c2JOMSsrKzBLaFVLYVAzKytldmZ1cmR0dnYxM3IxcTNUK2VlZlgyKy95Wk1uYS9Ma3lmV1c3YjNOMy8vK2QyM2F0T2tueXdZQWJxSThBbkROeHg5L3JHZzBxci85N1crNjg4NDdGUWdFZE9XVlY2cHIxNjZTcEtxcXF0am8zeDVWVlZWUzNVamMzbXByYS9YNDQ0K3JkZXZXcXFtcFVWcGFtczQ4ODB5MWE5ZE83ZHUzVjNaMmRyMXR2MXRLVlhjNi9MdWxORGMzcEFucXRBQUFJQUJKUkVGVVY0RkFRS3FicUhQMDBVZnJrMDgrYWJEdnhJa1RWVlpXcGttVEpqVll0M3YzYnQxd3d3MC9lVFlBY0FQbEVZQnJCZzhlckt5c0xHVm1adXFaWjU1UmFXbXBMci84OHRqNmlvb0tkZXJVcWQ0K3UzZnZsdXBtUE8rdGJkdTJXcjU4dVh3K244YU1HYU95c2pLTkhUdDJuKzliWFYzZG9LQ0Z3MkVaWTVTY25GeHYrZno1OHlWSlc3WnMwUVVYWEtDbm4zNWF6WnMzMTVvMWErcHRWMVpXcHFxcUt1WG41OWRiM3JOblQ3VnYzLzZRWkFNQU4xQWVBYmltWGJ0Mk92MzAwL1h4eHg5cjVjcVZtakpsU3IyQ1ZGcGFxb3FLQ20zYnRrMGRPblNJTFZQZERjVDNabG1XZkw3di8wb0xCQUtLUkNJTlJqU0R3YUFrMVh2Lzh2Snl2ZmZlZStyZXZidlMwdElVQ0FRMFljSUUzWHp6emJyeXlpdVZrWkVSbS9WZFUxTWpZNHh1dlBGR3FXNlVzcUtpUXRPblQxZnYzcjEvOG13QTRCWnVFZzdBVmJ0Mzc5YUVDUlAwaHovOFFjY2ZmM3hzK2M2ZE8xVlRVeE03NVZ0Yld5dnRWUnJYcjEvL2c5NXYxNjVka2xUdmZwTGFUMEdiT1hPbU1qSXlkTUlKSnlncEtVbjMzbnV2d3VGdzdGckY1NTU3VHUrOTk1N2VlKzg5blhYV1dSbzRjR0RzOWV1dnYzNUlzd0dBV3hoNUJPQ2FTQ1NpbTIrK1dUVTFOUm80Y0tEbXo1K3ZiZHUyYWVqUW9iSFR2Nk5HamRLVUtWTjAxMTEzNmNFSEg5VEdqUnVsdWdreW16WnRpczFTL2o2MXRiVktUVTFWY1hHeFZEZnErZDMxMm1zaXpxNWR1L1R5eXk5cnhJZ1JxcWlva0NRZGRkUlJldkxKSjJQSHVQbm1tMk9UV0xadjN5N2J0blhoaFJkS2RiT3duVHJZYkFEZ0pzb2pBTmNVRnhmcjg4OC9seVRkZU9PTjh2djlhdGV1bmY3MHB6OHBMeTlQbG1WcDZOQ2hzbTFiVTZaTTBhdXZ2cXJjM0Z3TkdEQkFuMzc2cVZhc1dQRzk1VEVTaWVqRkYxL1U1NTkvcmllZWVFSmZmdm1sSk9ub280K3V0OTJlV2R4N1pqcS84TUlMOG5xOUdqcDBxS1pPbmJyUFkxOTQ0WVd4MCtrelo4NVVkWFcxcnJqaUNxbHVZcy8zUFRubWgyWURBRGRSSGdHNHBrdVhMbnJvb1llVWxaV2xEaDA2S0RNek03YnU3YmZmVnUvZXZaV2VucTdMTDc5Y3RiVzE2dHExcTc3NTVodU5HREZDdGJXMWV1Kzk5MklqZmZ1U2w1ZW5DUk1tYU9QR2pUcjU1Sk1sU2UrKys2NTY5T2hSNzcxVU4xRkZrdExTMHFTNmlTNWR1M1p0Y1AzaDNvNDk5bGoxNk5GRHFudk1ZRmxabVFZTkdpVFZUYUE1a0IrVERRRGNSSGtFNEJyTHNuVEtLYWZFWG9mRFllM2N1Vk5idDI3VjFxMWJOV3pZTUVtUzErdlY5ZGRmcjBtVEpzbXlMSjEwMGttcXJxN1drMDgrcVMxYnRxaExseTcxanJ0cjF5NXQzTGhSbDExMm1aS1RrL1dYdi94RkYxOThzVmF1WEttMWE5ZHExS2hSRGJMc09UVzlwNkNkZHRwcDN6dkpaY1NJRWJJc0s1YmRHS09CQXdjZWNKK2ZJaHNBdUlueUNNQTFLMWV1MU1xVksxVllXS2dOR3phb3NMQlFBd2NPVkhsNXVaS1RrM1htbVdmR3R2M21tMi8wK3V1dmErREFnY3JLeXRMWlo1K3RwNTU2U3M4Ly83enV1T09PMkhaRlJVVmF1M2F0akRIcTE2K2Y3cnJyTG5YdDJsWGhjRmlUSmsxU1dscGFnNXQ4YTY5YkFPMjVUVTVTVXRMMzVyLzMzbnZWdVhQbmZhNnJyS3pVMVZkZlhXL1pUNVVOQU54RWVRVGdtc1dMRit0Zi8vcVgrdlRwbzVOT09ra2pSNDdVdG0zYjlOQkREK25TU3krdGQvcjJ5U2VmVkRnYzFxV1hYaXJWVFNyNXpXOStvN2x6NStyY2M4OVZuejU5cExwVDRYdU85NmMvL1VtV1pja1lvM3Z2dlZjYk5telFUVGZkcEJZdFdqVElrcGVYSjBuN0xZTjdhOWV1bmViTW1hTmdNS2hYWDMxVnRiVzFtamh4b2lUcG1XZWVVU1FTMFRubm5LTTVjK2JFcm9sc3JHd0FjS2hSSGdHNFp1VElrUm96Wm93OG5tL3ZHcloxNjFiZGRkZGRhdDI2dFM2NzdMTFlkbSsrK2FibXo1K3YwMDQ3VFRrNU9iSGwxMTEzblJZdlhxeWJiNzVaMDZaTlUxWldscnhlcjZaT25Sbzc1UndJQkhUdnZmZHF3WUlGT3ZYVVV6VjA2RkJWVmxicWhodHVVSWNPSFpTZW5xNmRPM2ZxdmZmZVU1OCtmZFM4ZWZNRFpnNEVBbnIvL2ZmMTczLy9XNTkrK3FseWNuSTBaTWdRUmFOUmVUd2U5ZXJWUzdObXpkSzBhZE4wL1BISDY5eHp6OVVwcDV5aXBLU2tRNTROQUJvRDVSR0FhNzQ3ZTNqVnFsVUtCQUo2NUpGSDZrMVVXYng0c2JLeXNqUnUzTGg2MjNmczJGRzMzbnFybm52dXVYclhBKzU5cmVKOTk5Mm5CUXNXNktTVFR0Sjk5OTBueTdMVXJGa3piZCsrWFhsNWViSnRXejZmVDMzNjlOSGRkOS85dlptM2JkdW1KNTU0UWdNSER0VFlzV05qRTJiMkdEUm9rQVlOR3FTdnYvNWFNMmZPMURQUFBLT2NuQnkxYmR2MmtHY0RBQUQ0eVdVZjArL2s3RjU5dC8zOEZ5ZWFwY3MvTmZGbXk1WXREWllGZzBGVFdGaTQzMzNLeXNvT3VPN2xsMTgydG0zdmM3MXQyL3RkZDZqRmM3YjlXYnI4VTNQOGliODIyYjM2N2M0K3B0L0pidjk5QnRENEdIa0VFRmYyZFYyZjMrOVhkbmIyZnZmWjEzV0NlNi9iTTJ0N1gvYWNNbmREUEdjRGdQM2htd2tBQUFDT1VSNEJBQURnR09VUkFBQUFqbEVlQVFBQTRCamxFUUFBQUk1UkhnRUFBT0FZNVJFQUFBQ09VUjRCQUFEZ0dPVVJBQUFBamxFZUFRQUE0QmpsRVVnMGRxak1raFd5N2FpcXFxdmRUb1BEVEdWbHBjS1JzQ3lqaU94UW1kdDVBRFEreWlPUVlLckQrc1lZVXhzSmg3Vno1eTYzNCtBd1U3cGpwd0tCb0l3VXFnN3JHN2Z6QUdoOGxFY2d3WlFXNVpkSXFnNkZ3MXFULzVVQ2dhRGJrWENZQ0laQytuSk52b0xCb0NRVHFQdTdCQ0RCVUI2QnhCT1ZNYzhhSTN2ZWdvVmE4dkZTQlVNaHR6TWhqaGxqVkZaZXJ2Y1hmNmk1OHhiSUdOa3k1bkZKVWJlekFXaDhsdHNCQUxpZ1I0L2tJM3pwYzJSWnYyMlptYWxCSnc1UVR0K2ZxMVhMVENYN2s5MU9oemhTVmw2dVRZVkZXcnR1blhKWDVxbW1wa2JHbUFWRmtlcHpWVkRBc0RXUWdDaVBRSUpxbTkwN0t6MGw2VVZKdjdZc3krUHorZVN4TE1uaWF3SC9aVXhVa1lndFk0eU1NVkZKaTRMQjBKKzNGYTdkN0hZMkFPN2dYd2tnZ2JWcDA3TlpXcHVVR3p5eXpwQ1VibGttelJncnllMWM3akt5TEhrbGZYdDZOc0cvSmkxTFlTTlZ5NmpHS0xxNFptZGtZbWxwZnBYYnVRQzRKN0cvRlFGSWtqcDI3SittMUdCcmowOHRmYlluemUwOGJrcEo5dlJNVHRJb1MxWlNJR3dlRFFTajY5ek81S2F3eDY0MXRyWExyaXJkdFgzN2R1N3RCRUErdHdNQWNGOXhjVzZOcEJwSlc5ek80cmFjbkp4a3k3SzZHR05TVXYxVzBWZHI4cGE1blFrQTRnbXpyUUVBQU9BWTVSRUFBQUNPVVI0QkFBRGdHT1VSQUFBQWpsRWVBUUFBNEJqbEVRQUFBSTVSSGdFQUFPQVk1UkVBQUFDT1VSNEJBQURnR09VUkFBQUFqbEVlQVFBQTRCamxFUUFBQUk1UkhnRUFBT0FZNVJFQUFBQ09VUjRCQUFEZ0dPVVJBQUFBamxFZUFRQUE0QmpsRVFBQUFJNVJIZ0VBQU9BWTVSRUFBQUNPVVI0QkFBRGdHT1VSQUFBQWpsRWVBUUFBNEJqbEVRQUFBSTVSSGdFQUFPQVk1UkVBQUFDT1VSNEJBQURnR09VUkFBQUFqbEVlQVFBQTRCamxFUUFBQUk1UkhnRUFBT0FZNVJFQUFBQ09XVzRIQUFDMzlPM2I5d3l2MTd2Z1lQYUpScU5ucjFxMWF0NmhTd1VBOFkyUlJ3QUpxN3E2ZXJFeFp2TkI3TEtscXFwcTBTR01CQUJ4ai9JSUlHRVZGQlFFalRHdmZ0OTJ4cGc5Zjc1ZVVGQVFiSXhzQUJDdktJOEFFcHB0MnpPTU1VRmpUS3drN20ydjRoZzB4c3h5SVNJQXhCWEtJNENFRmc2SGl5M0xXbTFaKzc4RTNMSXNXWmExT2hxTkhzd3BiZ0Jva2lpUEFCSmFlbnA2aGFSbGUxN3ZQZnI0blpISVpUVTFOYVdOSEE4QTRnN2xFVUJDeTgzTkRSdGpsa3VxUE1CbXRjYVk1Vnp2Q0FDVVJ3Q1FiZHNySk1WR0ZiOTcvYU14cHJKdUd3QkllSlJIQUFrdkx5OXZ2VEZtelFFMldadVhsN2UrRVNNQlFOeWlQQUtBWkl3eE0vYzFhYVp1MlhSSkRhZGlBMEFDb2p3Q2dLU3FxcW8zalRHN3Y3dmNHRk5takpualRpb0FpRCtVUndENDlvYmhGWkplMzN2MHNlN250MWF0V2xYbVpqWUFpQ2VVUndDb1k0eVpMaW1pL3hiSGlKTW4wQUJBSXFFOEFrQ2RhRFNhTDJuam50RkhZOHdtMjdhL2REc1hBTVFUeWlNQTFLbW9xS2lRdEhTdlJjdHMyeTV4TVJJQXhCM0tJd0RVS1NvcUN0aTJuU3NwWUl3SlI2UFJ6L0x6ODZ2Y3pnVUE4Y1RuZGdBQWlDY2VqMmVKcEJMTHN0SWtmZVIySGdBQUFNUTNLeWNuNTZPY25KelZrcnh1aHdHQWVOUHdqcmdBRWsvbnpxbmR2TTB5dzhtK0ZuN2pUWEU3anRzeWtuV1JaWm1VeW9EMVQ3ZXp1TTZ5QXlZWUtRK0h5OHVMaTR0cjNJNER3SDJVUnlDQmRlellQODJmRWJwYUhzL3BsdFRNeU1xUVRMTGJ1ZHptc2VRekppb2pUOFR0TE82elFwWk1wWkVxSlgwUXF2QTlWbHljUzRrRUVoamxFVWhRclhyMGFONDhLZjBGR2V0M2xzWHBXWHcvWTB4VWx1YUc3TnFyaXRldjMrRjJIZ0R1b0R3Q2lhaDNiMzkyMVArOFpXbVkxK3RWNzE0OTlmT2Y5VmFQN2tlcVZjdVdicWRESENrckw5ZjZEUVZhczNhZHZseVRMOXUyRlRWbXp1Wkk5Y1VxS0FpNm5ROUE0Mk8yTlpDQXVobi9WWktHSlB2OUdqTjZwSDUvOXBuS2F0OWVleithRDlqREdLT1MwaDE2YStFN2V1Q2h5UW9HUStkMjg2U1AzaXc5N0hZMkFJMlBVMVZBZ3NuT3prN3grSktmdGl3cjY3ZURUOWVZMFNQVnVsVXJpaVAyeTdJc1phU242K2lqZW1oallhRUtObTd5V0I3cm1NeU1sQ2xsWldWY0Z3b2tHRzRTRGlTWWtEZWpyU3dyeGV2MXFsL2YvMUd6akF5M0krRXdrWmFhcW1QNzlWV1N6eWRqbEJUMk5XL2pkaVlBalkveUNDU1lKTCtucldSU2t2MStkV2pmM3UwNE9NeDB5R3F2MU5SVVdWSlNraFdoUEFJSmlQSUlKQmpMZUpvYktjbnI4NnBGaXhadXg4RmhwbVZtcHZ4K3Y0d2xuN3orVExmekFHaDhsRWNBQUFBNFJua0VBQUNBWTVSSEFBQUFPRVo1QkFBQWdHT1VSd0FBQURoR2VRUUFBSUJqbEVjQUFBQTRSbmtFQUFDQVk1UkhBQUFBT0VaNUJBQUFnR09VUndBQUFEaEdlUVFBQUlCamxFY0FDU2NRQ0dqNzl1MnFxYWx4T3dvQUhIWjhiZ2NBZ0ovU1UwODlwWk5QUGxtOWV2WGE3emIzM0hPUEZpNWNxSHZ2dlZkbm5YWFdBWSszWmNzV0ZSVVYvZUE4UC92Wno5U3FWYXNmdkQ4QXhCdktJNEFtbzZLaVFvc1dMZEwwNmROMXp6MzM2TFRUVG11d3phZWZmcXFGQ3hlcVdiTm1ldXl4eDNUaWlTZXFlZlBtK3ozbTIyKy9yYWVlZXVvSFozcjAwVWMxYU5DZ0g3dy9BTVFieWlPQUpxTjU4K1o2N3Jubk5IcjBhSTBiTjA3YnRtM1RpQkVqWXV1M2J0MnFXMis5VlgzNjlOSDk5OSt2U3k2NVJPUEdqZFBreVpPVmxKUzAzK01tSlNYcGd3OCtPS2dzVlZWVk92MzAwMy9VNXdHQWVNUTFqd0NhbE16TVREMzk5TlBLeWNsUkpCS0pMZi9tbTI5MDNYWFh5YklzUGZEQUErcllzYVB1di85K3JWaXhRcmZjY290Q29kQUJqNXVjbkh4US8vbjkva2I0dEFEUStCaDVCTkRrcEtlbmE4cVVLZkw1dnYyS3k4L1AxdzAzM0tCd09LeW5uMzVhV1ZsWmtxUVRUamhCOTkxM24rNjg4MDVkY2NVVit0Ly8vZC9ZdXIwWlkvVDIyMjhmVklaQUlQQVRmUm9BaUMrVVJ3Qk54dVRKazlXM2IxK2RmUExKOHZsOGlrUWlldkhGRi9YTU04K29UWnMyZXVxcHAzVGtrVWZXMitlTU04NVE4K2JOTlhic1dGMTQ0WVc2NXBwcmRNRUZGOGpyOWNhMmlVUWl1dTIyMjF6NFJBQVFmeWlQQUpxRW1wb2FyVnk1VWkrKytLSXV1dWdpL2VVdmY5RWRkOXloaFFzWGF1REFnU29wS2RFbGwxeXkzLzEvOFl0ZnFMaTRXQTgrK0tCYXRHaWh3WU1IeDlZbEpTVnAyYkpsQjVXbnRyWlc0OGFOWTZZMWdDYUg4Z2lnU1VoTFM5TXp6enlqZSs2NVJ5Ky8vTEkyYnR5b3NXUEg2dGhqajlVZi8vaEhMVm15Ukx0Mzc1WWtGUlFVNktXWFh0S2YvL3huZGVqUVFaTFVvMGNQSFhYVVVYcjMzWGZyRmNjZktqVTFWWk1uVC83Unh3R0FlRU41Qk5CaytQMStUWmd3UVZsWldlclVxWk9PUFBMSTJHbnF2VytYODhrbm4raWxsMTdTb0VHRDFMdDM3M3JIK0c1eHJLMnRWWEp5c2lRcEx5OVAxMXh6amVNOC8rLy8vVDlObkRqeFIzNHFBSWd2bEVjQVRZcGxXYnJ1dXV0aXIwdEtTdXJOdXBha25UdDNTcEoyN05paDR1TGlldXN5TWpMcTNmZXhwcVpHR1JrWmtxUk9uVHBwN05peGpyTjA3Tmp4QjM4T0FJaFhsRWNBVFU1K2ZuNXNSUEdxcTY3UzExOS92Yy90YnJqaGhnYkxoZzhmWG05NVZWV1YwdFBUSlVtdFc3ZldlZWVkZDhoeUE4RGhnUElJb0VuWnNXT0hMcm5rRW8wWU1VSmp4b3pSbzQ4KzJ1QWVqbDk4OFlVbVRacWtDUk1tTkpoOS9kMEpMa1ZGUldyZnZyMCsrT0FEbFplWC82Qk1wNTU2YW16MEVnQU9kNVJIQUUzS3FsV3JKQ24yYk9zampqaEM3Nzc3cmdvTEN6VjgrSENscEtURVRsdDM2OVpOUFh2MjFJWU5HL1R1dSs5cTVNaVI5WTRWalVhMWFkTW1EUnMyVE5PbVRkT0dEUnZxcmQ5ekw4ZVVsSlFEWnVyYnR5L2xFVUNUUVhrRTBLVHNLWS9ISG51c1ZIZmFlZEtrU1dyWnNxVXV2ZlRTZmU3eitlZWZhK3JVcWVyUW9ZTisvL3ZmeDVhdlc3ZE9nVUJBUFh2MjFPalJvK3Z0ODMvLzkzKzY3Nzc3OUtjLy9VblhYMys5VkRlNUpqYzNWeWVlZU9JaC9JUUE0QzRlVHdpZ1Njbk56VlYyZHJiYXRHa2pTWHIwMFVlMWE5Y3VqUjgvUHZiRW1lOGFPblNvVGpubEZEMzQ0SVBhc21WTGJQbkNoUXZsOC9uMHkxLytzdDcyNzczM25pWk9uS2h6emprblZod2xhZEdpUlJvelpveWVlZWFaUS9iNUFNQnRsRWNBVFVacGFhbldyMThmRzNWOC8vMzM5ZnJycjJ2WXNHSHEwNmRQYkR2YnRodnNlK3V0dDhycjllcTIyMjVUSkJKUk1CalVXMis5cFlFREI2cFpzMlpTM1dNS1o4K2VyWEhqeHVuTU04L1VIWGZjVWU4WXYvdmQ3M1RQUGZmb3VlZWUwLzMzMzY5b05IcklQek1BTkRaT1d3Tm9Najc2NkNOSjBuSEhIU2ZWbGNsZXZYcHAxS2hSa3FUNTgrZHIyN1p0V3JKa2lTU3BSWXNXc1gxYnQyNnRQLy81ejFxelpvMENnWUJlZmZWVmxaYVc2dnp6ejVmcUhsRTRmUGp3MkhXUEgzLzhzWDd6bTkvSXRtM1p0cTFvTkJyNzJSaWpPWFBtcUxhMlZuZmZmWGU5UngwQ3dPR084Z2lneVNncUtwSWs5ZS9mWDVJMFpNZ1FEUmt5SkxaKzllclZldlhWVjVXYW1xcGh3NGFwVTZkTzlmWWZQbng0N09lS2lnb2RmL3p4R2pod29DVEo1L1BwMTcvK3RicDM3NjQyYmRxb2VmUG1Ta3RMVTJwcXFwS1RrNVdVbENTLzN5K1B4eU92MTZ1aW9pSTkvUERENnR1M3J5NjQ0SUpHK2cwQUFBRDh4TEtQNlhkeWRxKysyMzcraXhQTjB1V2ZtcVptMTY1ZCsxMFhpVVJNS0JSeWRKeHdPR3krL3Zyckg1Vmw2ZEtsSmhLSi9LaGp4SnVseXo4MXg1LzRhNVBkcTkvdTdHUDZuZXoyMzJjQWpZK1JSd0JOU3N1V0xmZTd6dXYxT2o2RjdQUDVHb3hNSHF6dlRyUUJnS2FBQ1RNQUFBQndqUElJQUFBQXh5aVBBQUFBY0l6eUNBQUFBTWNvandBQUFIQ004Z2dBQUFESEtJOEFBQUJ3alBJSUFBQUF4eWlQQUFBQWNJenlDQUFBQU1jb2owQ2lzVU5sbHF5UWJVZFZWVjN0ZGhvY1ppb3JLeFdPaEdVWlJXU0h5dHpPQTZEeFVSNkJCRk1kMWpmR21OcElPS3lkTzNlNUhRZUhtZElkT3hVSUJHV2tVSFZZMzdpZEIwRGpvendDQ2FhMEtMOUVVblVvSE5hYS9LOFVDQVRkam9URFJEQVUwcGRyOGhVTUJpV1pRTjNmSlFBSmh2SUlKSjZvakhuV0dObnpGaXpVa28rWEtoZ0t1WjBKY2N3WW83THljcjIvK0VQTm5iZEF4c2lXTVk5TGlycWREVURqczl3T0FNQUZQWG9rSCtGTG55UEwrbTNMekV3Tk9uR0FjdnIrWEsxYVppclpuK3gyT3NTUnN2SnliU29zMHRwMTY1UzdNazgxTlRVeXhpd29pbFNmcTRJQ2hxMkJCRVI1QkJKVTIremVXZWtwU1M5SytyVmxXUjZmenllUFpVa1dYd3Y0TDJPaWlrUnNHV05raklsS1doUU1odjY4clhEdFpyZXpBWEFILzBvQUNheE5tNTdOMHRxazNPQ1JkWWFrZE1zeWFjWllTVzduY3BlUlpja3I2ZHZUc3duK05XbFpDaHVwV2tZMVJ0SEZOVHNqRTB0TDg2dmN6Z1hBUFluOXJRaEFrdFN4WS84MHBRWmJlM3hxNmJNOWFXN25jVk5Lc3FkbmNwSkdXYktTQW1IemFDQVlYZWQySmplRlBYYXRzYTFkZGxYcHJ1M2J0M052SndEeXVSMEFnUHVLaTNOckpOVkkydUoyRnJmbDVPUWtXNWJWeFJpVGt1cTNpcjVhazdmTTdVd0FFRStZYlEwQUFBREhLSThBQUFCd2pQSUlBQUFBeHlpUEFBQUFjSXp5Q0FBQUFNY29qd0FBQUhDTThnZ0FBQURIS0k4QUFBQndqUElJQUFBQXh5aVBBQUFBY0l6eUNBQUFBTWNvandBQUFIQ004Z2dBQUFESEtJOEFBQUJ3alBJSUFBQUF4eWlQQUFBQWNJenlDQUFBQU1jb2p3QUFBSENNOGdnQUFBREhLSThBQUFCd2pQSUlBQUFBeHlpUEFBQUFjSXp5Q0FBQUFNY29qd0FBQUhDTThnZ0FBQURIS0k4QUFBQndqUElJQUFBQXh5aVBBQUFBY0l6eUNBQUFBTWNvandBQUFIQ004Z2dBQUFESEtJOEFBQUJ3ekhJN0FBQzRwVy9mdm1kNHZkNEZCN05QTkJvOWU5V3FWZk1PWFNvQWlHK01QQUpJV05YVjFZdU5NWnNQWXBjdFZWVlZpdzVoSkFDSWU1UkhBQW1yb0tBZ2FJeDU5ZnUyTThicytmUDFnb0tDWUdOa0E0QjRSWGtFa05CczI1NWhqQWthWTJJbGNXOTdGY2VnTVdhV0N4RUJJSzVRSGdFa3RIQTRYR3haMW1yTDJ2OGw0SlpseWJLczFkRm85R0JPY1FOQWswUjVCSkRRMHRQVEt5UXQyL042NzlISDc0eEVMcXVwcVNsdDVIZ0FFSGNvandBU1dtNXVidGdZczF4UzVRRTJxelhHTE9kNlJ3Q2dQQUtBYk50ZUlTazJxdmpkNngrTk1aVjEyd0JBd3FNOEFraDRlWGw1NjQweGF3Nnd5ZHE4dkx6MWpSZ0pBT0lXNVJFQUpHT01tYm12U1ROMXk2WkxhamdWR3dBU0VPVVJBQ1JWVlZXOWFZelovZDNseHBneVk4d2NkMUlCUVB5aFBBTEF0emNNcjVEMCt0NmpqM1UvdjdWcTFhb3lON01CUUR5aFBBSkFIV1BNZEVrUi9iYzRScHc4Z1FZQUVnbmxFUURxUktQUmZFa2I5NHcrR21NMjJiYjlwZHU1QUNDZVVCNEJvRTVGUlVXRnBLVjdMVnBtMjNhSmk1RUFJTzVRSGdHZ1RsRlJVY0MyN1Z4SkFXTk1PQnFOZnBhZm4xL2xkaTRBaUNjK3R3TUFRRHp4ZUR4TEpKVllscFVtNlNPMzh3QUFBQ0MrV1RrNU9SL2w1T1NzbHVSMU93d0F4SnVHZDhRRmtIZzZkMDd0NW0yV0dVNzJ0ZkFiYjRyYmNkeVdrYXlMTE11a1ZBYXNmN3FkeFhXV0hUREJTSGs0WEY1ZVhGeGM0M1ljQU82alBBSUpyR1BIL21uK2pORFY4bmhPdDZSbVJsYUdaSkxkenVVMmp5V2ZNVkVaZVNKdVozR2ZGYkprS28xVUtlbURVSVh2c2VMaVhFb2trTUFvajBDQ2F0V2pSL1BtU2VrdnlGaS9zeXhPeitMN0dXT2lzalEzWk5kZVZieCsvUTYzOHdCd0IrVVJTRVM5ZS91em8vN25MVXZEdkY2dmV2ZnFxWi8vckxkNmREOVNyVnEyZERzZDRraFplYm5XYnlqUW1yWHI5T1dhZk5tMnJhZ3hjelpIcWk5V1FVSFE3WHdBR2grenJZRUUxTTM0cjVJMEpObnYxNWpSSS9YN3M4OVVWdnYyMnZ2UmZNQWV4aGlWbE83UVd3dmYwUU1QVFZZd0dEcTNteWQ5OUdicFliZXpBV2g4bktvQ0VreDJkbmFLeDVmOHRHVlpXYjhkZkxyR2pCNnAxcTFhVVJ5eFg1WmxLU005WFVjZjFVTWJDd3RWc0hHVHgvSll4MlJtcEV3cEt5dmp1bEFnd1hDVGNDREJoTHdaYldWWktWNnZWLzM2L28rYVpXUzRIUW1IaWJUVVZCM2JyNitTZkQ0Wm82U3dyM2tidHpNQmFIeVVSeURCSlBrOWJTV1RrdXozcTBQNzltN0h3V0dtUTFaN3BhYW15cEtTa3F3STVSRklRSlJISU1GWXh0UGNTRWxlbjFjdFdyUndPdzRPTXkwek0rWDMrMlVzK2VUMVo3cWRCMERqb3p3Q0FBREFNY29qQUFBQUhLTThBZ0FBd0RIS0l3QUFBQnlqUEFJQUFNQXh5aU1BQUFBY296d0NBQURBTWNvakFBQUFIS004QWdBQXdESEtJd0FBQUJ5alBBSUFBTUF4eWlNQUFBQWNvendDYUhLKy9QSkxQZm5ra3dmYzVyUFBQbE5aV2RsQkhUY1NpYWltcGtiR21BYnJnc0dnQW9IQVFXY0ZnTU1ONVJGQWs1T2ZuNjkvL3ZPZisxMWZVbEtpVWFORzZaNTc3am1vNDc3Nzdyc2FOR2lRdnY3NjZ3YnJicjMxVmwxMDBVVS9LQzhBSEU0b2p3QVNUcnQyN1RSOCtIQjkrT0dIZXZ2dHQ5Mk9Bd0NIRlovYkFRREFEVmRkZFpXV0xGa2lyOWU3ei9XdnZQS0szbm5ublhyTDlwem12dlhXVytYMysrdXRLeXdzVkRBWTFPV1hYOTdnV0k4OTlwZ3lNakorMHZ3QTRCYktJNENFTUhEZ3dBYkxqREc2NjY2N2ROZGRkOFdXK1h3K2ZmREJCK3JjdWJQNjlldFhiL3ZDd2tKdDNyeFp2WHIxVXJObXplcXQyN1ZybDhyTHl4dnNzK2VZQU5CVThJMEdvRW13YlZ1Ly9PVXZwYnBTS0VuSEgzKzhKT21tbTI3U0JSZGM0T2c0SHMrM1YvTU1HalJJZ3dZTnFyZnU3YmZmMW9jZmZxZ1JJMGFvUzVjdTlkWVZGUldwcUtoSTExOS8vVS95ZVFBZ1hsRWVBVFFKSG85SEV5Wk1rQ1F0VzdaTWMrZk9qYjN1MWF1WHVuYnQrcVBmSXprNVdjOC8vN3c2ZGVvVVc3Wno1MDVWVlZYcHhCTlBWTy9ldlgvMGV3QkF2S004QW1nU0xNdlNHV2VjSWRWZG16aDM3dHpZYTBtS1JxTzYrdXFyMWE5ZlA0MGFOYXJldnVYbDVSb3laSWhHakJpaGl5KytlSi9IMzc1OXU4YVBINjlmL09JWGV1U1JSMkxMbjMzMldjMmRPMWNmZi94eHZlMVhybHlwMU5SVUhYUE1NVC94SndVQWR6SGJHa0JDOEhnOENvZkQrdXl6enhxc3k4dkwwNDRkTzVTU2tyTGYvUjk0NEFFbEpTWHB0dHR1Kzk3Myt1Q0REelJxMUNqZGZ2dnRzbTM3UjJjSGdIaENlUVRRWklWQ0lYM3h4UmVhTjIrZUpPbTQ0NDVUZm42K2dzRmd2ZTN5OHZJa1NTZWNjTUkranpOejVreDkrT0dIdXU2NjY5U21UWnNEdnVmTW1UTTFkdXhZZGVuU1JVOCsrZVIrWjNNRHdPR0swOVlBbW9SSUpLSjE2OVpwL2ZyMVdyeDRzVlEzNlNVU2llaUlJNDdRYjMvN1cvWHQyMWZUcGszVDZ0V3IxYjkvLzlpK0sxZXVWRlpXbGpwMzd0emd1Sjk5OXBuKy92ZS9TOUlCcjVzc0t5dlQzWGZmclNWTGxtamd3SUdhT0hHaTB0UFREOGxuQlFBM1VSNEJOQWxsWldVYU1XS0VKTVZPUDk5NDQ0M3ExNitmdW5mdkxrbnEwNmVQSk9tTEw3NklsY2RRS0tUVnExZnJyTFBPYW5ETXI3NzZTamZlZUtPYU4yK3VYYnQyN2ZlOXcrR3doZ3dab3NyS1N0MXd3dzI2NktLTFlyTzJBYUNwNGRzTlFKUFFwazBiUGZEQUE1bzNiMTdzZGpsRGhnelIwVWNmSFR0MW5KbVpxYXlzTEsxWnN5YTIzK3JWcXhVT2h6Vmd3SUI2eC92ODg4OTE5ZFZYcTB1WExoby9mdncrMzNQZHVuVmF1WEtsYk50V1ZsYVdYbm5sRlEwZlBwemlDS0JKWStRUlFKTngybW1uZmU4Mnh4eHpqUEx6ODJPdmx5MWJKcC9QMTZBOHJscTFTdTNhdGRNVFR6eWhnb0tDZXV2V3IxK3ZhZE9tYWVIQ2hWTGRTT2UwYWRNYVhOKzRaY3NXcGFhbWZ1OTFrZ0J3T09GL2p3RWtsS09QUGxvbEpTWGFzV09ISkduRmloWHExNjlmZzhjSERoczJURTg5OVpReU16Tmp5NHd4K3V0Zi82cGh3NGJwbzQ4KzBtV1hYUmE3SGRDK0pzYTg5ZFpiR2p4NHNMWnMyWExJUHhjQU5CWkdIZ0VrbEJOT09FSFJhRlErbjA4VkZSVmFzMmJOUHA4S2s1cWFxdFRVMUhyTExNdlM4Y2Nmcis3ZHUydjQ4T0ZxMGFLRkprMmF0Ti8zS2lrcGtURkdiZHUyUFNTZkJRRDNPQmxBQUFBZ0FFbEVRVlRjUUhrRTBPUWM2TjZLL2ZyMWl6MS8rdTIzMzFZMEdtM3dHTUlER1Rac1dMM1hYcTlYa1VoRXhoaFpsbFZ2M1lZTkc5U3BVNmNEM2o4U0FBNDNsRWNBVGNienp6OHZqOGVqTjk5OFU4MmFOWlBxWmxPZmNzb3ArOXcrRW9sSVVvT255aHgvL1BGNjlORkhIYjFuMTY1ZEZZbEVOR0hDQlBYdDJ6ZTJmTU9HRFZxOWVyWE9PKys4SC9HSkFDRCtVQjRCTkJsdnZQR0dpb3FLbEp5Y3JKRWpSMHAxVDViWmN3c2ZwL1orZHZYM09mdnNzL1hKSjU5by92ejUrdGUvL2hWYm5wS1NvbC85NmxjYVBYcjBRYjAzQU1RN3lpT0FKbVBtekptU0pKL1BGenVGN1BQNWRQWFZWLytvNHg1MzNISEt6YzNkNTdxMHREVEhvNVFBMEJSUUhnRTBHVWxKU1c1SEFJQW1qMXYxQUFBQXdESEtJd0FBQUJ5alBBSUFBTUF4eWlNQUFBQWNvendDQUFEQU1jb2pBQUFBSEtNOEFnQUF3REhLSXdBQUFCeWpQQUlBQU1BeHlpTUFBQUFjb3p3Q2ljWU9sVm15UXJZZFZWVjF0ZHRwY0ppcHJLeFVPQktXWlJTUkhTcHpPdytBeGtkNUJCSk1kVmpmR0dOcUkrR3dkdTdjNVhZY0hHWktkK3hVSUJDVWtVTFZZWDNqZGg0QWpZL3lDQ1NZMHFMOEVrblZvWEJZYS9LL1VpQVFkRHNTRGhQQlVFaGZyc2xYTUJpVVpBSjFmNWNBSkJqS0k1QjRvakxtV1dOa3oxdXdVRXMrWHFwZ0tPUjJKc1F4WTR6S3lzdjEvdUlQTlhmZUFoa2pXOFk4TGlucWRqWUFqYzl5T3dBQUYvVG9rWHlFTDMyT0xPdTNMVE16TmVqRUFjcnArM08xYXBtcFpIK3kyK2tRUjhyS3k3V3BzRWhyMTYxVDdzbzgxZFRVeUJpem9DaFNmYTRLQ2hpMkJoSVE1UkZJVUcyemUyZWxweVM5S09uWGxtVjVmRDZmUEpZbFdYd3Q0TCtNaVNvU3NXV01rVEVtS21sUk1CajY4N2JDdFp2ZHpnYkFIZndyQVNTd05tMTZOa3RyazNLRFI5WVprdEl0eTZRWll5VzVuY3RkUnBZbHI2UnZUODhtK05la1pTbHNwR29aMVJoRkY5ZnNqRXdzTGMydmNqc1hBUGNrOXJjaUFFbFN4NDc5MDVRYWJPM3hxYVhQOXFTNW5jZE5LY21lbnNsSkdtWEpTZ3FFemFPQllIU2QyNW5jRlBiWXRjYTJkdGxWcGJ1MmI5L092WjBBeU9kMkFBRHVLeTdPclpGVUkybUwyMW5jbHBPVGsyeFpWaGRqVEVxcTN5cjZhazNlTXJjekFVQThZYlkxQUFBQUhLTThBZ0FBd0RIS0l3QUFBQnlqUEFJQUFNQXh5aU1BQUFBY296d0NBQURBTWNvakFBQUFIS004QWdBQXdESEtJd0FBQUJ5alBBSUFBTUF4eWlNQUFBQWNvendDQUFEQU1jb2pBQUFBSEtNOEFnQUF3REhLSXdBQUFCeWpQQUlBQU1BeHlpTUFBQUFjb3p3Q0FBREFNY29qQUFBQUhLTThBZ0FBd0RIS0l3QUFBQnlqUEFJQUFNQXh5aU1BQUFBY296d0NBQURBTWNvakFBQUFIS004QWdBQXdESEtJd0FBQUJ5alBBSUFBTUF4eWlNQUFBQWNvendDQUFEQU1jb2pBQUFBSEtNOEFnQUF3REhMN1FBQTRKYStmZnVlNGZWNkZ4ek1QdEZvOU94VnExYk5PM1NwQUNDK01mSUlJR0ZWVjFjdk5zWnNQb2hkdGxSVlZTMDZoSkVBSU81UkhnRWtySUtDZ3FBeDV0WHYyODRZcytmUDF3c0tDb0tOa1EwQTRoWGxFVUJDczIxN2hqRW1hSXlKbGNTOTdWVWNnOGFZV1M1RUJJQzRRbmtFa05EQzRYQ3haVm1yTFd2L2w0QmJsaVhMc2xaSG85R0RPY1VOQUUwUzVSRkFRa3RQVDYrUXRHelA2NzFISDc4ekVybXNwcWFtdEpIakFVRGNvVHdDU0dpNXVibGhZOHh5U1pVSDJLeldHTE9jNngwQmdQSUlBTEp0ZTRXazJLamlkNjkvTk1aVTFtMERBQW1QOGdnZzRlWGw1YTAzeHF3NXdDWnI4L0x5MWpkaUpBQ0lXNVJIQUpDTU1XYm12aWJOMUMyYkxxbmhWR3dBU0VDVVJ3Q1FWRlZWOWFZeFp2ZDNseHRqeW93eGM5eEpCUUR4aC9JSUFOL2VNTHhDMHV0N2p6N1cvZnpXcWxXcnl0ek1CZ0R4aFBJSUFIV01NZE1sUmZUZjRoaHg4Z1FhQUVna2xFY0FxQk9OUnZNbGJkd3orbWlNMldUYjlwZHU1d0tBZUVKNUJJQTZGUlVWRlpLVzdyVm9tVzNiSlM1R0FvQzRRM2tFZ0RwRlJVVUIyN1p6SlFXTU1lRm9OUHBaZm41K2xkdTVBQ0NlK053T0FBRHh4T1B4TEpGVVlsbFdtcVNQM000REFBQ0ErR2JsNU9SOGxKT1RzMXFTMSswd0FCQnZHdDRSRjBEaTZkdzV0WnUzV1dZNDJkZkNiN3dwYnNkeFcwYXlMcklzazFJWnNQN3BkaGJYV1hiQUJDUGw0WEI1ZVhGeGNZM2JjUUM0ai9JSUpMQ09IZnVuK1ROQ1Y4dmpPZDJTbWhsWkdaSkpkanVYMnp5V2ZNWkVaZVNKdUozRmZWYklrcWswVXFXa0QwSVZ2c2VLaTNNcGtVQUNvendDQ2FwVmp4N05teWVsdnlCai9jNnlPRDJMNzJlTWljclMzSkJkZTFYeCt2VTczTTREd0IyVVJ5QVI5ZTd0ejQ3Nm43Y3NEZk42dmVyZHE2ZCsvclBlNnRIOVNMVnEyZEx0ZElnalplWGxXcitoUUd2V3J0T1hhL0psMjdhaXhzelpIS20rV0FVRlFiZnpBV2g4ekxZR0VsQTM0NzlLMHBCa3YxOWpSby9VNzg4K1UxbnQyMnZ2Ui9NQmV4aGpWRks2UTI4dGZFY1BQRFJad1dEbzNHNmU5TkdicFlmZHpnYWc4WEdxQ2tndzJkblpLUjVmOHRPV1pXWDlkdkRwR2pONnBGcTNha1Z4eEg1WmxxV005SFFkZlZRUGJTd3NWTUhHVFI3TFl4MlRtWkV5cGF5c2pPdENnUVREVGNLQkJCUHlaclNWWmFWNHZWNzE2L3MvYXBhUjRYWWtIQ2JTVWxOMWJMKytTdkw1Wkl5U3dyN21iZHpPQktEeFVSNkJCSlBrOTdTVlRFcXkzNjhPN2R1N0hRZUhtUTVaN1pXYW1pcExTa3F5SXBSSElBRlJIb0VFWXhsUGN5TWxlWDFldFdqUnd1MDRPTXkwek15VTMrK1hzZVNUMTUvcGRoNEFqWS95Q0FBQUFNY29qd0FBQUhDTThnZ0FBQURIS0k4QUFBQndqUElJQUFBQXh5aVBBQUFBY0l6eUNBQUFBTWNvandBQUFIQ004Z2dBQUFESEtJOEFBQUJ3alBJSUFBQUF4eWlQQUFBQWNJenlDQURmWThxVUtYci8vZmYzdXo0U2llaWxsMTdTZ2dVTERsbUdsU3RYNnBOUFBqbGt4d2NBcDN4dUJ3Q0EvY25OemRVdHQ5eWk5UFIwelpvMVM4bkp5WTcyS3k0dWxtM2JQK2c5VTFKUzFMWnQyM3JMM24zM1hkbTJyVk5PT1dXZis4eWFOVXVQUFBLSU1qTXpkZUtKSnlvakkyT2ZtV2JQbnExUm8wYko1L09wc3JKU08zZnUzRytHckt5c2Vzdm16Sm1qN2R1MzYxZS8rdFVQK2x3QThGT2hQQUtJUzF1M2J0WE5OOThzU2ZyNjY2ODFlZkxrMk92dmMvbmxsMnYzN3QzeStRN3VLeTRTaVNnbkowZFRwa3h4dkU5WldabWVmZlpaWldkbmE4dVdMWHJxcWFkMDAwMDNOZGh1M2JwMW1qRmpodGF0VzZkSEhubEU4K2ZQMTRNUFByalBZeDU3N0xHYU9uV3EzbnJyTFZWV1ZtcklrQ0VIOVRrQTRGQ2lQQUtJT3dVRkJicisrdXNsU2RPbVRkUDgrZk0xZGVwVXBhV2xhZFNvVWJJczYzdVA4ZGUvL2xWRGh3NDlxUGQ5NktHSFZGQlFjRkQ3VEpnd1FkWFYxWm82ZGFyKy9lOS82K1dYWDlhdmZ2VXJEUnc0c041MnA1eHlpdTY5OTE2Tkh6OWUxMTU3clU0NjZTU2xwS1Rva1VjZXFiZmRpeSsrcUZBb0pFbjY5Tk5QVlZKU1Fua0VFRmNvandEaXl0S2xTelZ1M0RnbEp5ZnI2YWVmVnRldVhUVnk1RWhGSWhGTm16Wk5SVVZGK3R2Zi9xYTB0TFFESHVlZGQ5NVJVVkhSUWIzM3lwVXJsWm1aS1VuYXRtMmJkdXpZSVVrS0JvTXFMUzNWbDE5K0tVbnEzYnUzdkY2dlpzK2VyZmZmZjEralI0OVc5KzdkZGUyMTEyckZpaFc2L2ZiYjlmenp6eXM3Tzd2ZThRY1BIcXpLeWtwdDJyUkp5Y25KOHZsOE91R0VFeFFJQkZSVFU2TldyVnBwL3Z6NUtpNHVQc2pmR2dBMEhzb2pnTGhRVTFPanh4NTdUTE5uejliUlJ4K3RoeDkrV0IwN2RveXRIejE2dEZxMmJLbS8vLzN2R2pac21HNisrZVlHbzN0NzgvdjlTazFOUGFnTXFhbXBzWDFlZXVrbHZmTEtLN0YxVzdkdTFSdHZ2Q0ZKV3J4NHNWYXRXcVVISDN4UUF3WU0wS1dYWGlyVlhhdjQ4TU1QYThTSUVicnl5aXMxWmNvVTllalJvOTU3L1BHUGY1UWt2ZnJxcTdGbHMyYk4wblBQUGFjUFB2amdvUElDZ0Jzb2p3QmNaWXpSTysrOG84Y2VlMHpidG0zVGVlZWRwN0ZqeHlvbEphWEJ0aGRmZkxHT1BQSklqUjgvWHRkZmY3MU9QdmxrWFhYVlZUcm1tR01hYkh2U1NTZHB4NDRkK3ZycnJ4VU9oeFVPaHhVS2hSUU9oeFVNQmhVS2hSUUlCQlFNQmhVSUJGUmJXNnRJSktLTEw3NVlralJtekJoZGUrMjErczkvL3FPTEw3NVlJMGFNMEZWWFhTWFZUZVFaTjI2Y3VuWHJwdnZ2djcvZWFmUk9uVHBweXBRcHV2cnFxM1hGRlZmb3JydnUwZ2tubktDSEhucElvMGVQVnV2V3JRL3A3eE1BRGpYS0l3RFhMRjI2Vkk4Ly9yaldyVnVuOXUzYmE4Q0FBZXJhdGF0bXpacDF3UDNPT2VjY3ZmLysrMXE4ZUxFV0wxNnM0NDQ3VHZmZGQ1L2F0R2xUYjd2dTNic3JPVGxaZnIrLzNwL3o1ODlYTUJqVVRUZmRwSlNVRktXa3BDZzFOVlhwNmVsS1QwK1hKQ1VsSlNrcEtVbkxseStYSlBsOFBxV2xwV25GaWhXNjhjWWIxYlp0VzAyY09GR1daYW15c3JMZSsyWmxaZW14eHg3VGJiZmRwcHR2dmxrUFBmU1FQdmpnQTYxWXNVS1RKMDl1TUJvSkFJY1R5aU1BMXhRV0ZxcW9xRWhYWG5tbExydnNNcDE3N3JteDZ3cjNxS3FxVWxKU1VvUGI5Rng3N2JYcTI3ZXZubnp5U1lWQ29YMk82QTBlUERnMm9yaTN6ei8vWEdWbFplclpzMmU5NVI2UFIwbEpTZldXN2JtLzQzLys4eCs5OHNvcitzTWYvcUN6eno1YlE0Y08xWVVYWHJqZnp6Wmd3QUJObno1ZHk1Y3YxOGtubjZ3dVhicm9tbXV1MGVXWFg2Nm5uMzc2SUg1TEFCQmZLSThBWEROczJERDk1amUvVWJ0MjdTUnBuemZaN3QrL3Z5NjU1QktOR2pWcW44ZDQvUEhIRlE2SDY1MDZOc2JFWG84Yk4wN0xsaTJyZDl1ZVNDUWlZNHdHRHg1Y2IxblhybDAxZS9iczJMS1NraEp0MkxCQm5UcDFVbVZscFI1OTlGRjE3dHhaZDk1NXB5S1JpQjUvL1BIOWZyYVdMVnVxUllzV092MzAwNlc2VWRDcFU2ZHE2dFNwNnQ2OXUvTHk4Zzd5dHdVQThZSHlDTUExbG1YRml1T1A4ZDNSd3RyYTJub2psWC84NHg4MWR1elkyT3RKa3lhcHJLeE1FeWRPakMxNzlkVlg5ZHBycjlVN3pvd1pNelJnd0FCdDNyeFpQL3ZaejlTblR4L2RkOTk5ZXVPTk4xUlNVaEs3WWZma3laTlZWbGFtdSs2NlM2cWJuZjJQZi94RFBwOVBSeDExVk94NDNicDEwNFFKRXhya0R3YURCMzFQU2dCd0M5OVdBRnczZi81OGxaV1Y3WGY5bWpWcjlQTExMKzl6M1Vrbm5hUk9uVHJGWGh0alZGTlRVKzhwTDdObno5YnJyNzhlZTcxbjVISHYyZHA3Umg3MzJMbHpwK2JNbWFONzc3MVhUejMxbENUcGlpdXUwS21ubnFyYzNGeU5HalZLYytiTVVYWjJ0bEpTVXJSMDZkTFl2bmw1ZVpveFk0YU9QdnJvZXVWUmRVK2EyWHNXdVNSVlZGVHM4NmswQUJDUEtJOEFYUGZLSzY5bzA2Wk4rMTJmbTV1ckw3NzRZcC9yc3JPejY1WEgzYnQzeXhpalpzMmF4ZGJuNU9Uby9QUFBqMjN6M1pGQ1Nmcnd3dy9yUFR0Nit2VHB5c2pJMEtCQmcyTGwwZS8zcTJmUG5nb0VBdkw3L2Zyd3d3K1ZuWjJ0WTQ4OVZzODg4NHkyYmR1bURoMDZhTVdLRmZKNnZSbzBhRkM5cklXRmhSbzZkS2p1dnZ2dWVzdTNiTm5TWUxJUEFNUXJ5aU1BMTAyZlBsMmZmdnFwQ2dzTEd6eE5wWC8vL2hveFlrUzlheDYvK3VvcnpaczNUOWRjYzAyRG00V3ZYNzlla25URUVVZm9uLy84cDNKemN5VkppeFl0aW0yemJkczIyYmF0YTY2NXBrR1c0Y09IYTlxMGFiSXNTeGRmZkhHRFUrS3F1NTlqLy83OTlmSEhIMnZFaUJIcTNidTNKR25WcWxYcTBLR0RsaTVkcXY3OSs2dDU4K2IxOXN2TnpaVnQyK3JVcVpQV3JWc25yOWNyMjdiMXhSZGY2TFRUVHBQcUp1MTR2ZDRmOUhzRWdNWkFlUVFRRjk1Nzd6M05talZMLzUrOU93K1Bvc3JYQi82ZXF1N09Ea25ZeElGTGxMaXdUSkxxb0k0cmlsNVJFVVZIdVNOZXQ2dUlJb29qS1BlSHdvd2o3cWdvSTdnTm9pTHVHeGNGSFZBVUZGQ1ROQ0VKZ2hHQ0lsdEM2S3lrdC9yKy9raW56UVlVR0ZLQmZqL1A0NVB1MDZlcXY0V3A3amVucWs0NW5VNWNkdGxsZSszbjlYcHg5OTEzSXhRSzRacHJybWtSSG91S2lwQ2Ftb3B1M2JwaDI3WnRjRHFka1ZzZE5uajk5ZGRSWFYyTk1XUEdZTmV1WGZqNTU1OWhHQWJXclZ1SEo1NTRBcVpwNHM5Ly92TStSd01iUmh2cjZ1cVFrSkNBbmoxN1lzMmFOVGpsbEZPd2J0MDYvTC8vOS85YUxKT1RrNFBFeEVRTUhEZ1FtWm1aR0RseUpENzk5Rk5VVmxaaTI3WnRxSzZ1YmpJYVNrVFVFVEU4RWxHSE1ISGlSR3pidGcwUFB2Z2dFaElTSWxjcE4xWlhWNGM3Nzd3VFZWVlZtRE5uVHFzWDJ5eGF0QWlEQmcyS1BPL1VxUk1NdzJqUzU3UFBQb1BUNllSaEdQamdndy93N3J2djRwcHJyb25jVXhvQWV2WHF0Yzk2M1c0M0FvRkFKREFPSHo0Y1BYcjB3RmRmZlFWTjB6Qmt5SkFtL1UzVHhIZmZmWWVUVHo0NU1ySllYbDZPSjU5OEVqMTc5a1J4Y1RHdXV1b3FQUGpnZzhqSXlBRENWNHFMaU9WL1F5S2k5c0R3U0VRZGdxN3JtRFp0R202NjZhYTlYanp6MDA4L1lkdTJiWGpxcWFkdzdMSEh0bmo5dSsrK3c4YU5HM0hYWFhlMWVHM1NwRW1vcUtoQWJXMHR0bXpaQXAvUGgzUE9PUWRWVlZVUUVTeFlzR0MvZ2JHeEFRTUc0TWtubjBSbVppWUFZTXlZTVFDQU8rNjRBeWVkZEJKU1UxT2I5TS9MeThQdTNidHg2cW1uQWdES3lzcHcrKzIzdyt2MVl2YnMyVWhMUzhPa1NaTncwMDAzWWV6WXNianV1dXZnY3JraXl3ZUR3U2JURVJFUjJZWGhrWWhzVTFkWDErVCswUUJ3M25ubm9hYW1CaSsvL0hLa0xUOC9QL0w4ejMvK016d2VEendlVCtUMTlQUjBEQm8wQ0E4ODhBQ09PZVlZbkhMS0tTM2VhOWl3WVRCTkUvSHg4VTMrS3k4dnh4ZGZmSUdLaWdwNFBKN0luV1gyWnVQR2pjak56WTA4WDdod1llU3hhWnBZdlhvMUJnOGVISm4yeCtWeTRaSkxMc0hTcFVzQkFILzYwNSt3Y3VWSy9QM3ZmMGRGUlFXbVRac0d0OXNOQUpnOWV6WWVlK3d4ekp3NU0zSkhISy9YaTBBZ2dCVXJWbUR3NE1FSDllOU1STlNXR0I2SnlEWjFkWFY0NmFXWDl0a25OallXQlFVRktDZ28yR3VmaXk2NkNLZWRkaHA2OXV5SmNlUEdRZE8wRm4zT091dXNWcGZOemMzRm5EbHpJdTkxMDAwM3RicDhnNEtDZ24xT0RoNGJHNHZWcTFkSGJtdVltSmlJU3k2NUJGMjZkTUh4eHgrUHhNUkUzSGZmZlVoS1NzSVRUenlCZ1FNSFJwWjFPQnlZUEhreUJnMGFoQ0ZEaHVEUlJ4L0YrKysvRDRUbmlMeisrdXYzK3I1RVJPMkZ4MENJb2t6YWlWbG5ROGtiblpLU2pucCs1bFA0MDhtRExDeDFlQWdFQWsxR0RhdXFxaEFLaFpDY25MemZaVTNUM0dkb2JBdWhVQWk2cm1QanhvM28xYXRYazhQU2R0ZG0xYXB2djhjZEUvNFhwYnQyZVNHNHJPUUh6eks3YXlLaTlzV1JSeUk2WWpRLzNOd3cxNk1WN1JIT0dpNlVhZTE4elgzcEtNR1JpQWdBK0lsRVJFUkVSSll4UEJJUkVSR1JaUXlQUkVSRVJHUVp3eU1SRVJFUldjYndTRVJFUkVTV01Ud1NFUkVSa1dVTWowUkVSRVJrR2NNakVSRVJFVm5HOEVoRVJFUkVsakU4RWhFUkVaRmxESTlFMFNiazl5b29meWhrb3JxbXh1NXE2REJUVlZXRlFEQUFKUWdpNVBmYVhROFJ0VCtHUjZJb1V4UEFkaEhaRXd3RXNHdFh1ZDNsMEdHbXRHd1g2dXA4RU1CZkU4QjJ1K3Nob3ZiSDhFZ1VaVXBMaW5ZQ3FQRUhBaWdzK2dGMWRUNjdTNkxEaE0vdng5ckNJdmg4UGdCU0YvNWRJcUlvdy9CSUZIMU1pTHdrZ3RESGl6L0Q4cTlYd3VmMzIxMFRkV0FpQW05RkJiNVk5aFVXZkx3WUlnaEJaQ1lBMCs3YWlLajlLYnNMSUNJYnBLZkhIT05JZUE5S0RVdEpUc2FaWjV3S0l6TURxU25KaUhIRjJGMGRkU0RlaWdwczNGU0NkZXZYSXljdkg3VzF0UkNSeFNYQm1oRW9MdWF3TlZFVVluZ2tpbExkMHZvZmxSRHJmQlhBdVVvcHplRndRRk1LVVB4WW9OK0ltQWdHUXhBUmlJZ0pZSW5QNTc5NTI2WjFtKzJ1allqc3dXOEpvaWpXdGVzSlNmRmRZLytxUVEwRmtLQ1V4SXNvcDkxMTJVdWdGSFFBOVlkbm8veGpVaWtFQktpQm9GWmdMcXZkRlh5NHRMU28ydTY2aU1nKzBmMnBTRVFBZ0tPUHpvNUhuSytMNWtDS0k2VEYyMTJQbldKanRCTmluTGhOUVRuckFqS2p6bWV1dDdzbU93VzAwQjRKcWZKUWRXbjVqaDA3T0xjVEVjRmhkd0ZFWkwrdFczTnFBZFFDK01YdVd1eG1HRWFNVXFxM2lNVEd1VlRKRDRYNXEreXVpWWlvSStIVjFrUkVSRVJrR2NNakVSRVJFVm5HOEVoRVJFUkVsakU4RWhFUkVaRmxESTlFUkVSRVpCbkRJeEVSRVJGWnh2QklSRVJFUkpZeFBCSVJFUkdSWlF5UFJFUkVSR1Fad3lNUkVSRVJXY2J3U0VSRVJFU1dNVHdTRVJFUmtXVU1qMFJFUkVSa0djTWpFUkVSRVZuRzhFaEVSRVJFbGpFOEVoRVJFWkZsREk5RVJFUkVaQm5ESXhFUkVSRlp4dkJJUkVSRVJKWXhQQklSRVJHUlpReVBSRVJFUkdRWnd5TVJFUkVSV2Nid1NFUkVSRVNXTVR3U0VSRVJrV1VNajBSRVJFUmtHY01qRVJFUkVWbkc4RWhFUkVSRWxqRThFaEVSRVpGbERJOUVSRVJFWkJuREl4RVJFUkZaeHZCSVJFUkVSSll4UEJJUkVSR1JaY3J1QW9pSTdKS1ptVGxVMS9YRkI3S01hWm9YZXp5ZWp3OWRWVVJFSFJ0SEhva29hdFhVMUN3VGtjMEhzTWd2MWRYVlN3NWhTVVJFSFI3REl4RkZyZUxpWXArSXZMVy9maUxTOFBPRDR1SmlYM3ZVUmtUVVVURThFbEZVQzRWQzgwVEVKeUtSa05oWW8rRG9FNUczYlNpUmlLaERZWGdrb3FnV0NBUzJLcVVLbE5yN0tlQktLU2lsQ2t6VFBKQkQzRVJFUnlTR1J5S0thZ2tKQ1pVQVZqVThieno2Mkd3a2NsVnRiVzFwTzVkSFJOVGhNRHdTVVZUTHlja0ppTWhxQUZYNzZMWkhSRmJ6ZkVjaUlvWkhJaUtFUXFGdkFVUkdGWnVmL3lnaVZlRStSRVJSaitHUmlLSmVmbjcrQmhFcDNFZVhkZm41K1J2YXNTUWlvZzZMNFpHSUNCQVJlYk8xaTJiQ2JhOEJhSGtwTmhGUkZHSjRKQ0lDVUYxZHZWQkVkamR2RnhHdmlMeG5UMVZFUkIwUHd5TVJVZjJFNFpVQVBtZzgraGgrdk1qajhYanRySTJJcUNOaGVDUWlDaE9SMXdBRThWdHdERnE1QXcwUlVUUmhlQ1FpQ2pOTnN3akFUdzJqanlLeU1SUUtyYlc3TGlLaWpvVGhrWWdvckxLeXNoTEF5a1pOcTBLaDBFNGJTeUlpNm5BWUhvbUl3a3BLU3VwQ29WQU9nRG9SQ1ppbStYMVJVVkcxM1hVUkVYVWtEcnNMSUNMcVNEUk5XdzVncDFJcUhzQUt1K3NoSWlJaW9vNU5HWWF4d2pDTUFnQzYzY1VRRVhVMExXZkVKYUxvMDZ0WFhCODlLVGtRNCtqc0VqM1c3bkxzbGhpRFVVcEpiRldkbW1OM0xiWlRvVHJ4QlNzQ2dZcUtyVnUzMXRwZERoSFpqK0dSS0lvZGZYUjJ2Q3ZSUHdhYWRyNENrZ1FxRVpBWXUrdXltNmJnRURFaDBJSjIxMkkvNVZlUUtnR3FBSHpwcjNROHMzVnJEa01rVVJSamVDU0tVcW5wNlowNk9STmVnYWpoU3ZId0xPMmZpSmhRV09BUDdSbTlkY09HTXJ2cklTSjdNRHdTUmFQKy9WMXBwbXV1VXJoSzEzWDA3M2NDTWdiMFIzcmZZNUdha21KM2RkU0JlQ3Nxc09ISFloU3VXNCsxaFVVSWhVSXdSZDdiSEt5NUdzWEZQcnZySTZMMng2dXRpYUpRSDNHTkJqQXl4dVhDK0hHMzROS0xMOFJSUFhxZzhhMzVpQnFJQ0hhV2xtSFJaLy9HSTlPZmhzL25IOUZIU3hpM0dYakM3dHFJcVAzeFVCVlJsRWxMUzR2VkhESFBLNldPR25iQitSZy83aFowU1UxbGNLUzlVa29oTVNFQnh4K1hqcDgyYlVMeFR4czFwYWtUa3hOam4vTjZ2VHd2bENqS2NKSndvaWpqMXhPN1FhbFlYZGVSbFRrUVNZbUpkcGRFaDRuNHVEaTRzekxoZERnZ0FtZkEwYW1yM1RVUlVmdGplQ1NLTWs2WDFnMlEyQmlYQ3oxNzlMQzdIRHJNOUR5cUIrTGk0cUFBcDFNRkdSNkpvaERESTFHVVVhSjFFc0NwTzNSMDd0elo3bkxvTUpPU25BeVh5d1ZSY0VCM0pkdGREeEcxUDRaSElpSWlJcktNNFpHSWlJaUlMR040SkNJaUlpTExHQjZKaUlpSXlES0dSeUlpSWlLeWpPR1JpSWlJaUN4amVDUWlJaUlpeXhnZWlZaUlpTWd5aGtjaUlpSWlzb3poa1lpSWlJZ3NZM2drSWlJaUlzc1lIb21JaUlqSU1vWkhJanBpL2ZycnI2aXRyVzJ6OWZsOFBwU1ZsVUZFV3J3V0NvVlFXMXZiNm10RVJFY1Noa2NpT21KTm1EQUJmL25MWHc0NjBJa0lmRDVmNVBteVpjc3dkT2hRVkZkWHQrajcvZmZmNDh3eno4VG16WnQvVjgxRVJCMGR3eU1SSFpGeWMzUHg0NDgvNHNvcnI0UlM2cURXOGRoamorSEdHMjlFV1ZsWm05ZEhSSFM0Y3RoZEFCSFJvZkRjYzg4QkFHYlBuaDE1dkQrdnYvNDYwdExTSXM4dnVPQUNMRnEwQ05kZWV5MW16Wm9WYWZmNWZIanJyYmVhTEx0bHl4WUF3THZ2dm92azVPUW1yMTEvL2ZWd09QaHhTMFJIQm42YUVkRVI1NnV2dmtKT1RnNHV2L3h5bkhEQ0NmdnRYMWhZaUFVTEZyUVlvY3pNek1UczJiTngrKzIzTnprYzdmZjc4ZW1ubnpicHUyZlBIZ0RBaWhVcjRIUTZtN3oyMy8vOTN3eVBSSFRFNEtjWkVSMVJxcXVyOGVpamorTFlZNC9GcEVtVExJVzJ1TGc0TEZpd29OVysvZnIxdzhLRkM3RnUzVHE4K09LTEFJQ2twQ1M4ODg0N1RmcXRYcjBhWThlT3hZd1pNNXFNWGhJUkhXa1lIb25vaVBMNDQ0OWorL2J0R0Q5K1BEWnMyTERYZnYzNzk0ODhEb1ZDQU5CcWVOeTRjU09lZmZaWkxGdTJESEZ4Y1llb2FpS2l3d2ZESXhFZE1kNSsrMjBzWExnUXljbkplUHJwcC9mWk55Y25KL0k0RUFnQXpjTGpqaDA3OE05Ly9oT0xGaTFDWW1JaUpreVlnT1RrWkV5Wk1nVUE4TjEzMytHamp6Nks5Rys0cUdiR2pCbElURXlNdEk4WU1RS0RCZzFxdzYwa0lySVh3eU1SSFJFMmJkcUU2ZE9uSXpNekUwT0dETUZUVHoyRk45OThFeWtwS1UzNnpaOC9INis4OGtxVE5yL2ZEd0J3dVZ5Uk50TTA4Zm5ubitQeXl5L0gyTEZqa1p5YzNPUTh4MUFvaExLeU1pUWxKUUhoUTlsRGhnd0J3aGZVTkY0UEVkR1JoT0dSaUk0SWFXbHBHRDU4T0c2NzdUYjgrOS8vQmdDa3BLU2dhOWV1VGZyRng4ZTNXTFloUE1iRXhFVGFldmJzaVk4Ly9yakpsZFBkdTNmSDRNR0Q0WEE0RUJjWGg3VnIxMkw2OU9rNDlkUlREK0dXRVJGMUxBeVBSSFJFVUVwRkRpa2ZxRDE3OWtEVHRDWWpqei85OUJOKy92bm5GbjJIRHgrT1ZhdFdRVVNRbEpTRW1UTm5vcTZ1YnAvclArT01NMXBjZ1UxRWRMaGllQ1NpSTlhbGwxN2FvaTBZRExab3E2cXFhakVpdVdEQkFzeWJOMisvNzFGYVdvcUpFeWZ1czgvU3BVdGJ6UDFJUkhTNFluZ2tvaVBXWFhmZDFlVGlsYjNac1dNSHVuVHAwcVJ0L1BqeHVQMzIyMXZ0Lzhrbm4rQ2hoeDZDcG1rWU1HQUFacytlM2VSMUVjSDMzMytQazA0NkNkakxWZHhFUkljcmZxSVIwUkZyOE9EQkxjNTVEQVFDa2F1ckFXRHQyclZZdVhJbHpqbm5IQURBQng5OGdEUE9PQVBkdW5XRHBqVzlnMnQxZFRXZWZ2cHB2UC8rK3hnMWFoUXV1dWdpWEgvOTlYanZ2ZmZ3WC8vMVh4QVJmUDc1NTVnMWF4WktTa3J3MGtzdndUQ01kdHBhSXFMMndmQklSRkZseTVZdHVPS0tLNkRyT2pSTlF5QVFRRnhjSEc2NDRRWUVnMEU4K09DREdEbHlKTzY1NTU3SU1zRmdFQjkvL0RHZWZmWlpWRlpXNHNFSEg4UUZGMXdBQUJnN2Rpd2VmL3h4ZUwxZUxGKytIT3ZXcllOaEdCZ3paZ3orK01jLzJyaWxSRVNIQnNNakVVV1ZQbjM2NE5aYmI0WFA1ME13R0VTM2J0MXc3cm5ub2tlUEh0aTRjU05FSkhLSG1QTHljaXhhdEFqejU4L0g5dTNia1dvRDRKVUFBQ0FBU1VSQlZKeWNqQzVkdWtTQ0l3QmNlKzIxOEhxOWVPR0ZGNUNRa0lBWFhuZ0IyZG5aTm00aEVkR2h4ZkJJUkVlYzJOaFlBTUN1WGJ0YUhMYldOQTAzM1hSVHE4dXRYcjBhQ04rU2NNNmNPWGp1dWVjUUNvVnc2cW1uNHJISEhzUFNwVXVielBXNGJ0MDZMRisrSEVPSERrWFBuajN4MUZOUFljS0VDYmowMGt0eDBVVVhXYnF2TmhIUjRZYmhrWWlPT1AzNjlRTUEzSHZ2dmJqd3dndjNPMDJPaUdETGxpMzR2Ly83UC9UdTNSc0RCdzVFU2tvS3lzdkxjY1VWVjBSR0loY3VYSWphMmxvODlOQkQrT3FycjFCYVdvcVltQmljY3NvcEdEbHlKQVlQSG96bm4zOGU4K2ZQeDd4NTg5Q2xTeGU0M1c1TW16YU5GODBRMFJHRG4yWkVkTVE1L3Zqak1XblNKTHp5eWl1WVBYczJSR1MveXlRbUp1TGtrMC9HaEFrVG9KUkNyMTY5V2t6Qms1ZVhoOHJLU2l4ZHVoUm5uMzAyemo3N2JKeDg4c21SeWNWNzlPaUJxVk9uWXV6WXNmajY2Nit4ZlBseW5INzY2UXlPUkhSRTRTY2FFUjJSUm80Y2laRWpSN2JwT2lkT25JaWRPM2ZpL1BQUDMyY2c3TnExS3k2OTlOSlc1NWtrSWpyY01Ud1NFVmswYU5BZ3Uwc2dJcktkWnFFUEVSRVJFUkhBOEVoRVJFUkVCNExoa1lpSWlJZ3NZM2drSWlJaUlzc1lIb21JaUlqSU1vWkhJaUlpSXJLTTRaR0lpSWlJTEdONEpDSWlJaUxMR0I2SmlJaUl5REtHUnlJaUlpS3lqT0dSS05xRS9GNEY1UStGVEZUWDFOaGREUjFtcXFxcUVBZ0dvQVJCaFB4ZXUrc2hvdmJIOEVnVVpXb0MyQzRpZTRLQkFIYnRLcmU3SERyTWxKYnRRbDJkRHdMNGF3TFlibmM5Uk5UK0dCNkpva3hwU2RGT0FEWCtRQUNGUlQrZ3JzNW5kMGwwbVBENS9WaGJXQVNmendkQTZzSy9TMFFVWlJnZWlhS1BDWkdYUkJENmVQRm5XUDcxU3ZqOGZydHJvZzVNUk9DdHFNQVh5NzdDZ284WFF3UWhpTXdFWU5wZEd4RzFQMlYzQVVSa2cvVDBtR01jQ2U5QnFXRXB5Y2s0ODR4VFlXUm1JRFVsR1RHdUdMdXJvdzdFVzFHQmpadEtzRzc5ZXVUazVhTzJ0aFlpc3Jna1dETUN4Y1VjdGlhS1FneVBSRkdxVzFyL294SmluYThDT0ZjcHBUa2NEbWhLQVlvZkMvUWJFUlBCWUFnaUFoRXhBU3p4K2Z3M2I5dTBiclBkdFJHUlBmZ3RRUlRGdW5ZOUlTbSthK3hmTmFpaEFCS1VrbmdSNWJTN0xuc0psSUlPb1A3d2JKUi9UQ3FGZ0FBMUVOUUt6R1cxdTRJUGw1WVdWZHRkRnhIWko3by9GWWtJQUhEMDBkbnhpUE4xMFJ4SWNZUzBlTHZyc1ZOc2pIWkNqQk8zS1NoblhVQm0xUG5NOVhiWFpLZUFGdG9qSVZVZXFpNHQzN0ZqQitkMklpSTQ3QzZBaU95M2RXdE9MWUJhQUwvWVhZdmRETU9JVVVyMUZwSFlPSmNxK2FFd2Y1WGROUkVSZFNTODJwcUlpSWlJTEdONEpDSWlJaUxMR0I2SmlJaUl5REtHUnlJaUlpS3lqT0dSaUlpSWlDeGplQ1FpSWlJaXl4Z2VpWWlJaU1neWhrY2lJaUlpc296aGtZaUlpSWdzWTNna0lpSWlJc3NZSG9tSWlJaklNb1pISWlJaUlyS000WkdJaUlpSUxHTjRKQ0lpSWlMTEdCNkppSWlJeURLR1J5SWlJaUt5ak9HUmlJaUlpQ3hqZUNRaUlpSWl5eGdlaVlpSWlNZ3loa2NpSWlJaXNvemhrWWlJaUlnc1kzZ2tJaUlpSXNzWUhvbUlpSWpJTW9aSElpSWlJcktNNFpHSWlJaUlMR040SkNJaUlpTExHQjZKaUlpSXlES0dSeUlpSWlLeWpPR1JpSWlJaUN4amVDUWlJaUlpeXhnZWlZaUlpTWd5aGtjaUlpSWlza3paWFFBUmtWMHlNek9INnJxKytFQ1dNVTN6WW8vSDgvR2hxNHFJcUdQanlDTVJSYTJhbXBwbElyTDVBQmI1cGJxNmVza2hMSW1JcU1OamVDU2lxRlZjWE93VGtiZjIxMDlFR241K1VGeGM3R3VQMm9pSU9pcUdSeUtLYXFGUWFKNkkrRVFrRWhJYmF4UWNmU0x5dGcwbEVoRjFLQXlQUkJUVkFvSEFWcVZVZ1ZKN1B3VmNLUVdsVklGcG1nZHlpSnVJNklqRThFaEVVUzBoSWFFU3dLcUc1NDFISDV1TlJLNnFyYTB0YmVmeWlJZzZISVpISW9wcU9UazVBUkZaRGFCcUg5MzJpTWhxbnU5SVJNVHdTRVNFVUNqMExZRElxR0x6OHg5RnBDcmNoNGdvNmpFOEVsSFV5OC9QM3lBaWhmdm9zaTQvUDM5RE81WkVSTlJoTVR3U0VRRWlJbSsyZHRGTXVPMDFBQzB2eFNZaWlrSU1qMFJFQUtxcnF4ZUt5TzdtN1NMaUZaSDM3S21LaUtqallYZ2tJcXFmTUx3U3dBZU5SeC9EanhkNVBCNnZuYlVSRVhVa0RJOUVSR0VpOGhxQUlINExqa0VyZDZBaElvb21ESTlFUkdHbWFSWUIrS2xoOUZGRU5vWkNvYlYyMTBWRTFKRXdQQklSaFZWV1ZsWUNXTm1vYVZVb0ZOcHBZMGxFUkIwT3d5TVJVVmhKU1VsZEtCVEtBVkFuSWdIVE5MOHZLaXFxdHJzdUlxS094R0YzQVVSRUhZbW1hY3NCN0ZSS3hRTllZWGM5UkVSRVJOU3hLY013VmhpR1VRQkF0N3NZSXFLT3B1V011RVFVZlhyMWl1dWpKeVVIWWh5ZFhhTEgybDJPM1JKak1Fb3BpYTJxVTNQc3JzVjJLbFFudm1CRklGQlJzWFhyMWxxN3l5RWkrekU4RWtXeG80L09qbmNsK3NkQTA4NVhRSkpBSlFJU1kzZGRkdE1VSENJbUJGclE3bHJzcC93S1VpVkFGWUF2L1pXT1o3WnV6V0dJSklwaURJOUVVU28xUGIxVEoyZkNLeEExWENrZW5xWDlFeEVUQ2d2OG9UMmp0MjdZVUdaM1BVUmtENFpIb21qVXY3OHJ6WFROVlFwWDZicU8vdjFPUU1hQS9ranZleXhTVTFMc3JvNDZFRzlGQlRiOFdJekNkZXV4dHJBSW9WQUlwc2g3bTRNMVY2TzQyR2QzZlVUVS9uaTFOVkVVNmlPdTBRQkd4cmhjR0QvdUZseDY4WVU0cWtjUE5MNDFIMUVERWNITzBqSXMrdXpmZUdUNjAvRDUvQ1A2YUFuak5nTlAyRjBiRWJVL0hxb2lpakpwYVdteG1pUG1lYVhVVWNNdU9CL2p4OTJDTHFtcERJNjBWMG9wSkNZazRQamowdkhUcGswby9tbWpwalIxWW5KaTdITmVyNWZuaFJKRkdVNFNUaFJsL0hwaU55Z1ZxK3M2c2pJSElpa3gwZTZTNkRBUkh4Y0hkMVltbkE0SFJPQU1PRHAxdGJzbUltcC9ESTlFVWNicDByb0JFaHZqY3FGbmp4NTJsME9IbVo1SDlVQmNYQndVNEhTcUlNTWpVUlJpZUNTS01rcTBUZ0k0ZFllT3pwMDcyMTBPSFdaU2twUGhjcmtnQ2c3b3JtUzc2eUdpOXNmd1NFUkVSRVNXTVR3U0VSRVJrV1VNajBSRVJFUmtHY01qRVJFUkVWbkc4RWhFUkVSRWxqRThFaEVSRVpGbERJOUVSRVJFWkJuREl4RVJFUkZaeHZCSVJFUkVSSll4UEJJUkVSR1JaUXlQUkVSRVJHUVp3eU1SRVJFUldjYndlQmpJeU1nNHhrcS9YcjE2eFoxNDRvbGQ5dlo2ZW5wNko4TXd1clZwY1VRV21hYUpzckl5K1AzK1ZsK3ZyYTFGTUJnOHFIVlhWRlRnMDA4L3hkZGZmLzA3cS96OXRtL2ZqdTNidDdkNTN3YTV1Ym40OU5OUEQzZzVJcUsyd3ZCb0h6MHRMUzIyOFgvcDZla3h6VHRsWldWZHBPdDZzV0VZbCt4dmhkMjZkUnNmRnhlM2VXK3ZkK3JVNlhFQWVXMVJQSkVWZFhWMWtjZmw1ZVVZT25Sb3F3RXZHQXppekRQUHhJY2ZmbmpBNytIMWVqRm16QmhNbmp3WmYvdmIzN0IrL2ZyZlhmZnZNV1hLRkV5Wk1zVlMzNy8vL2UrWVBIbXk1WFcvLy83N0dEMTZOQ1pQbm93NWMrYkFOTTJETDVTSTZDQTU3QzRnV21WbFpWMmphZHJMelpwM0FlamF1TUhqOFN3MkRHTTVnRmNHRGh5WVVWQlE4RXY3VmtvZFJVWkd4aWxPcHpNM0p5Y25ZSGN0Vm56MjJXZVlQbjA2SG52c01XUmxaUjJTOTlpMGFSTW1UcHlJc3JJeXpKdzVFODgvL3p4dXZ2bG1QUDc0NHpqNTVKTVB5WHZhd1RSTi9PdGYvOEp6enoySGl5NjZDQ2VkZEJJZWVPQUJWRlZWWWVyVXFZaUxpN083eEE0ckxTMHROakV4OFppQ2dvTDFBSmkyTGNqT3puYUdRcUhybEZLWEthVU1FZW1pbEtvU2tSMUtxUldtYWI3cThYZ2EveFdvc3JLeXJ0TTBiWXlJREZSS09RQVVpY2lMZVhsNXp3T1FBM2wvdDl1ZExpTGpsVkwvQ2FDM2lGUUJ5QWZ3YUY1ZTN0SzIzMkk2VUF5UDl0b2pJbWVGSDErdWxMbzVJeU1qd2VGd25OT3MzMGNBam5lNVhPZTUzZTdTUnUzQjNOemN4VmJmVEVRNDBud1ljemdjQzAzVDNHMFl4bXVtYWI0ZkRBYTNGUllXVmdJNHVHTzloNWpiN1VacWFpcHV1ZVVXUFB6d3cvampILzhZZWUzOTk5OUhlWGw1NUhuRENOclhYMzhOcjlmYlpEMURodzVGNzk2OVc2ei93dzgveE9PUFA0N3UzYnRqN3R5NU9PYVlZNUNWbFlWNzdya0h0OTU2SzBhTkdvWGJicnNOc2JHeGgzUTdxNnVya1orZkgzbGVXVmtKQVBqbW0yOGliUmtaR1VoTVREeW85ZS9jdVJOVHAwN0ZkOTk5aHh0dnZCRzMzbm9ybEZKSVNrckNmZmZkaDcvODVTKzQvLzc3RDFsQVA5eDE2dFNwcThQaFdHa1lSckdJek5NMGJhRnBtbVVlajZjS1FNanUranFhckt5c0xCRjVWOU8wdmlKaWlzZ1BBRFlBU0ZSS0hRL2daazNUL2dEZzRvWmxETU40UmlrMURzQlBTcWtQUmFRVGdIT1ZVck1Od3pncEx5L3Z4Z01zWXh5QXEwVmtGWUFWU3FsalJlUThwZFIvR29aeFkxNWUzcHkyMzNJNkVBeVBOaElSTXk4djczdlU3M3lEQU1EcGRQWVdrZi9ieXlKem1pMWZBMkN2MzBocGFXbXhLU2twQ3hzMTlRUFF4VENNSlkzN0thVSt6TTNOL2VmdjJ4cHFCMG9wZFJ5QWYraTZQbG5UdEh5MzI3M1NOTTF2VGROY21aK2ZYM0tnZitFZlNsMjdkc1h6enorUE1XUEdvTEN3c0VsNC9QcnJyL0h6enorM1dLYW9xQWhidG14cDB1WjJ1NXVFeDZLaUlqenh4QlB3ZUR5NDdMTExjTmRkZHlFK1BoNEFFQjhmajVrelorTFZWMS9GckZtenNHVEpFdHh3d3cwWU1XSUVYQzdYSWRuT24zLytHYmZmZm51TDlzWnRyNzMyR3ZyMzczOUE2L1g1ZkpnM2J4NWVmdmxsZE83Y0diTm16Y0lwcDV3U2VmMmNjODdCRzIrOGdjbVRKK1BHRzIvRXVlZWVpNXR2dmhucDZlbS9jNHVPU0pwU0todUFXMFQrcHBUeUdJYXhXa1JXNmJxK09pY25aNXZkQlhZRUdSa1picVhVVndBU0FEenI4L21tRlJVVk5UNjVWak1NNHd3Uk1ab3RtZzdnbXR6YzNIa05EUU1IRHV6dGREcFhLYVgreCsxMno4ck56YzJ4V29lSXpLdXRyWjJ5ZnYzNnFvWTJ0OXY5WHdEZVZFcmQyL3k3a05vZncyTUhrNU9Uc3o0dExTME9BRkpUVTN2dDNMbnpWNGZESVFEUXBVc1hMUkFJOUs2c3JOeU0rcEVvUVgzd3ZEWThxcGdOd0pHVmxYVjllSFdGQUVvYXJmNC9sRkpKSWhKcFUwcGRCZUNIOXQxS09oZ2lvcFJTRFU5amxWSW5BemhaMDdSS1RkTjJHb2FSYjVybTYzVjFkZjl1L0tGcnA4NmRPMlB1M0xrb0x5L0g5T25USSsxUFBQRkVrMzdCWUJDbm5ISUtSbzhlalN1dXVLTFZkYTFkdXhhdnZmWWFsaTVkaWo1OSttRFFvRUZZdEdnUkZpMWExR3IvRTA4OEVicXU0OUZISDhXTEw3Nkk4ODgvSHhkZWVDRUdEaHpZcHR0NHdna25ZTm15WlpIbjQ4ZVBCd0E4L2ZUVGtUYWxGUDcwcHorMVdEWVlERUpFSXErdFdyVUsxZFhWK09pamovRDY2NitqdExRVXc0Y1B4eWVmZklLNzdycXIxZmNYRVl3WU1RS0xGeS9HMHFWTE1XalFJRnh3d1FVNDc3enprSlNVMUtiYmVyaHEySGZDTzFBeWdMTkY1Q3lsbEZkRVNnM0QrRlpFWHZQNy9WOFdGUlcxZmtYWEVTNHRMUzFXMS9YM2xWSUpwbW5lNXZGNFpyWFN6Y3pMeS9zS3dGZk4ycS9OemMxdGZGUU1CUVVGdnhpRzhSeUFmNGpJYVFBc2g4ZUdRWlhHY25OejMzVzczVUVSU1QyUTdhSkRnK0hSUmtvcHplMTIvd24xaCsyT0NRY0RLU2twcWN2S3lrb0dzTFJidDI2ZjVPWGwzUW9BS1NrcEQrbTZmbE5xYXVyZzNOemNkWTFXTlVzcDVWQks2ZUgvcDgrRjIvK2VsNWQzVTBNbnQ5czlUMFJPYnR4bUdNWUZqUUlKZFdCS0tVRTRMRFRUU1NuVlNTbVZydXY2NWZIeDhhV0dZYndMNEUwQTY2cXFxaXFMaTR0OWR0VHM5WHJ4OHNzdjQ2MjMzb0xEY2ZBZk54TW5Uc1FYWDN5QitQaDQzSGJiYmJqbW1tdFFWbGFHc3JLeXZTN1R1WE5uOU83ZEc0c1dMY0lMTDd5QU45OThFNldscFhqc3NjY091bzdXNkxyZUpLVHB1ZzRBVGRxQ3dTRHV1T09PRnN1Kzg4NDdDQWFEdU9xcXE0RDZMMDJNSHo4ZU5UVTF5TXJLd2xOUFBZWDA5SFJjZHRsbCs2emh1T09PdytqUm96Rjc5bXdzV3JRSU9UazVHREJnQU1OajJGNzJIUTFBS29CVXBkUUpTcWxyWW1KaWZqVU00eTBSZWJPdXJtNmpwbWxWMFJJbVUxTlRid0xRUjBRVzdDVTQ3bFZlWGw3cFhsNnFRUDIvLysvKy9IRzczY2VFdjkrKys3M3JvdCtQNGRGZWNRQldBb0NtYVFoZk1BUFU3Mnd2QWVocW1tYmtjTEttYVUrYXBubXBpQ3pKenM0K0t5Y241eWZVNzdpSnFBK0Mvd3Zndm9ibnJYQXBwZXIyOGxwVVNFdExpKzNjdVhNL1hkY1RUZE0wbFZKbUtCUXlOVTJML0F3L0R1bTZiZ2FEUVZQVE5GUFhkVE1RQ0ppNnJqZDVIQWdFUWs2bjA5eXpaNC9wZERwTmw4dGxWbGRYbXpFeE1XWjVlYmtaR3h0ckZoY1htK0Z6cTlyc1pQMkd3Ti80eTdEUjQyNUtxVnNCM0FTZ3VGT25UcXNNdy9nV3dNcTh2THo4MXRmWXRudytIMTUrK1dXOC92cnJxS3Vyd3hWWFhJRXJyN3dTVjE1NUpRQ2dyS3dNTTJiTWFGSDdnZ1VMNFBGNEl1MlptWm00OHNvcmNkWlpaNkY3OSs0WVBYbzBBb0VBTm03Y0NBRDdQQlM5Wjg4ZWJOaXdBVzYzRysrLy96NldMRm5TNXFPT0NFKzMwL2lxOG9iSEpTVy9EZm9uSkNSZzFLaFJMWmI5NnF1djRQZjdJNjhGQWdHNDNXNWNmdm5sT1AzMDAxRmNYSXppNHVMOUhuTGZ2TGwra29YNzdyc1B0OXh5Q3p3ZUQ0NC8vdmcyMjhiV2lDbUlkVXBmdDlzZE1rM1QxRFF0MUhoZjBuVTkxSGovQ1FhRHBzUGhDRFhzTzM2LzMzUTZuU0cvMzIvcXVtNDIzby8yN05rVGNybGNwdGZyTlYwdWwxbFNVaEpxcTMxb1Avdk9INVJTZHltbHhzYkh4NjhUa1crenNySldLYVcremN2TFc5ZVJUZ3RwYXlKeVJmamZabVlicnZaTTFBK09GQjdrOGxwR1JrWlhUZE5PRlpHSEFKUUN1THNONjZPRHhQQm9JeEdweWN2TFMwYjlTY28zYTVyMkQ5VC9oZlYzQUg4MlRmT0dOV3ZXUkhhNm5KeWNzdXpzN1BORVpJVnBta3ZEQWJMbGlXTjdGeThpZXc3RnRod3VFaE1UdSttNi9nQUFkM2cwUW5SZEY5U2ZieXJoTDRkSW04UGhrSVorVHFjVElpS21hVVplZDdsY0FrRGk0dUlFZ0ppbWlmajRlRkZLU2ZmdTNSdE9LNGlzdDFFcC92Q0ZMa0VSQ1NtbFF1SEh3ZkRqa0ZJcUpDSkJFV240NGt4b3ZqMTdHelVPZnhrNmxWTDlBUFJUU3YwRlFLbGhHQ1grb09UVUJnN3RORjBPaHdPZmYvNDVCZzRjaUlrVEo2SnYzNzVOUmdsRkJMdDM3MFpzYkd6REgwNFlNbVFJRUE2ZURScm1mYnpra2t0d3lTWDFzMVZObno0ZGI3NzVKbUppV3N4czFZTGY3OGZRb1VNeGJkbzBuSC8rK1cyK25RaFB6Wk9ibTl1aS9jOS8vblBrOFpBaFEzRGhoUmZpeXkrL3hQMzMzNy9YZFRtZHpraW9ycXFxd3FoUm8rQnl1U0wvUm5zakl2RDVmUGp3d3cvUnUzZHY5T3paODNkdGt4VUtRSXhEdXhiQWNVb3BFUkhSTkUyVVVoSWVaWmJ3cVRVaUlwSEhEZnRSVEV4TTQzMEhqZmVqcEtRa1VVckpVVWNkQlFDU2twTFNZaDlTU3ZsRUpOaXdINFgvYTloM0d2YWJvSWpFaUVoczgzMWxQL3RPckZMS0FKQ2xsTG9hUUZsV1Z0WUdBRzk0dmQ0UFMwcEt2SzB1ZkJoVFNya0JJQlFLcld5TDlibmQ3aUVpY3JtSUZEYTdNdHZxOG04QytLK0c1eUl5MytmelRXaDJEaWJaaE9IUmZrSFU3N2dtNm5lWW13SDhUVVNlQWJDc2VlZFFLSFNPVW1vTWdMZE4wM3dQd0VsVzMwaEVVcFJTUjl5SDNvRXdUVk9KU0F5QXVFWW5FRVoraWtpVHR1WjlHcDQzOUd2NDJkcTZHcjJ1MUQ3T0RXajhVbXRmY0kxSFNnNzBGSU9HWmNMYjNBbEFUMDFEd3FFZVFORjFIUys4OEFLU2s1TWpiVEV4TVJnOGVEQzZkdTJLdUxnNGJOcTBDY09HRGNOdHQ5MTJ3T3ZQeU1qQW5EbjdQMmUrNGZ6RFErbmVlKzlGYlczdFB2dDA2dFFKcTFhdHdzS0ZDM0hsbFZjZTBBam9qQmt6bWx3bzA1cWlvaUpjYzgwMWx0ZlpWalNsbkNMU3NDKzE5cnVQWnUwdDlxTndXR3ZjM3VwNmxGSXRFdlMrOW9mZmV6cE9RMTFLcVRnUjZhU1VPZ3BBVWtKQ3doRTNhMFgvL3YxZEFKSkV4SmVmbjEvVCtMV3NyS3hrVGROMk4xK21ycTR1cWFpb3FMcTE5V1ZsWlkwUWtYbEtxWnBnTUhodDQ5Y0dEQmlRR2hNVDArSzh4ZHpjM0UzTnJuNy9WRVRLbFZKSGljZ2ZsVktqWW1Oai81aVptWGxWNDBFVnNnZkRZd2NqSXVzQnpGZEtMUUh3VTNaMjlvQ2NuSndmVVArRjJWM1R0RmRGNUg0QUkvWVZCQWNNR0pEcWREb3ZiOXdXbnU1Z1MxWlcxazJObXVNQjlNL0t5cnJKTk0zYy9Qejhsa01vUjVEYTJ0cWR1cTcvcjFJcVdkTTByWDZ3cFBXZnBtbnF1cTRyMHpUMWhqWVIwWlJTa2NjTjdZM2JHaDZIWDlPMSttR2p5TDRXN3FlSCsrbk4xeEcrTXJSRkc0Q3JBVFFaYm1zNDNOWmE2QlFSRTRBWHdCWUFKYVpwdnVod09ENnQyaE02SFVydGQ5TDUzMlBYcmwxTnBxOXBNSHo0OE1pNWluMzY5TUdiYjc2SjlQVDBmUjZXSFRod0lMcDFhM3BqSksvWGkwOC8vWFMvZFpTV2xoN3k4LzdTMHRLYVBCODdkaXdBWU5hc3BxZU5EUnMyRERObnpzVGN1WE9iWER5MFA5OS8vMzJMNll1YSsvWFhYdytvNXJZZ0FHcjlvVG14T2pZMStoM1dtKzlMcG1ucXJld3JldlA5cE9IM3ZQRnk0WDFIYTNRK2QvMTcxKzlEanNicmFMeWZOcnhIK0hFU2dDc0FPSnZVdjQ5OUIwQklSSFlCMkdxYTVnWUFzejBlejRxT09pM1c3MVZVVk9SM3U5MUJwVlJNZG5hMnMvRmNzcVpwQmpSTmE3eXpuUm4rM21naE96dmJLU0tQQWJoVFJMWUFHTkg4TzhYcGRONEY0TjdteS9idjM3OW40MUhGM056Y2x3RTB6SVdzc3JLeXJsSkt2YWJyK2ljWkdSbjltNGRjYWw4TWp6WlNTdWx1dC9zQzFIK1E5VWY5K1l0ZkF2anloQk5PU0VwSVNLZ3pUWE1zZ0R0UVA1cnozeUtpZ3NIZzYydlhydDI0cjNWcm12WUhwVlRrcExMd1gvVHhTcW1qbEZMOXBkRkpQaUp5c2xMcVpJZkQ4UkNBSXpvOGxwU1UxQjNJVlgrSGtHcitYM1oyTnVycTZwVGY3MWZCWUZDaC9yQ3RNazFUZGUzYVZlbTZQZ0pBVERnWXRsemhiMStDVmFacExoYVJkNFBCWUVGc2JHeDFkWFYxN1lZTkc3d0FnbWtuSHZyNUFJdUtpakJ4NGtSTGZmZDNoNVZISDMwVTU1MTNYcE8yblR0MzRyWFhYdHZ2dW4vOTlWY2NlK3l4bHVwb0s0RkE2M080eDhYRllmanc0WGpqalRkUVVsTFNJblR1elpJbFM3Qnk1YjZQSk83WjAvNW5veWhOd1I5U3hSc0tQUzJPa0xTVGhoSEF5RDdVdjM5LzVmZjdJL3RPTUJoVVhicDA2YTFwMnZDRzhMaXZmVWRFZG92SVF0TTAzelpOczFoRWFrU2twckN3MEJzRkU0eHZCdEJYUkRJYWYwYUdROW9GRGMvZGJuY3hnTDdORng0NGNHQVBFZmtJd0NraThwN2Y3Nys1c0xDd3ZIay9FWGxEUkR6TjIvMStmNHZSemNhTGVUeWUrVzYzK3lJQVYydWFkaEdBZHc1K1UrbjNZbmkwaWFacENrQ3NpTHdiYm5JQWlCd0NXTDkrZlpYYjdYNFp3QTBEQnc1OFBDWW1acnRwbXVNQWZMeS80SWo2YVUzV05wNERNaXNyNi9wR2Q3UVprNWVYTjIvdlMxTTdhSDRPSkhKeTlwNXB0MjdkQ3NNd1RMUisrSHFQaUZRQ0tBYnc4cDQ5ZXo3ODRZY2ZkdTExWmUzZ2pEUE93T3JWcTF0OTdZY2Zmc0RFaVJOUldWbUoyTmhZdlBQT08ramN1WE9UUGg2UEIvMzY5VU5NVEV6azZ1VUdsMTU2S2M0OTkxd1lSdk9wNWxwYXUzYnQ3N3JLMjRxeXNqSjg4c2tua2VjN2R1d0FBTHo2NnF1UnRyUE9PZ3RwYVdrWU9YSWszbmpqRGJ6eXlpdjQyOS8rdHMvMXhzWEZZZnIwNmNqS3lrSktTc28rKzFaVlZlSDc3NzlIMTY1ZDk5bnZDTk1pekJVVkZiWG9sSnFhV3R0d1doQ2FCa1VCVUF1ZzBqVE50U0x5cjlMUzBvVmJ0MjdkOXprSVJ5Z1JXYUtVNmd2Z3Z3LzBEMnpETUxvQldDRWl2VVhrWm8vSDgrTGUrb1lQT1IvVVlXY1JLUWovLyt0ek1NdFQyMkY0dEUrQ2lKVG01ZVYxUi8zT2R3dUFhWTA3QklQQlJ4d094dzFPcC9OWkVma2NRSnBTNnNyOXJUZ3pNL040WGRmUEJ5QzV1Ym5QQWxDYXB0MEJZSzJJYkZSSzNRZmdEZDVkNGZEU2NKNVllT1RScDVRcUFMQlNSTDR6VFhQVm1qVnJmdXdvVjRNcXBWcUVOdE0wOGZiYmIrT1paNTdCZ0FFRE1HM2FOSXdlUFJxUFBmWVlIbm5rRVNpbHNHN2RPano3N0xOWXVYSWx4bzRkaXh0dmJIcGppamZlZUFQLy9PZUJ6MmQvelRYWDRKWmJidm5kMjlXYXNySXl6SjgvUC9KODkrNzZBWlRHYlgzNjlFRmFXaHIrNHovK0ExT21UTUZwcDUyMjMvVmVlT0dGK3oyWHNqVmZmUEhGSVpzUS9UQVcyWGNBVkFMd2hLZDhXU1VpMzNrOG5zMTJGMmczMHpSbmFwcDJNNEN4aG1HOG5aZVhkeUFYenJ3STRGalROQzljczJiTlo0ZXFScVhVQ2FnUGtRZHlvU2dkQWd5UE5oR1JIa3FwRmtQNmplWG41Mjh4RE9NZlNxbEhBRndJNEYrdHpkS2ZuWjNkTXhRS0RWRktEUU9Rb092Nit2QmYxYytqUHBqZUJjQVFrZXRNMC94QjEvWFZobUU4bUplWDk3K0hjaHVwN1luSXB2Qm85VWVoVUdoemJXMXRxVjF6T0I2SWI3LzlGczg4OHd6V3JWdUhxNisrR25mY2NRY2NEZ2NlZU9BQjNIVFRUYmovL3Z0UlUxT0R6ei8vSEwxNzk4WmRkOTBWdWJxNnNVQWdBQkhCczg4K0M0VHZiZjNnZ3c5aSt2VHBTRTVPaHMvbncyMjMzWVk3Nzd3emNsSEtwRW1UNFBjZnVxbjZUanp4UkN4ZS9OdGRRa2VQSGcwQWVQSEYxZ2RmUm93WVlXbTl0YlcxdU9TU1N5SlhpYytZTVFNcEtTbTQ3cnJyQUFCdnYvMDJmdnp4Ujl4N2IvM3BZOTk4OHczbXpKblQ2bUZaZ29oSVBvQjNBNEhBSXRNMHQ4VEZ4ZTA2WE80VDN4N1dyRmxUYUJqR0EwcXBxU0x5YjhNdzd0NjllL2ZMNFZOOWdOL3VPWjNZK01oSGRuYjJmNGpJcFFDK2FJdmdtSm1aK1FkZDE4L1B6YzE5cGZIb2NsWlcxckR3cUdoWlRVMk41ZHZ5MHFIQjhHZ1RwZFFBRWRtd3YzNm1hZWFGcDc5d0tLV3FtNS9NYkJqRzBTTHlhM2dxanpJQTgwVGtzMEFnOEZsQlFjRU93ekFHQTNoSVJKYUZEMVdiaG1ITVZrcE5NZ3pqeDd5OHZIOGQ2bTJsdG1HYTVpVit2Ly83dzJYUzRycTZPbno1NVplWVAzOCtDZ29LSWxkZS8rVXZmNG1NU21abVp1S1JSeDdCZmZmZEI3L2Zqd2tUSnVDcXE2N2E3MVcwRFllc0c5YlR2MzkvOU9qUkl6SlMxN2R2MzBnZnA5UFpZaDNidG0zRDFLbFRjYzg5OStDNDQ0NDdCRnZmTm5yMjdCblpqcVNrSktTbXBrYWVMMXUyck9GMEJnREFMNy84WW11dEhWVjVlZm11TGwyNm5MWm16WnAxVVhEZTR1K1NsNWYzOS9EdjAzMUtxVm1wcWFsUHBLYW1GZ0hZQStCb0FNZUdqM3pzcnEydERhSStsV2VHZng1ckdNYUhyYTFYS2JVN056ZjNCaXMxNkxvZUIyQ09ZUmovQUxBOFBEZHhQd0IvQ3RkeFRYRnhjV1hiYmprZEtJWkhlK2dpTWhqQTAzdnJFTDVnWmlxQXY0ckk5eUx5bzFMcVRoRVpuSm1aZWN1YU5XdStSZjNPdnRVd2pBa2lzc3JqOGF4cS9PRVl2aGpuZlJIWkhRZ0VybTE0cmFxcTZxOUpTVWtuS2FWZXlzcktHdUR4ZU80NVVxOGlQSko0UEo1djdLN0JxdFdyVitQdXUrOUdUVTBOampubUdEejg4TU5JU0Vob2NwZVZiZHUyNGF1dnZrSnljakptejU2TlNaTW1ZY2FNR1Nnc0xNUWxsMXlDN096c1EzYSs0cDQ5ZS9EcnI3L2lmLzduZi9ESUk0L2c5Tk5QUCtoMUJZTkJlTDFlN042OUc3dDM3NGJYNjRYZjc4ZnMyYk94YTlldXlOWGxUei85TkxwMDZkSmsyUjA3ZHVBUGYvaERHMndSN2MyV0xWdjJiTm15aFZPN1dDTjVFQmEzMFFBQUlBQkpSRUZVZVhsL3k4ek1mRnZUdEhFQWhpaWwrb21JSXp3NHNVaEVGbFpYVjg5ckdKRTBUYk9UcG1sUVN2WFoyN21JSXJMRGFnSGw1ZVZiVWxOVEp5bWxSZ0k0UHp6RjJEWUFMd2VEd1VmejgvUFh0K1VHMDhGaGVMUkJWbGJXeFVxcFZBQWZabVZsblFiQUZUNHM3WFc3M2VtbWFWNnZsTG8xUEMvajdOTFMwb2xidG16Wll4akdDZ0JQNmJxKzJ1MTI1NXFtT2RQajhjek55OHQ3c3RsYk9OeHU5MzBBN2cxUE56R2tvS0FnTWl4UlhGenNDMDgydmxEVHRMOGFoakVNd0xTOHZMejVQQStTMmtKMmRqYUdEUnVHSVVPRzRLU1Q2cWNpWGJKa0NRRGc1WmRmeHRxMWEvSGpqejlDS1lVNzc3d1RRNGNPeFVjZmZZVDU4K2ZqbFZkZXdlTEZpeEVmSDQ5Ky9mcGg2dFNwOFBsOHFLMnR4ZmJ0MnlFaXFMOGVEUGpwcDUrQStndk1zSFBuemlaM2QybVlvaWNRQ0tDMHRCUnIxNjVGWEZ3YzB0UFRjZXl4eDJMdTNMa1lOMjRjL3ZyWHYyTHExS200K09LTEQycGJiN2poaGlZWGFpaWxrSnFhaW0rKytRWTlldlRBSC83d0I3amRiaVFtSnVMWlo1OUZXVmtaWW1OanNYbnpadno4ODgvNHovLzh6OGl5MWRYVjJMUnBFeEMrTUdyNzl1MlJiYTJ1cm9iVDZZdzhMeXNyUTIxdGJlVDVsaTFiQUFDRmhZVndPcDFJUzB2ajdRbnBvSVF2YXJuVlNsK1B4L002Z05mYjZyMUxTa3JxU2twS0hnUFF0dmNScFRiRm14cmJ3RENNQ1FBdXo4dkxPOTB3akxsS3Flc0ExSXJJUkFEbkthVXVCL0NwYVpwVFBCN1BkODJXN2FPVW1pd2kxNHZJRFI2UFozNHI2MzlHS1hVN2dIelROSy93ZUR3L3RsWkhyMTY5NHJwMzcvNjRpSXdGOEgwb0ZEcUhjMmNkK2RKT3pEb2JTdDdvbEpSMDFQTXpuOEtmVGg3VUx1ODdmZnAwdlBIR0czQzVYRGoxMUZOeHpqbm40TXd6ejJ3eWtUakNvNEtyVjYvR2loVXI0SEs1Y004OTkrQzY2NjVEUVVIQjc2NmhYNzkrbURmdnQ0a0dkdS9lalp0dnZobE9weE92dnZycVFZMTBmdlBOTjZpc3JFU1BIajNRbzBjUGRPL2VmYS9yZWZqaGgvSHV1L1VUTE1USHgrUDAwMC9IZmZmZGg4VEV4TWk2YnIvOTlvUGV2c1ptekppQk04ODhzMDNXMWRpcWI3L0hIUlArRjZXN2Rua2h1S3prQjl1bTZpRWlpaTREQnc3czNlaHA1SzRLaG1GMGM3dmQvZmEzL0lrbm50aGxYNjhaaHZGQVdscGFySlZhTWpNeno4akl5T2h1c1hRNnpLV2RtSFYyV3IvTWJSa25ueUVyVjM4bjdhVzB0RlRtenAwckZSVVY3ZmFlVnV6YXRVdDI3OTdkcnU4WkRBYmI5ZjNhMHNyVjM4bEpaNXdyYWYyeWRxZWRtSFcyM2IvUFJOVCtlTmphSm8wUEl6ZWVYaVV2TDY4MGZQUDNmZHJYUEg3aDE2WllyV1hObWpVcnJQWWxPbGhkdTNhTlhDbmNrYVNtdHJoVDJpSFhmTzVLSXFMRHlSRjNqMDRpSWlJaU9uUVlIb21JaUlqSU1vWkhJaUlpSXJLTTRaR0lpSWlJTEdONEpDSWlJaUxMR0I2SmlJaUl5REtHUnlJaUlpS3lqT0dSaUlpSWlDeGplQ1FpSWlJaXl4Z2VpWWlJaU1neWhrZWlhQlB5ZXhXVVB4UXlVVjFUWTNjMWRKaXBxcXBDSUJpQUVnUVI4bnZ0cm9lSTJoL0RJMUdVcVFsZ3U0anNDUVlDMkxXcjNPNXk2REJUV3JZTGRYVStDT0N2Q1dDNzNmVVFVZnRqZUNTS01xVWxSVHNCMVBnREFSUVcvWUM2T3AvZEpkRmh3dWYzWTIxaEVYdytId0NwQy84dUVWR1VZWGdraWo0bVJGNFNRZWpqeFo5aCtkY3I0ZlA3N2E2Sk9qQVJnYmVpQWw4cyt3b0xQbDRNRVlRZ01oT0FhWGR0Uk5UK2xOMEZFSkVOMHROampuRWt2QWVsaHFVa0orUE1NMDZGa1ptQjFKUmt4TGhpN0s2T09oQnZSUVUyYmlyQnV2WHJrWk9YajlyYVdvakk0cEpnelFnVUYzUFltaWdLTVR3U1JhbHVhZjJQU29oMXZncmdYS1dVNW5BNG9Da0ZLSDRzMEc5RVRBU0RJWWdJUk1RRXNNVG44OSs4YmRPNnpYYlhSa1QyNExjRVVSVHIydldFcFBpdXNYL1ZvSVlDU0ZCSzRrV1UwKzY2N0NWUUNqcUErc096VWY0eHFSUUNBdFJBVUNzd2w5WHVDajVjV2xwVWJYZGRSR1NmNlA1VUpDSUF3TkZIWjhjanp0ZEZjeURGRWRMaTdhN0hUckV4MmdreFR0eW1vSngxQVpsUjV6UFgyMTJUblFKYWFJK0VWSG1vdXJSOHg0NGRuTnVKaU9Dd3V3QWlzdC9XclRtMUFHb0IvR0ozTFhZekRDTkdLZFZiUkdMalhLcmtoOEw4VlhiWFJFVFVrZkJxYXlJaUlpS3lqT0dSaUlpSWlDeGplQ1FpSWlJaXl4Z2VpWWlJaU1neWhrY2lJaUlpc296aGtZaUlpSWdzWTNna0lpSWlJc3NZSG9tSWlJaklNb1pISWlJaUlyS000WkdJaUlpSUxHTjRKQ0lpSWlMTEdCNkppSWlJeURLR1J5SWlJaUt5ak9HUmlJaUlpQ3hqZUNRaUlpSWl5eGdlaVlpSWlNZ3loa2NpSWlJaXNvemhrWWlJaUlnc1kzZ2tJaUlpSXNzWUhvbUlpSWpJTW9aSElpSWlJcktNNFpHSWlJaUlMR040SkNJaUlpTExHQjZKaUlpSXlES0dSeUlpSWlLeWpPR1JpSWlJaUN4amVDUWlJaUlpeXhnZWlZaUlpTWd5aGtjaUlpSWlzb3poa1lpSWlJZ3NZM2drSWlJaUlzc1lIb21JaUlqSU1tVjNBVVJFZHNuTXpCeXE2L3JpQTFuR05NMkxQUjdQeDRldUtpS2lqbzBqajBRVXRXcHFhcGFKeU9ZRFdPU1g2dXJxSllld0pDS2lEby9oa1lpaVZuRnhzVTlFM3RwZlB4RnArUGxCY1hHeHJ6MXFJeUxxcUJnZWlTaXFoVUtoZVNMaUU1RklTR3lzVVhEMGljamJOcFJJUk5TaE1Ed1NVVlFMQkFKYmxWSUZTdTM5RkhDbEZKUlNCYVpwSHNnaGJpS2lJeExESXhGRnRZU0VoRW9BcXhxZU54NTliRFlTdWFxMnRyYTBuY3NqSXVwd0dCNkpLS3JsNU9RRVJHUTFnS3A5ZE5zaklxdDV2aU1SRWNNakVSRkNvZEMzQUNLamlzM1BmeFNScW5BZklxS294L0JJUkZFdlB6OS9nNGdVN3FQTHV2ejgvQTN0V0JJUlVZZkY4RWhFQklpSXZObmFSVFBodHRjQXRMd1VtNGdvQ2pFOEVoRUJxSzZ1WGlnaXU1dTNpNGhYUk42enB5b2lvbzZINFpHSXFIN0M4RW9BSHpRZWZRdy9YdVR4ZUx4MjFrWkUxSkV3UEJJUmhZbklhd0NDK0MwNEJxM2NnWWFJS0pvd1BCSVJoWm1tV1FUZ3A0YlJSeEhaR0FxRjF0cGRGeEZSUjhMd1NFUVVWbGxaV1FsZ1phT21WYUZRYUtlTkpSRVJkVGdNajBSRVlTVWxKWFdoVUNnSFFKMklCRXpUL0w2b3FLamE3cnFJaURvU2g5MEZFQkYxSkpxbUxRZXdVeWtWRDJDRjNmVVFFUkVSVWNlbURNTllZUmhHQVFEZDdtS0lpRHFhbGpQaUVsSDA2ZFVycm8rZWxCeUljWFIyaVI1cmR6bDJTNHpCS0tVa3RxcE96Ykc3RnR1cFVKMzRnaFdCUUVYRjFxMWJhKzB1aDRqc3gvQklGTVdPUGpvNzNwWG9Id05OTzE4QlNRS1ZDRWlNM1hYWlRWTndpSmdRYUVHN2E3R2Y4aXRJbFFCVkFMNzBWenFlMmJvMWh5R1NLSW94UEJKRnFkVDA5RTZkbkFtdlFOUndwWGg0bHZaUFJFd29MUENIOW96ZXVtRkRtZDMxRUpFOUdCNkpvbEgvL3E0MDB6VlhLVnlsNnpyNjl6c0JHUVA2STczdnNVaE5TYkc3T3VwQXZCVVYyUEJqTVFyWHJjZmF3aUtFUWlHWUl1OXREdFpjamVKaW45MzFFVkg3NDlYV1JGR29qN2hHQXhnWjQzSmgvTGhiY09uRkYrS29IajNRK05aOFJBMUVCRHRMeTdEb3MzL2prZWxQdytmemoraWpKWXpiRER4aGQyMUUxUDU0cUlvb3lxU2xwY1ZxanBqbmxWSkhEYnZnZkl3ZmR3dTZwS1l5T05KZUthV1FtSkNBNDQ5THgwK2JOcUg0cDQyYTB0U0p5WW14ejNtOVhwNFhTaFJsT0VrNFVaVHg2NG5kb0ZTc3J1dkl5aHlJcE1SRXUwdWl3MFI4WEJ6Y1dabHdPaHdRZ1RQZzZOVFY3cHFJcVAweFBCSkZHYWRMNndaSWJJekxoWjQ5ZXRoZERoMW1laDdWQTNGeGNWQ0EwNm1DREk5RVVZamhrU2pLS05FNkNlRFVIVG82ZCs1c2R6bDBtRWxKVG9iTDVZSW9PS0M3a3UydWg0amFIOE1qRVJFUkVWbkc4RWhFUkVSRWxqRThFaEVSRVpGbERJOUVSRVJFWkJuREl4RVJFUkZaeHZCSVJFUkVSSll4UEJJUkVSR1JaUXlQUkVSRVJHUVp3eU1SRVJFUldjYndTRVJFUkVTV01Ud1NFUkVSa1dVTWowUkVSRVJrR2NNakVYVjR3V0FRYTlldXhZNGRPd0FBWHE4WHBtbTIyL3MvOTl4eitPS0xML1paMyt1dnY0N0ZpeGUzeWZ1SkNMeGVMMnByYTl0a2ZVUkViY2xoZHdGRVJQdmo4L2x3L2ZYWFkvVG8wYmpsbGxzd2Z2eDRLS1V3WmNvVTlPM2J0MFgvcXFxcWZZYTkxdWk2am1IRGhyWDYydEtsU3hFS2hYRE9PZWUwK3ZyYmI3K05KNTk4RXNuSnlUampqRE9RbUpqWW9rOG9GSUtJTkdsVFNrSFg5Ulo5UC9ua0UweWRPaFVUSmt6QXFGR2pEbWc3aUlnT05ZWkhJdXJ3WW1OakFTQXkybmovL2Zkajh1VEpHRFZxRkNaUG5veExMNzIwU2Y4ZE8zYmcvdnZ2aDh2bGdxYnQvd0JMTUJpRVVtcXY0WEZmdkY0dlhucnBKYVNscGVHWFgzN0I3Tm16Y2ZmZGQ3Zm9kOTExMTJIZHVuVk4yanAxNnRRaTVQcjlmc3lhTlF1YXB1R3R0OTdDNVpkZkh0bCtPbkJwYVdteGlZbUp4eFFVRkt3SDBIN0QxWWV4ckt5c1pFM1R4b3ZJQ0FESEthVmlSYVJDS1ZVVURBWW41dWZucjI3b2F4aEdId0JUQUZ5Z2xPb3VJdVZLcVNVQS9wNmJtMXQ4b084TDRGWk4wNjRRa1dPVVVocUFZdE0wbi9kNFBITUFoQTdGOXRLQlkzZ2tvZzVQMTNVNEhBNEVnMEdnUGhEZ2xWZGV3UXN2dklDVFRqcHByOHZObURFRHA1eHl5bjdYLzlSVFQrR3R0OTQ2cU5xbVRadUdtcG9hdlBqaWkvam9vNDh3Zi81OG5IYmFhVGo5OU5PYjlMdm5ubnRRWFYwZGViNXc0VUlVRlJXMVdOL01tVE5SWGw2T1diTm1ZZUxFaVhqbW1XZHd6ejMzSEZSdEJIVHExS21ydytGWWFSaEdzWWpNMHpSdG9XbWFaUjZQcDRwaHBLWHM3T3krSXZJRmdONUtxU29BQlFCRUtkVUh3Qm02cmhzQVZnT0EyKzFPRjVGdkFTUW9wYjRRa1oxS3FTd0FWd01ZbnBHUmNYcCtmbjdCQWJ6OTJacW0zUzhpWHdQNFFFUzZLS1hPMXpUdEJjTXd6c3pMeTd2MjBHMDVIUWlHUnlLeTNhT1BQb29GQ3hic3MwL0RlWVhOUTk3OCtmTUJBQjkrK0NHNmRldldaalZ0MjdZTlpXVmxRUGl3ZVdscEtkYXVYUXNBNk4rL1AzUmR4enZ2dklNdnZ2Z0M0OGFOUTkrK2ZURjI3Rmg4KysyM3VQZmVlekYzN2x5a3BhVkYxcGVSa1lINTgrZWpUNTgrT1AzMDA3RjgrWElrSnljM2VjL2x5NWRqL3Z6NXVPT09PM0RTU1NkaDBxUkptREpsQ280Ly9uaU1HREdpemJZdENtbEtxV3dBYmhINW0xTEtZeGpHYWhGWnBldjY2cHljbkcxMkY5aFJtS1k1VXluVkc4RGN1cnE2MjR1S2lpSi84V1JrWkRUNVMweEUwZ0NzQkRBNk56ZDNhME83WVJqL1VFcE4wWFg5SVFDWEhNQjdyMUZLSFplWGw3ZTVvUzA3Tzd1dmFab2VwZFExMmRuWjkrWGs1UHpjTmx0S3Z3ZkRJeEhaenVmekFRREdqQm16MXo1ei9uOTc5eDRkVlgzM2Uvenoyek9UQkVLUWdCY1FuZ0lXcEFWdFppYlZQdEVIVVR5MnB4N2JIbHN2dExZZWw3ZTZ0TllMcTYzeWRPRjVEbDVXWFlwU2U3elY0Nm1pVlNtMGo1ZWVLcGFxVkN1Z2swbUNnQ2hDb0VnRkpBUkl3aVF6czcvbmo4eE1KeUhBb0pFSjVQMWFpNVhaZS8vMmIzOTNZQ1VmZm52djMzNzBVWTBhTlVwZi9lcFhlOXhlWGw3ZXF6VTkrZVNUZXVxcHAzTExIMzc0b1o1Ly9ubEowcXV2dnFxNnVqcmRlZWVkcXFtcDBTV1hYQ0psTHEvZmZmZmR1dmppaTNYNTVaZnJ3UWNmMUxoeDQzSjlQUDMwMHpydnZQTjA2cW1ucXJtNVdVY2NjVVJ1VzMxOXZXNisrV2FkZHRwcHV2aml6Z0dXczg4K1c2dFhyOWJ0dDkrdVVDajBpUzZyUXpJejU1eVRjODVKR2lMcGRETTd6VG5YYkdaYkk1SElNak9iMjlIUjhkcktsU3M3aWwxdmtVMlZwR1F5ZVdOK2NKU2svTXZWNnJ6Rm9uYkZpaFhmN0Q2Q0c0L0gvMWNrRXZtcHBLN0Q3L3ZSME5Dd3J2dTZXQ3oyUVRRYWZVdlNHYjd2VjBvaVBQWUJoRWNBZlVKcGFXa3VOUFhrMldlZjFhaFJvL2JacGpkZGQ5MTF1dnJxcTdWaHd3WmRkTkZGdXZqaWkzWEZGVmRJbmIvUWROTk5OMm4wNk5HNi9mYmIxWmxKT28wY09WSVBQdmlnZnZqREgrcXl5eTdUTGJmY29xbFRwMHFTdG0zYnBzcktTa25TamgwN2RPU1JSMHFTM243N2JVMmZQbDFqeDQ3VnJGbXp1dlIzM1hYWHFhbXBTVE5uenRTR0RSdDB4UlZYS0Jqa1IvZUJjTTZaTWsreDUvRWtEWlUwMURrM3dUbjNnOUxTMGc4amtjZ3padlowSXBGWTYzbmVydjRXSnAxekxaSktBNEhBa1pLMjc2dnRpaFVybXZheUtTV3B6VG5YM2dzbEJjM3NPT2ZjRHMvejN1K0YvdEFMK0FrRTRKQlFYbDdlNVo1QlNWcTllclZHakJpaHdZTUg5N2pQOWRkZmYwQVB6T1FMaFVJS2hVSmF1clJ6c0NVWURHcmd3SUZhdG15WnBrK2ZycU9PT2twMzNIR0huSFBhdFd0WGwzMkhEeCt1WC83eWw1b3hZNForK3RPZjZuZS8rNTJPUHZwb0pSS0pYSGhzYm03V3VISGpORy9lUE4xMTExMGFQWHEwYnJ2dE5xVlNLVFUzTjNmcDc0WWJicENaNlpGSEh0R0tGU3YwcTEvOXFzRHYybWZIZkZOWnlENGZqVWJUdnUvN251ZWwwK20wNzNtZW4wNm4vVUFna0U2bFVyN25lWDRnRVBCVHFaUWZEQWJUeVdUU0R3UUNma2RIaHg4S2hkSWRIUjErSUJEd1E2R1F2M3YzN3V6WGRFbEppZC9jM095WGxKVDRqWTJONmN6bzFxZCs0Q1g3OTV3ZkpQTStqM1RPM2VpY3Uzcmd3SUdyekd4Wk9CeGU0cHhiRm8vSFYwbXlubnM5ckN5UWRLVno3cmZWMWRYVFlySFlCd2ZhUVZWVjFTVG5YS1daL2ZtVEZoRU9oNGM0NTc0bzZXYm4zRWd6dTdTMnRwYTVxL29Jd2lPQVBxRzl2VjJQUC83NEh1dHJhbW8wZnZ4NERSNDh1RXVvTWpQTm1ERkQ3ZTN0ZXU2NTUzb01pZE9tVGRQWXNXUDNlK3lGQ3hmcTdiZmY3bkZiOW1ub0RSczI2S21ubnRLM3YvMXRuWFBPT2Jyd3dnczFiZHEwdmZaWlUxT2p1WFBuYXVuU3BSbzdkcXcyYk9pODJwWS84amhreUJCVlZsYnFsRk5PMGRTcFUzWHV1ZWZ1dGI5TEw3MVUwNmRQMTRRSkUvWjdQZ2VEazFRYTlDN09QSTFyWm1hZTU1bHp6aklqb3hZTUJxM3pyOHB5bjBPaGtNek1Ta3RMVFpJTkdEQWdHOGl5bjYyaW9zS2Njelo4K0hCSnNzcktTc3NFdDF4NGM4NjFtMWtxTThxVi9aT1dsSGJPcGN3c0xTbGxacVZtVnRiOVB3ZmRsN015UWJMTU9SZVJGSGJPWFNUcDQzQTQvSjZrcDVxYm0vK3pzYkd4dWNlZER3UEpaUEttWURCNG9uT3V4dmY5RmRGbzlJRkVJdkdMbFN0WGZsUmdGMEhQOCs3SmZIN29RSThmaVVTdWNzNDlrTGNxbGs2blQ2NnZyNDhmYUYvNDdCQWVBUlJkS3BWU0lwSFFRdzkxL1YyVFNDUTBkT2hRalI4L1hrY2RkWlErK09DZmd5QnZ2UEdHR2hzYmRkVlZWKzBSSEVlUEhxMEZDeFpvK1BEaEJVMXpNM255Wk8zY3VYT1A5VnUyYk5INzc3K3ZrU05IYXRldVhicjMzbnMxYXRRb3padzVVNmxVU3ZmZGQ5OWUrNnlzck5RUlJ4eVJ1MGR6MjdadGtxVDMzbnRQVFUxTmFtNXUxdWJObXpWbHloVGRlKys5MnI1OSt4N25uMi9FaUJFYU9YTGtmcy9sWVBLY0M1blpnTXk5aE5rMDVwUzV6ekIvT2ZQVnFUTzQ1ZHBrd2xyKytoNzd5VXpiMHNYZUF1RCt0aFVpVzVkemJvQ1pEWGJPRFpkVVVWNWVmbGkvWEdQNTh1WGJKWjBXRG9ldmQ4N05rSFI5V1ZuWkQ4UGg4T3lXbHBaWmE5YXMyZXVsNk9ycTZpTjgzLyt0Yys0c00vdHRQQjZmbjc4OUdvMk82NzZQbWUySXgrTmJzOHUrNzc4VENBVCt0NWtOazNTY2MrN2tRQ0N3TUJxTi9yQzJ0dmIzbjhFcDR4TWdQQUlvdXJhMk5vMGNPYkxMRTlkcjE2N1YrZWVmbnd0L3h4eHpqRDcrK0dNbGswbUZRaUU5OXRoakdqeDRjSmZSUDkvM3RXVEprdHp5cGsyYnVoeW5wcVpHempsOTlORkhXcnQyN1I1MWZQamhoeG93WUlBaWtZZ2s2WWtubmxCTlRZM1dyMSt2U1pNbTZjUVRUOVJ0dDkybTU1OS9YbHUyYk5FcHA1d2lTWm96WjQ2YW01dDF5eTIzU0psUjFQdnZ2MS9CWUZEang0K1hKRFUxTmNuelBOMSsrKzI1NDgyZlAxOWxaV1c2NFlZYkZBcUZGSWxFRkFnRWROVlZWK25VVTAvVkQzN3dBeWt6NmZuczJiUDF2ZTk5TDlkZnNabWt0bzcwbzJVQnJmTTh6ek16enprWDZCeUE3RnoyUE0vemZiL0xPdWVjWjJhQnpOZnMrb0NaZVpLNjdPZDEvcS9BYzg0RjhuOWZtWmxuWnNIOFByTHQ4NCtSK1Z3aDZUeEpvUzcxWnk1VjcyVkVNbTFtMnlSdDhuMy9QVWtQMU5YVnZaNFozZXdQVW5WMWRYZFZWMWYvMnZmOUh6dm5wbnVlOSs4VkZSVmZyYTZ1UGlzV2krM292a000SEQ3SjkvMW5uSE5qemV4WDhYajgrbTVOZ3BKNnVtZnhJVWxYWlJmcTYrdGZsL1I2ZGprU2lWUkpXdWljbTFkVlZYVVNJNUI5QStFUlFORzF0Ylh0TVczTjd0MjdKVWtEQnc2VUpIM3VjNStUNy92YXVIR2ozbjMzWGRYVzF1cjY2NjlYUlVWRmJwOWtNcWxycjcxMnI4ZFp1blNwZ3NHZ1hudnROZDE1NTUwOXRoazFhcFNlZmZaWmJkdTJUUXNXTE5Dc1diUDB3QU9kVjlFdXUrd3lUWjA2VmJGWVROZGNjNDBXTEZpZ01XUEdxS3lzVEcrKytXYXVqNGFHQmozeHhCTTYvdmpqYzJIdnpEUFAxRnR2dmRYbFdPZWRkNTVLU2txMGZ2MTZYWERCQmJyMzNudFZVMU9qWURDbzExOS9QUmNlWDN2dE5UMzMzSE82NElJTER2aDcrMWx4bmxOSDJxMTViMFhkcTBVcUlUc0NtQjJ0ZEJNblRuUWRIUjFPbmFQWkxwVkt1V0hEaHYyTDUzbmZ5SWJIN20vNVVkZjdJTGViMlF1Kzc4L3pmWCtObWJXYVdldUtGU3VhKytNRTQ1bVFPT3RMWC9yU1E4RmdjSUZ6N3Q5ODM3OUQwdFg1N2FMUjZKVm1kbDltWHNqdnhPUHhua1lJMDJaMmZ2ZVZ2dS92ODU3S2VEeGVIdzZILzkwNTkrdEFJSEM1cEd0NjQ5enc2UkFlQVJUZFJ4OTlwRkdqUm5WWmwzMnZjM1lLbnVPUFAxNlM5T2FiYityUlJ4L1Y1ei8vZVgzM3U5L3RzYi9ycnJ1dXkvMkRmL2pESHpSbnpwdzkyaTFhdEtqTDZ3SG56Sm1UQzNoejU4N1ZvRUdETkhueTVGeDRMQ2twMFlRSkU1UklKRlJTVXFMRml4ZHJ6Smd4aWthamV2amhoL1dQZi94REkwYU0wTEpseXhRSUJEUjU4dVFlNjJ0dGJkV09IVHVVVENaVlZsYW0wYU5IYStqUW9YcnBwWmRVVTFPamswNDZTZmZmZjcvYTJ0bzBjT0JBTFZxMFNPUEdqZE1Ydi9qRkEvN2VIc2IyQ0hNOVRibytkT2pRTnVkY3JtMWVVRFJKYlpKMityNi8zTXorejlhdFcxL1l0R2tURDJWMDA5RFFzT1dFRTA3NFhrbEp5UVpKRithSHgyZzBlb09rMmM2NXY1clp0SGc4dm1rdjNWajN5OWlGOGp3dk85SDQ2RTkwQXVoMWgvVzlHd0Q2dm1ReXFZMGJOM2FaVUZ0UzdoN0U3TWppY2NjZHB5RkRobWpPbkRuYXVYT25aczZjdWRjcGEwcExTMVZSVVpIN1UxcGEybU83UVlNR2RXa1hDdjN6eXFaelRoZGRkRkdYZFZsbFpXV3FycTdXRzIrOElXVW1EWmVrdXJvNktSTndxNnVyYzArQjc5aXhRL1Buejllc1diTTBiZG8wVFpreVJZOC8vcmphMjl0emwrVlBQLzEwdmZMS0swb21renI1NUpPVlNxVVVqOGZWMnRxcUpVdVc2Snh6enZrRTMxMWtaTytibEtTZGtoWkxtaTNwRWpPcnFhdXIrMXA5ZmYwOGd1UGVKWlBKWnV1Y01MTWkrLzJNUnFQVlpuYVhwTDhrRW9uL3NvL2crS240dmo5Qm5ZR2ZPUjc3Q01JamdLSjY5OTEzbFU2bk5XblNwQzdyTjIvZUxFbTV5OW1lNTJuaXhJbEtwVks2NXBwcmRNSUpKMGlaaDJxKy8vM3ZxN2EydGxmcitzNTN2clBQeThUUmFGVDE5ZlZLSkJJcUx5L1hpQkVqVkY5ZnI2YW1KcTFhdFVwbm5ubG1ybTFiVzV2dXZ2dHVyVisvWHBNblQ5Wjk5OTJuYTYrOVZvbEVJaGNlenpqakRMVzB0R2pac21XYU1HR0NLaW9xOU00NzcramxsMTlXT3AzVzJXZWYzYXZuMTgrWW1UV1kyY3lPam80ekU0bkVoWjduM1J5UHgrZm52ODJrdnhzM2JseHBOQnFkZCtLSko1Nll2NzY2dWpwVVhsNCswM1UrVnYrMzdGUHZabloxNXY3Uy8raU4rVEFqa2NqMENSTW1WT1N2aTBhajQ1eHp0MmFPOThTblBRWjZCNWV0QVJUVm9rV0xwTTY1NFhLZm5YTjY1cGxuTkh6NGNBMGRPbFRLdlBQNWIzLzdtNVNaSXpGcjNicDFXclZxbGJadjMrZDh4Z2VzKzJYMDdxTFJxSkxKcE9ycjYvV1ZyM3hGMy9qR04zVE1NY2RvOGVMRjhqd3ZOekc0TWs5S0wxNjhlSTlSek4yN2QydkFnQUc1L2lLUmlIemZsK2Q1bWpkdm5vNCsrbWhkY3NrbHFxbXAwYkJodzNyMS9QcUxwcWFtYmNPR0RUdWx2cjUrVlgrOGIvRkFwRklwSituOFVDaDBmalFhL2J1azk4MHM2UHYrRjUxelI1bFprNlRyc3Uwejc3R1djMjVHSkJLNXNhYytuWE1QMU5iV3ZsUmdDVGVVbDVmUGpFUWlyenJuTmt2Nm5KbWQ0Wndya2ZRLzYrcnEvdFpMcDRwUGlmQUlvR2dTaVlSZWZQRkZuWFRTU2JtSnRWOTZxZlAzVEZsWm1XNjk5VmExdExUbzFsdHYxY3N2djZ5enp6NWJpVVJDYytmTzFmSEhINit2Zi8zcldyVnFsU1IxdVI4d21Vem03cG5NTHZmRTkzMmxVdjk4Z0xhbmh5bjJadEtrU1pvOWU3YXFxcXFrdkZjclp0OUxuUTI5V2QyRFkxTlRrMUtwVkc1a05SZ002cEZISHNsdFAvcm9vN1Z1M1RvdFg3NWN2L2pGTHdxdUMxMXQzTGh4OThhTkcxY1V1NDVEUVdOalkzdGxaZVZsenJsenpTemluRHZOT2RjaGFhMlpQUzVwZHY2bDZjd1VScEwwdFgzTW0vbGlvY2QzemsyWGRLV2tMMHM2U3RJTzU5eEMzL2QvV1ZkWDkzTHZuQ1Y2QStFUlFORTg5dGhqMnJwMXEzN3lrNTlJa202NjZTWmRlZVdWU3FmVEdqbHlwRFpzMktBTExyaEEyN1p0MDdYWFhxdExMcmxFTFMwdDJyeDVzMzcrODU5cndZSUZXcnQyclk0OTlsZ2RlK3l4dVhkazMzUFBQYnJubm52MmMvVE9xWHU2MjkrSTQ5cTFhN3RjSW4vaGhSZHluMzNmMTlLbFN6Vmx5aFRObjkvNWJFQkpTWW0rK2MxdlNwSisvL3ZmSzUxT3E3UzBWQysvL0xLQ3dhQmFXbHAwMWxsbjlYaXNqbzdPSzRGMzNIRkhMa0JlZnZubHV2RENDL2Q3YnNBbllQRjQvRkZKanhiU09CNlA5K3E4VWJXMXRjOUllcVkzKzhSbmcvQUlvR2pHangrdlUwODlOWGQvNE9EQmc3dThhbkQwNk5HYU1tV0t2dld0YitrTFgvaUNsSG5JNWVHSEg5WWpqenlpUC8zcFR3cUZRcnJ4eHE1WHpLWk5tNll6empnanQvektLNi9vNmFlZjN1UDREei84Y0pjSnhwOTg4a205Ly82K1g1Lzd6anZ2N0hOeThMS3lNaTFkdWpUM1dzTkJnd2Jsd3VOYmI3MmxoUXNYU3BsN09YLzJzNThwSEE3blJpMEwwZTEyTkFBNDZEN2RGUHdBRGpsanZoQStYYzZlR2x4Uk1meWgrKzdSdjU3ODVhTFdrLy9RU0gvZys3N1M2WFNQVDNFZkNwWXNlMXMvbm42VHRtN2IxaXpUdVkzdkZtMmVSd0JGd3NnamdLTHFUOEZSbWFmR2Uzb1BOd0FjS3ZnSkJnQUFnSUlSSGdFQUFGQXd3aU1BQUFBS1JuZ0VBQUJBd1FpUEFBQUFLQmpoRVFBQUFBVWpQQUlBQUtCZ2hFY0FBQUFValBBSUFBQ0FnaEVlQVFBQVVERENJOURmcER1YW5WeEhPdTJycGJXMTJOWGdFTE5yMXk0bFUwazVVMHJwanVaaTF3UGc0Q004QXYxTWExSWZtZG51VkRLcGJkdWFpbDBPRGpGYlA5Nm1SS0pkSm5XMEp2VlJzZXNCY1BBUkhvRitabXZqeWkyU1dqdVNTYTFZK2E0U2lmWmlsNFJEUkh0SGg1YXZXS24yOW5aSmxzajhXd0xRenhBZWdmN0hsOWtqWmtyLzhjV0YrdXNiYjZxOW82UFlOYUVQTXpNMTc5aWhWMTVkck9mKytLTE1sSmJaZlpMOFl0Y0c0T0J6eFM0QVFCR01HMWM2TmxpK1FNNzl0OG9oUXpUNTMyb1VxZnFTaGxZT1VXbEphYkdyUXgvU3ZHT0gxcTVyMUtyVnF4V0xONml0clUzeUxoSVFBQUFKa1VsRVFWUm05bUpqcXZXL2E4MGFocTJCZm9qd0NQUlRSNDJaT0x5OExQUzRwRE9kYzE0d0dKVG5uT1Q0c1lCL012T1ZTcVZsWmpJelg5S2YyOXM3cnZ6SHVsWHJpMTBiZ09MZ3R3VFFqeDE1NUlTS2dVZVczZURKZlUxU3VYTTIwTXlGaWwxWGNabWNVMEJTNStYWmZ2NWowamtsVFdxVnFjM2t2OXEyTFhYSDFxMHJXNHBkRjREaTZkOC9GUUZJa280OXRucWdCclFQODRLcURLYTlnY1d1cDVqS1NyMEpwU0ZkNCtSQ2lhVGRtMmozVnhlN3BtSktldW5kbG5aTjZaYXRUWnMzYjJadUp3QUtGcnNBQU1XM2FWT3NUVkticEw4WHU1WmlpMFFpcGM2NWZ6R3pzZ0VscnZIZEZRMUxpbDBUQVBRbFBHME5BQUNBZ2hFZUFRQUFVRERDSXdBQUFBcEdlQVFBQUVEQkNJOEFBQUFvR09FUkFBQUFCU004QWdBQW9HQ0VSd0FBQUJTTThBZ0FBSUNDRVI0QkFBQlFNTUlqQUFBQUNrWjRCQUFBUU1FSWp3QUFBQ2dZNFJFQUFBQUZJendDQUFDZ1lJUkhBQUFBRkl6d0NBQUFnSUlSSGdFQUFGQXd3aU1BQUFBS1JuZ0VBQUJBd1FpUEFBQUFLQmpoRVFBQUFBVWpQQUlBQUtCZ2hFY0FBQUFValBBSUFBQ0FnaEVlQVFBQVVERENJd0FBQUFwR2VBUUFBRURCQ0k4QUFBQW9HT0VSQUFBQUJTTThBZ0FBb0dDRVJ3QUFBQlRNRmJzQUFDaVdxcXFxcndVQ2dSY1BaQi9mOTgrcHE2djc0MmRYRlFEMGJZdzhBdWkzV2x0Ylh6V3o5UWV3eTk5YldscisvQm1XQkFCOUh1RVJRTCsxWnMyYWRqTjdabi90ekN6NzlROXIxcXhwUHhpMUFVQmZSWGdFMEsrbDAra256S3pkekhJaE1WOWVjR3czczNsRktCRUEraFRDSTRCK0xabE1ibkxPdmVQYzNtOEJkODdKT2ZlTzcvc0hjb2tiQUE1TGhFY0EvVnA1ZWZsT1NVdXl5L21qajkxR0lwZTB0YlZ0UGNqbEFVQ2ZRM2dFMEsvRllyR2ttUzJWdEdzZnpYYWIyVkx1ZHdRQXdpTUFLSjFPTDVPVUcxWHNmditqbWUzS3RBR0Fmby93Q0tEZmEyaG9lTS9NVnV5anlhcUdob2IzRG1KSkFOQm5FUjRCUURJemU3cW5oMll5NitaSzJ2TlJiQURvaHdpUEFDQ3BwYVhsQlRQYjNuMjltVFdiMllMaVZBVUFmUS9oRVFBNkp3emZLZWtQK2FPUG1jOS9xcXVyYXk1bWJRRFFseEFlQVNERHpPWktTdW1md1RGVnlCdG9BS0EvSVR3Q1FJYnYreXNsZlpBZGZUU3p0ZWwwZW5teDZ3S0F2b1R3Q0FBWk8zZnUzQ25wemJ4VlM5THA5SllpbGdRQWZRN2hFUUF5R2hzYkUrbDBPaVlwWVdaSjMvZmZYcmx5WlV1eDZ3S0F2aVJZN0FJQW9DL3hQTyt2a3JZNDV3WktlcjNZOVFBQUFLQnZjNUZJNVBWSUpQS09wRUN4aXdHQXZvYVJSd0RveXN6c2Q1SUdTa29YdXhnQTZHc0lqd0RRalhQdWQ2MnRyWHUrYmdZQUFBQUFBQUFBQUFBQUFBQUFBQUFBQUFBQUFBQUFBQUFBQUFBQUFBQUFBQUFBQUFBQUFBQUFBQUFBQUFBQUFBQUFBQUFBQUFBQUFBQUFBQUFBQUFBQUFBQUFBQUFBQUFBQUFBQUFBQUFBQUFBQUFQU1NjRGc4SmhxTi9tdDJPUktKSEZYY2lnRGcwQkVzZGdFQWNMQTU1NjZWZEtNa0x4cU5mazNTN3lPUnlIL0U0L0c3SmFXNnR3K0h3NmRMR25NZ3gwaW4wN0hseTVjdjc5WENBYUFQSUR3QzZIZk1iTGR6VHBLODJ0cmFoZUZ3ZUpibmViTWlrY2kwdHJhMjAxYXZYcjBydjcxejdrZVN6cFcwdTVEK25YUGx6cm1iSlJFZUFSeDJDSThBK2gzUDg5b2thY3lZTWFIR3hzWkVYVjNkSGVGdytNK2U1NTNlUFRqbWVUTWVqLy9iL3ZxZU9ISGlvTEt5c3IzMUFRQ0hQTUlqZ01OS0pCSTVWdEo3KzJwalppSG5uQ29yS3ordXJLek1YNjlJSkhLTGMrNDN0YlcxUHpvWTlRTEFvWWJ3Q09Dd2trNm52V0F3V0M3cFAzM2ZmNk9uTnA3bmZWblNoYzY1T2I3dmIrKyszZmY5aG9OU0xBQWNnZ2lQQUE1WGkrcnE2bjdWMDRhcXFxb0xBb0hBaFpLZXFLdXJXM1h3U3dPQVF4ZmhFVUMvNDNuZUxrbEtwVktEODFZSG85Rm9UVzF0N1YvM3NsdE5KQkpwT1RnVkFrRGZSWGdFY0xnNk14d09sK1d2OER4dlYyMXQ3VVBPdWUyWjVTT3oyeUtSeUhtU25vcEdvNWZXMXRiKzN4NzYrOERNYnQvZlFUM1BLNVgwWUMrZEF3RDBPWVJIQUllYmtEb2Zmdm02Yys2czdFcm5YS21aL1YzU1E4NjVUV1ltNTl6d3ZQMXVOTFBtdHJhMitUMzArV1BQODRLeFdHeERBY2QzMWRYVnI3VzN0Mi9wbGJNQmdENkc4QWpnc0JJTUJpc3lINitJeCtOenMrdWowZWc4U1JNbEtSYUxiWXBFSXI2azBlcThCL0lNNTl4SlpuWkwvbFE5VlZWVnh3Y0NnZU9VZVJJN0dvMU96Rzd6ZmYrRHVycTY5ek45VDVWVWt0MW1aaW90TFIwVGpVYmxuS3VQeFdML09FaW5Ed0NmT2NJamdNT0s3L3VEUE0rVHBJL3oxNXRadVhNdWU4OWlTdEphNTl5RTZ1cnFrTy83OTBuNktKMU8zNTIvaitkNWwwcjYyVjRPZFp1a24yYyt6NU0wcktkR1p2WURTVS8wd3FrQlFKL2dGYnNBQU9oTnpyblBxVE8wZmR4dDB5QXoyNW0zWEc5bUo1dlpUNTF6azh6c2hvYUdodGJ1L1psWmsrLzdsZmwvekt5cGgwUGZsZDhtbVV4K3Z0ZFBEZ0Q2QUVZZUFSeHVKcG1aQlFLQkxoT0ZPK2VHU3NxZmx1YzE1OXgzekd5bXBHZmo4ZmpUUFhYbW5MTjRQTjZjdnk0YWpacVpkV25uKzM1N1hWMWRybDExZFhXd2V4c0FPQnd3OGdqZ2NQTmw1OXg3c1Zoc1I5NDZaMllqODBjamZkOWZtdm00dGFPajQ5THMrbWcwT2lNYWpUNTBVQ3NHZ0VNSUk0OEFEaHZoY0hpSXBLbG1OamNjRG8rUk5NWHp2RzIrNzA5MnpsVktla3VkbzRKZjhIMS9uanBIRmdlVmxKVGtUK2xUSTJsTTBVNENBUG80d2lPQXc4bi9jTTZWU0hyTTkvMlNRQ0R3RzNVKytDSkpmMGtrRWs5R285Rnp6T3czempsSitwR1p6WGJPTGFpdXJ2NnZzVmhzbDVtRkpTM0s3M1RpeEltRDluZGd6L05jL3MvVTl2YjJRRWxKeWI1M0FvQkRFT0VSd0dGaDBxUkpRNTF6TXlVdHo3d2x4bFZYVjQvcjZPZ1lXRkpTc2lNV2kyMklSQ0p6SlAzWXpPbzh6enN2Rm90OUVJbEVka3A2MVBmOTFaRkk1QVBuM0NneiswdGUxOFBLeXNwMjdlUFFXVE9pMGVpTXovQVVBYUJQSUR3Q09DeVlXWXR6N24xSjEyZFh4V0t4RC9MYk9PZituNW50OER4dlZpd1dTMHBTUEI2ZlcxVlZ0Yzd6dkZtU3FpVDljZnYyN2ZQeWR0dnArLzYzOHZ2eFBPL1pIbzcvdU8vN3Y4NDcxaEdlNTczUSsyY0tBQUNBWGpGcTFLZ0J4YTRC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SEI0K1ArUEllMVhUdm9QK2dBQUFBQkpSVTVFcmtKZ2dnPT0iLAoJIlRoZW1lIiA6ICIiLAoJIlR5cGUiIDogImZsb3ciLAoJIlVzZXJJZCIgOiAiMTI1Njg1NzczMyIsCgkiVmVyc2lvbiIgOiAiMjQiCn0K"/>
    </extobj>
    <extobj name="ECB019B1-382A-4266-B25C-5B523AA43C14-4">
      <extobjdata type="ECB019B1-382A-4266-B25C-5B523AA43C14" data="ewoJIkZpbGVJZCIgOiAiNTAyMzI1MDgzOTk2IiwKCSJHcm91cElkIiA6ICIxNTAwNTM0MzA2IiwKCSJJbWFnZSIgOiAiaVZCT1J3MEtHZ29BQUFBTlNVaEVVZ0FBQTFJQUFBWkpDQVlBQUFCVUR5TDRBQUFBQVhOU1IwSUFyczRjNlFBQUlBQkpSRUZVZUp6czNYdDhISFc5Ly9IM2QzWTNUZE1tdlVpQnRtZ0xGaXFoTkpuTjRWS3VRZ1U4Q0VlNUtLaEg0QWllQTRxQW9vSWdlQVRCSDZBbzRLR2dlT05TQ29Jb0YwRVFVS3IyQXNrbWFVbHBDVkNnWEVwTGFadDdkbWMrdnorNmlXbWF0QmxwZHRybTlYdzgrdWp1ekhkbVB0OXRIM25zTzkvdmZFY0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ZGk0UmR3RUFBR0RINFB2K0w4YVBINiszMzM1NzZaYmFwdFBwcThhUEh6LzlyYmZlbWwrWTZnQmc2L0xpTGdBQUFNVENrNVI4bjM4MjRwdzdTVkw1QUs5L2pKa2Rzdlc3QlFDRnNja1BRUUFBc09QemZmOW56cmt6Mzg4NTFxeFpNMmIwNk5HZmEyOXZ2K2VGRjE1NHQrZStkRHI5bjVLVzFOVFVWS2ZUNlZOeXVkeUw5ZlgxTmUrN2NBRFlSaENrQUFBWW9zeXMyY3krMm51N2M4NXp6djFVMGd0aEdON1kzL0hMbHk5dlNhZlRsdzBmUHJ4WTB2VmQyNmRNbVRKTTB2K1oyUTJTYXN6c3k4bGs4dC9TNmZRWGFtcHFmamVZZlFLQVFpRklBUUF3UkRubk9qS1p6Szk3YjYrc3JQeUVjMjY0cEV0cWEyc2YyOXc1ek93K1NXZjFERktscGFYSFNDcHp6dDB1eVZhdFd2WHhuWGZlK1RkbWRsODZuZjVPVFUzTjFZUFZKd0FvRklJVUFBQlFPcDFlYldiRjJoQ3dpcFFQU2I3dmI5TFdPWGQxVnhneXMvczl6enQzK3ZUcEIvUm9jcHFaUFpQSlpCb2xhY1dLRlcwclZxdzQxZmY5bXlWTkxGaW5BR0FRRWFRQUFJRE1iS1NrZTgzc2QyYldienZQODI2WFZOVDF2cmEyZHE3disvTVNpVVJYQ1BNazdSbUc0Ylc5RGcwem1jelpmUGNBc0tQZ2h4a0FBT2pTVUZ0Yisvdk5OVWluMDUyOU5nV1pUT2FnL0Q2WldaakpaQ3E3VmdZdUx5OHZLaTR1L3BKejdtZlYxZFZaU2JuQjdBQUFGQXBCQ2dDQW9hdjMwTk5GdnUrZnZka0R6TVk0NXlSSlZWVlZId3JEc0tISDdoR1N2dWY3L25meTcyOTF6djNXeks0eHM3UFM2ZlRuYW1wcWxtenRUZ0JBSEFoU0FBQU1UY25lbzBQT3VUOUplbmh6QjVuWnJLN1gyV3oyM1VRaWNWYisyQU1sblMvcGZra1BTbElRQk12cTYrdHJxcXFxL2kwTXcvdk5iS0h2KzUvUFpESVBEbDYzQUtBd0NGSUFBQXhCenJta3BJMm02WmxaYlNhVHVYTnp4NlhUNlo5MHZhNnZyMitSTkVmL2ZHNlVKRFU2NTk2b3FhbVoyOVd1dXJyNmhhbFRweDVZVWxKeWF5NlhlMlhyOXdZQUNvOGdCUURBRUdSbXBaS2FlbTJ1cXF5c1BHTUx4dzNybXRyWHBhS2lZaTlKeDBqS09lYytLZW5pZERwOWZFMU56Wis2Mml4ZHVyUkowdWUwWVVwZ0tnekRwSE51bDN3QW14UUV3WXQxZFhYM2J0MWVBc0RnSVVnQkFEQUVPZWQya2JTbXgvdWxacmFmYys3UUhzMTJkczYxbVZuUHdQV21wTlU5ejVWSUpDN0xUd2s4d3N6dWxqVEJPZmU3eXNyS296M1AyOHZNOW5IT2ZValNCODNzUTJFWTdwcGYzVTltdHArazF4S0p4Q2JQc3dLQWJSbEJDZ0NBSWNqTWRuZk9QZEgxdnFhbXBpS2RUbCt5NFdYTlk1TGsrMzZ6cE5zeW1jd0ZsWldWbjNUT2ZTQ1R5Znl5NTNuUzZmVHhrdjVUMGd4SlIwaFNKcFA1bXUvN0tVa3RadllwNTl4RU0zdlZPVGZmT1hlUHBOY2tYVzFtTDJReW1SUDZXUFFDQUxaNUJDa0FBSWFZaW9xS3ZaeHpPNXZab3E1dGxaV1ZSNW5aOXlYZEllbXgzc2M0NTA2VmRFbzZuUzZwcWFuNXFTVHRzODgrWXlYOXpNenV6MlF5ODlQcGRGZnpJSlBKbkpOLy9jbSthc2lIdGh3aENzRDJ5b3U3QUFBQVVGaWU1MzBtLy9KSjVaY3g5enh2dHFRbFFSQjh1WjlqVHBQMGtLU2IwdW4wMXlTcHFLaW8xTXljcFBNS1dUOEFiQXNJVWdBQURDR1RKMDh1ZHM1OVNkSUxtVXptdWFxcXFsRm05b2lrSWttZnpxL0VwL3lzbFdUWGlGRjFkWFcycWFucE0yYjJGMG5YVjFaV2ZpbVR5YndxNllCTUp2Tm12TDBDZ01KamFoOEFBRVBJMkxGakw1VDBJVWxmbkQ1OStvZ3dEQjkzemsweHM0L25jcmwyMy9kL25sOU1Zay9uM0xBd0ROL29PcmF4c2JGajMzMzNQVEdWU3MzelBPOEczL2NmeVljcEFCaHlDRklBQUF3aFp2YWFjNjZtcHFibWRrbEJPcDIrM2N4ZXoyUXlmOTFubjMzR091ZE9ON09rY3k1blpzKzB0N2YvcXVmeGl4WXRlcStxcXVvVFlSanV4a2dVQUFBQWdDRWp2MGdFQUFBQUFBQUFBQUFBQUFBQUFBQUFBQUFBQUFBQUFBQUFBQUFBQUFBQUFBQUFBQUFBQUFBQUFBQUFBQUFBQUFBQUFBQUFBQUFBQUFBQUFBQUFBQUFBQUFBQUFBQUFBQUFBQUFBQUFBQUFBQUFBQUFBQUFBQUFBQUFBQUFBQUFBRFkvcmk0Q3dBQUFOdWZLVk9tRENzcEtSa1hocUZyYjI5L3A3R3hzU1B1bWdDZ2tMeTRDd0FBQU51ZnNyS3lhWWxFNGxkRlJVVjNsWldWVFl1N0hnQW90R1RjQlFBQWdPMlBtWTEwemswenMySkpJK091QndBS2pSRXBBQUFBQUlpSUlBVUFBQUFBRVJHa0FBQUFBQ0FpZ2hRQUFBQUFSRVNRQWdBQUFJQ0lDRklBQUFBQUVCRkJDZ0FBQUFBaUlrZ0JBQUFBUUVRRUtRQUFBQUNJaUNBRkFBQUFBQkVScEFBQUFBQWdJb0lVQUFBQUFFUkVrQUlBQUFDQWlBaFNBQUFBQUJBUlFRb0FBQUFBSWlKSUFRQUFBRUJFQkNrQUFBQUFpSWdnQlFBQUFBQVJFYVFBQUFBQUlDS0NGQUFBQUFCRVJKQUNBQUFBZ0lnSVVnQUFBQUFRRVVFS0FBQUFBQ0lpU0FFQUFBQkFSQVFwQUFBQUFJaUlJQVVBQUFBQUVSR2tBQUFBQUNBaWdoUUFBQUFBUkVTUUFnQUFBSUNJQ0ZJQUFBQUFFQkZCQ2dBQUFBQWlJa2dCQUFBQVFFUXU3Z0lBQU1DMnJhS2k0cGhFSXZGWWxHUENNRHl1dHJiMmtjR3JDZ0RpeFlnVUFBRFlySmFXbHIrWTJhc1JEbm05dWJuNXo0TllFZ0RFamlBRkFBQTJxN0d4c2NQTTd0bFNPelByK3Z1QnhzYkdqa0xVQmdCeElVZ0JBSUF0Q29MZ1RqUHJNTFB1d05SVGp4RFZZV2IzeGxBaUFCUVVRUW9BQUd4Uk5wdDkwem0zMkxuK2I2OTJ6c2s1dHpnTXd5alRBQUZndTBTUUFnQUFXelJpeElqMWt1WjN2ZTg1S3RWcmhHcCthMnZycWdLWEJ3QUZSNUFDQUFCYlZGMWRuVFd6QlpLYU50T3N6Y3dXY0g4VWdLR0FJQVVBQUFZa0NJS0ZrcnBIbTNyZkwyVm1UZmsyQUxEREkwZ0JBSUFCcWErdlgyWm16MitteVpMNit2cGxCU3dKQUdKRGtBSUFBQU5sWmphbnJ3VW44dHZ1a0xUcGtuNEFzQU1pU0FFQWdBRnJibTUrMk16ZTY3M2R6TmFhMmYzeFZBVUFoVWVRQWdBQUE5YlkyTGhlMGdNOVI2WHlyeCt0cmExZEcyZHRBRkJJQkNrQUFCQ0ptZDBoS2FkL2hxaWNtZDBUZDEwQVVFZ0VLUUFBRUVrWWhnMlNYdW9hbFRLemw0TWdXQlIzWFFCUVNBUXBBQUFReWZyMTY5ZExtdGRqMC93Z0NONkpzU1FBS0RpQ0ZBQUFpR1Q1OHVYdFFSQlVTMm8zczJ3WWhzODFORFEweDEwWEFCUlNNdTRDQUFEQTlzZnp2TG1TM25IT2xVajZXOXoxQUFBQUFNRDJ3UG0rL3pmZjl4ZExTc1JkREFBVTJxWlAxQU1BQUgwYU42NThaTW5ZNUxqUWdwMFNYbXBFM1BYRWJVVEtUdktjRzliVXFkbHgxeEszWEdpdENXZXJXdDd0V0wxNjlkS211T3NCTVBnSVVnQUFiTUc0OHZLUkk4TGtKVTd1ZURsWExMTmljMHlQOTV5OE1EVEp1VER1V3VMbVREazUxMjZ5RHBrZWIvR3lsNi9pdmpGZ2gwYVFBZ0JnTXlaT21iNWJLdWwrSWVsanpqa3ZtVWlvYUZpUkVnbG1zK0dmZ2lCVVowZUhja0VnTXdzbC9UbklCVjkrdlhIeFMzSFhCbUJ3RUtRQUFPakhoQWxWSmFsUnVRYzl1Wm1wVkVvelAzcVk5dCt2U2hQSDc2clMwdEs0eThNMnBMbWxSU3ZlZUZNMW1UbzkvdVJUNnV6TXlrelB0TDBYSHJ0eVpYMUwzUFVCMlBvSVVnQUE5R1BTMU1wTG5iTXJoZzhmN2wxeDJjVTY2c2dqVkZaV3FxNEgwUUk5bVptYW1wczE5Ky96OU0xTExsZGJXM3RvWmo5NGRXbjlkK0t1RGNEV3gzT2tBQURvdzRRSkUwbzhaNmM2NTd4UGZQd28vZnZSSDlPb1VXV0VLUFRMT2FleTBsTE4vT2hoK3ZoUk0rV2M4enpQKzhKdXUrMDJQTzdhQUd4OUJDa0FBUHBRVkxienpuS3VPSmxNcW1MZmFSb3hZc2d2MG9jQktpNHVWdVgwZlZWVVZDU1RVcWxVNmM1eDF3Umc2eU5JQVFEUWh5RE1qcE5aY1ZGUmtYYmRoZS9CaUdiOHJydG8rUEJpeVZRVURFdnVGSGM5QUxZK2doUUFBSDFJZUtrUjVwUk1KRHlOSERreTduS3duU2t0TFZVcW1aS2NFcDRTckV3QzdJQUlVZ0FBQUFBUUVVRUtBQUFBQUNJaVNBRUFBQUJBUkFRcEFBQUFBSWlJSUFVQUFBQUFFUkdrQUFBQUFDQWlnaFFBQUFBQVJFU1FBZ0FBQUlDSUNGSUFBQUFBRUJGQkNnQUFBQUFpSWtnQkFBQUFRRVFFS1FBQUFBQ0lpQ0FGQUFBQUFCRVJwQUFBR0tKdXVlVVdQZjMwMC8zdXorVnl1dXV1dS9UWVk0OXRsZXVabWRhdVhhdlcxdGF0Y2o0QWlCTkJDZ0NBSWVySko1OVVRME5Edi92dnZmZGVYWC85OWJydXV1dlUzTnpjWjVzZ0NKVEw1VGI2RXdSQm4yMy8rTWMvYXViTW1mcjk3MysvMWZvQUFIRkp4bDBBQUFEWTlxeGR1MWEzM1hhYkprK2VyTmRmZjEyelpzM1NONy81elUzYW5YNzY2VnF5Wk1sRzI4ckt5allaNmVyczdOVE5OOThzei9OMHp6MzM2TVFUVDFSeGNmR2c5d05iVmxsWmVYQWlrVmhZWFYyZGpidVc3VUZsWmVWb3ovUE9ON05QU2RyVE9WZHNadXVjY3cyNVhPNGI5ZlgxQy9KTnZjckt5aTg0NTg1d3puMUUwaWhKcjVyWkE3bGM3cnBGaXhhOTl6N0s4SHpmLzIvbjNQVnIxcXdadTN6NTh2YXQxRDFFUUpBQ0FBQ2IrUDczdjYrV2xoYjkvT2MvMXgvKzhBZk5uajFiQngxMGtBNCsrT0NOMm4zclc5L2FhTFRxNFljZjduT1U2NmFiYnRLYU5XdDA4ODAzNnh2ZitJWnV2UEZHZmV0YjN5cElYN0I1enJrSHdqQmM2L3YrbkRBTTc4bmxjbTg5Ly96ejZ5WGw0cTV0VzFOVlZmVmhNM3RhMGdlZGMwMlNGa3N5NTl3a1NZY2tFZ2xmMGdKdENGeGxudWY5V2xMR3pKNlFsSExPSGU2YyszWXFsVHBoK3ZUcC8xWmZYOThTc1FUbisvN3h6cm52U2tvUFRpOHhVQVFwQUFDR2tMZmVla3VyVjYrV0pIVjBkR2pWcWxWYXRHaVJKS204dkZ5SlJFSy8vZTF2OWZUVFQrdmNjOC9WaHovOFlYMzV5MS9Xd29VTGRlbWxsK3JYdi82MUprK2UzSDIrNmRPbmEvYnMyWm8wYVpJT1B2aGd6WjA3VjZOSGo5N29tblBuenRYczJiTjEzbm5uYWIvOTl0TkZGMTJreXk2N1RIdnR0WmMrOWFsUEZmZ1RRQitjYzI1UFNaY2xFb2x2ZXA1WG4wNm41NFZodURBTXczbjE5ZlhMSlZuY1JXNEx3akM4eVRuM1FVbS9ibTl2LzJwRFEwUDNieEdtVDU5K1FNKzJ6YzNOYmFXbHBRZGxNcGw1WGRzbVQ1NWNQSGJzMkg5SThoT0p4SW1TN2hqb3RhdXFxajRTaHVFVHpybmRKTDFtWnF1Y2MrTzJZdmNRRVVFS0FJQWg1SzY3N3RMZGQ5L2QvZjZOTjk3UVF3ODlKRW42eTEvK290cmFXbDE3N2JXYU1XT0d6ampqREVsU2NYR3hmdlNqSCttMDAwN1RXV2VkcFZ0dXVVVlRwa3pwUHNlY09YTjA4c2tuNitDREQ5YmF0V3MxYXRTbzduMTFkWFg2OXJlL3JjTU9PMHlublhhYUpPbllZNC9WMHFWTGRmWFZWeXVWU3VrVG4vaEVBVDhCYkVHeGMyNS9TZnQ3bnJmZTg3eDNmTit2RDhQd3J2YjI5aWVXTGwzYUZIZUJNVHRTa3JMWjdOZDdoaWhKNmpHbFQ1TFUyTmpZSVdsZXoyM0xseTl2SHpObXpPK2RjNzZaalkxeTRWd3V0NVBuZWNNa2ZhKzl2ZjJIdzRZTm15K0pJQlVqRnBzQUFHQUlPZi84OHpWMzdsemRkZGRka3FUVFRqdE5jK2ZPMWR5NWMxVmJXNnVMTDc1WWt5Wk4wdFZYWHkzblhQZHhFeWRPMUMyMzNLSXdESFhtbVdmcXFhZWU2dDczN3J2dmFzeVlNWktrZGV2V2RRZXA1NTU3VHVlZGQ1NTIzMzEzWFhubGxSdWQ3L3p6ejljeHh4eWp5eSsvWExObXpWSXV4eXl5R0pueXF5cjIrbE1tYVlwejdzUkVJbkYvU1VuSlM1V1ZsVC96ZmY4dzMvZkhUWmt5WlZqY2hSZWFjNjVaa2hLSnhFN3Y0eHg3NVY4K0YrVzRkZXZXUFpmSlpNYlgxTlQ4Yis4UWgzZ3dJZ1VBd0JDU1NxV1VTcVcwWU1HR1g1NG5rMG1WbEpSbzRjS0Z1dkRDQ3pWdTNEajk0QWMva0hOT1RVMGJEejdzdXV1dXV2SEdHM1hKSlpmb1c5LzZsbjc3Mjk5cTU1MTNWbnQ3ZTNlUVdydDJyYVpNbWFKNzc3MVhQL3poRHpWcDBpUmRkZFZWeXVWeVdydDI3VWJuKzlyWHZpWXowMjIzM2Fibm4zOWVQLzNwVHd2NFNSUklhQ3BLaG50V1ZsYkdYY25tRkhXOTZBcTdaditjeWRmajlUalA4NzRrNlF4SmpXVmxaZk1yS2lvV0JVRXdkL0hpeGRWRFpQcmYvWkwrMnprM3U2cXE2dFRxNnVxWEJuSlFWVlZWaVpsTmt2UmZrajV2WnJmVzF0YitQY3FGV1ZCaTIwT1FBZ0JnQ09wYVZlKzExMTdUM1hmZnJSTlBQRkhISFhlY1RqbmxGSjE2NnFuOUhqZGp4Z3pkY2NjZFdyQmdnWGJmZlhlOTl0cHJrclRSaU5UbzBhTTFac3dZSFhUUVFUcnl5Q04xd2drbjlIdStMMzd4aTdyd3dnczFkZXJVcmQ3SGJZRnpjc09UeVM5Nm5wczhnT2F4Q01Pd3RPZG9vWG9FcXQ3eW9TcmxuTnRiMHQ2ZTUzVW1Fb21WdnUrL0l1bnViRGI3d09MRmkxY1dwdkxDeTJhekZ5ZVR5WDJkY3pQQ01IdytuVTdQYW05dnY2YWhvZUh0dnRwWFZWVjl4TXlXZElWUk0xc1podUVwZFhWMTl4YTZkbXg5QkNrQUFJYVlkOTU1UnkrKytLSW1UcHlvcHFZbS9lUW5QOUZ1dSsybXl5Ky9YTGxjVGpmZGRGTy94NDRaTTBhalJvM1MwVWNmTGVXbjlVblNzbVhMdEdiTkdxMWR1MVlyVjY3VTRZY2ZycC84NUNkNjc3MzNkT3V0dC9aN3Z2SGp4MnZpeEltRDBNdHRTc3JNZHFpMTNzMU16ams1NXhKbU5sTFNlRW1qc3Rsc0l1N2FCbE4reWZMREtpc3JMM0RPWFNMcGd1TGk0ditwckt5OHZybTUrY3I4ZlZIZE9qbzYzaXNxS3ZvL1NTUE03SVA1bGYzdTlIMS9uMHdtOHoxSllWZmJkRG85cGZmMXpHeGRKcE5aVmFqK0lScUNGQUFBUTh5ZGQ5NnBHVE5tNk5WWFg5VSsrK3lqZmZmZFYxZGRkWlVlZXVnaHZmUE9PenJvb0lNa1NUZmNjSVBXcmwycjczNzN1MUorbGIrYmI3NVp5V1JTZSs2NXB5UnB6Wm8xOGp4UFYxOTlkZmY1Nzd2dlBoVVhGK3RyWC91YVVxbVVmTjlYSXBIUTJXZWZyWU1QUGxoZitNSVhKRWxOVFUyNi92cnI5Ym5QZmE3N2ZEc2FNMWxiTG5kclNTcnhZdHkxOU1jNTk0Q2tqWlphN0JwQjZXZWtLakN6MXlRdERJSWdZMmIvU0tWUzg0ZlFjNmh5dGJXMVA2eXFxdnA1R0libk9lY3U5RHp2MHRMUzBxT3JxcXFPcXE2dVh0ZlZNRDg2ZDI3WCsyblRwdTJTU3FYdWRjNWQ3dnYrNmt3bTAvVmJpNlNrdnY2UDNDcnA3SUwwQ3BFUnBBQUFHRUxlZmZkZDNYLy8vYnJ5eWlzMWE5WXNTZEtaWjU2cEk0ODhVdFhWMWZyS1Y3NmkrKysvWDVNblQxWnhjYkhtemZ2bm9tUDE5Zlc2ODg0N3RkZGVlM1VIbjVrelorclpaNS9kNkJvbm4zeXlpb3FLOU9xcnIrb3puL21NZnZLVG4yakdqQmxLSnBQNjI5LysxaDJrL3ZyWHYrckJCeC9VWno3em1ZSitCZ1hsT1hVR2lSZVhQVi83bDdoTDZZL3Yrem5sUTFMUGU2TzY5QWhUVFdFWS90bk01blIyZG1aS1NrcmVxYXVyV3o5RTdvM2FSRDR3WFRsOSt2UmJrOG5rL2M2NVE4SXcvSUdrTC9kM3pPTEZpMWVtMCtrejg2SHBiRWxkUVNvd3MwLzNiaCtHNFlEdXdVSThDRklBQUF3aGQ5eHhoMGFPSEtsRER6MjBPMGdWRlJWcDZ0U3BhbTl2VjFGUmtaNTU1aGxObmp4WjZYUmFQL3Zaei9UV1cyOXAvUGp4V3Jod29SS0poQTQ5OU5BK3o5M1MwcUoxNjlZcG04MnF1TGhZa3laTjB0aXhZL1duUC8xSk0yYk0wSDc3N2FlYmI3NVpyYTJ0S2lrcDBaTlBQcWtwVTZabzc3MzNMdkNuZ0Y1QzlaaXUxME9ibWEyWDFDanBWMjF0YmI5LzRZVVgzbzJ0eW0xVWZYMzlPOU9tVGZ0Y1VWSFJhNUpPMlZ5UWtxU2FtcHJHZERyZExtbFNqODJXeVdUdUcveHFzVFd4L0RrQUFFT0ljMDZmLy96bmxVcWxOdGxYWEZ5c3Fxb3EvZjN2R3hZVEt5OHZseVRWMXRaS2t1Yk5tNmVxcWlxVmxaVkorWVVsN3J2dlBsMTU1WlU2OWRSVGRmamhoK3YyMjI5WFIwZUhpb3MzM0JMMDBZOStWRTgvL2JTeTJhejIzMzkvNVhJNVpUSVp0YlMwYVA3OCtUcnV1T01LMkh2MHc5TS9SNlE2SkZWTCtxbVpuUjJHNFdHWlRPYlFUQ2J6QzBKVS83TFo3Rm96TStkY3FhUytWK3JJODMxL2txUmlTYThWcmtJTUJvSVVBQUJEeUVrbm5iVFpxWFRwZEZwMWRYVnFiMi9YaUJFak5INzhlTlhWMVduTm1qVmFzbVNKWnM2YzJkMjJ0YlZWUC9yUmovVHFxNi9xMEVNUDFVMDMzYVN2ZnZXcmFtOXY3dzVTUnh4eGhKcWJtN1Z3NFVKTm5UcFZwYVdsV3J4NHNaNTQ0Z2tGUWFCamp6MjJJUDNHWnBtWnZSS0c0WS9OYkdZdWwvdlUrdlhydjVISlpHNnZxNnRiTmxTbjd2VTJaY3FVWWVsMCt0NTk5OTEzMzU3YnE2cXFVaU5HakxqY09lZk03QjlkbjFkbFplVVorZERVOHh4bHpybGJ0ZUZEdjZQQVhjQld4dFErQUFDR2tOMTIyMjJ6KzlQcHRMTFpyT3JxNm5UQUFRZm8rT09QMXk2NzdLSm5ubmxHbnVmcHlDT1A3RzQ3ZnZ4NFBmUE1NNXVNYnJXMXRXbjQ4T0hkNS9OOVgyRVl5dk04M1h2dnZkcDU1NTExeGhsbmFNYU1HZnJBQno0d1NEM0ZRQVZCY0ZJdWwxdlEwTkRRR1hjdDI3SmNMdWNrZlRxVlNuMDZuVTYvTHVsRk0wdUdZYmkzYzI2Y21hMlJkSDVYZTgvelBpYnA1Nzd2LzgwNTk2S2tuU1FkbXYvN1Q1MmRuVCtLdDBkNHZ3aFNBQUNnMno3NzdLUHJyNzllRlJVVmtxVC8rWi8va1NTZGQ5NTUybSsvL1RSMjdOaU4ydmNPVVd2V3JGRXVsOVBvMFJzV2dVc21rN3J0dHR1NjkrKzg4ODU2NVpWWHRHalJJbDF6elRVRjZCRzJwTDYrZm03Y05Xd1BsaTlmM2pGbXpKZ3puWE1ubUpudm5Edk1PZGNwNldVenUxM1M5WmxNNXMydTlrRVEzSmhJSkZLUzlqZXpHYzY1VGpOYjdKejdUazFOemM5N0xuMk83Uk5CQ2dBQTZPV1hYMVpOVFUzMys0Y2Zmcmo3ZFJpR1dyQmdnUTQvL0hEZGQ5K0crK0dMaW9yMEgvL3hINUtrMy8zdWR3cUNRTU9HRGRNVFR6eWhaREtwNXVabUhYWFVVWDFlcTdOenc4REhEMzd3Zys0d2RkWlpaK21VVTA0WjFENEM3NU5sTXBsZlN2cmxRQnJYMWRVdHpDOCtNU2d5bWN5MHdUbzNCb1lnQlFBQXRIang0czAraUxlNHVGZ0xGaXpRZ2dVTEpFa2pSNDdzRGxMUFB2dXNIbi84Y1VuUzZOR2pkZEZGRjZteXNySjdOR3NnZXQxMkFnRGJ2TTJ1S2dJQXdGQTErU09WSDVXenU4dEtTM2U5OWFZZjY4RDkveTN1a3JacFlSZ3FDSUkrVndNY2l1WXZmRTduWFhpeFZyMzc3bHFaVGxqK3dyYjdIQ2tBL3hwR3BBQUF3UHZtZVo0OGo4V0FBUXdkL01RREFBQUFnSWdJVWdBQUFBQVFFVUVLQUFBQUFDSWlTQUVBQUFCQVJBUXBBQUFBQUlpSUlBVUFBQUFBRVJHa0FBQUFBQ0FpZ2hRQUFBQUFSRVNRQWdBQUFJQ0lDRklBQUFBQUVCRkJDZ0NBUGdTV2EzWlNOZ3hDdGJhMnhsME90ak90YlcwS2drQXlCWUhsbXVPdUI4RFdSNUFDQUtBUFpwMXZ5ZFRXbWMzcW5WV3I0eTRIMjVuVnE5OVZlMGU3SkhXWWRiNFZkejBBdGo2Q0ZBQUFmVml4Yk5sS2sxcXkyYXlXTEYybTl2YjJ1RXZDZGlLYnkyblppNDFxYisrUVpCMHJsaTFiR1hkTkFMWStnaFFBQUgzTHljSjd6Q3o4dzhOLzFMTTF0V3ByYjVlWnhWMFh0bUZCRUtpeDhTWDk0WkZIRllaaEtObHZKT1hpcmd2QTF1ZmlMZ0FBZ0czVmhBa1RTb3JLZG43VU9SMVdWbGFxSXc0N1JCWDdUdE51RXlkbzVNaVJjWmVIYlVoSFI0ZWFtcHUxNUlWbGV1Q2hSL1QyMnlzVm12MDl1MzdWMFcrKytTWTMyUUU3SUlJVUFBQ2JNV0hxOUtrcHVkdWMwMEhPT1MrVlNtbEVTWW1TeVdUY3BXRWJFb2Foc3Rtc1dscGJGUVNCeWZTM25JSnpWeXhkWEI5M2JRQUdCMEVLQUlBdEdMUEhIcVBLaWtxLzd6bDkwcVNVNUZLU0VuSFhGU2NMcmZ0TGhFbHkzcEQvU2hGSWxuVlNOcFQ5cVNuYmV1R2F4c2IxY1JjRllQQU0rWjk2QUFBTTFMaHg1U05MeGliSGhSYnNsUEJTSStLdUowN0RrdUdIaHlXOTB6em5VbTNaNEJjZE9lK2x1R3VLVXk2MDFvU3pWYTFyY3F0V3JXcGd1WE5nQ0NCSUFRQ0F5SHpmUDl3NU44Zk1paVY5S3BQSi9EWHVtZ0Nna0ZpMUR3QUFBQUFpSWtnQkFBQUFRRVFFS1FBQUFBQ0lpQ0FGQUFBQUFCRVJwQUFBQUFBZ0lvSVVBQUFBQUVSRWtBSUFBQUNBaUFoU0FBQUFBQkFSUVFvQUFBQUFJaUpJQVFBQUFFQkVCQ2tBQUFBQWlJZ2dCUUFBQUFBUkVhUUFBQUFBSUNLQ0ZBQUFBQUJFUkpBQ0FBQUFnSWdJVWdBQUFBQVFFVUVLQUFBQUFDSWlTQUVBQUFCQVJBUXBBQUFBQUlpSUlBVUFBQUFBRVJHa0FBQUFBQ0FpZ2hRQUFBQUFSRVNRQWdBQUFJQ0lDRklBQUFBQUVCRkJDZ0FBQUFBaUlrZ0JBQUFBUUVRRUtRQUFBQUNJaUNBRkFBQUFBQkVScEFBQUFBQWdJb0lVQUFBQUFFUkVrQUlBQUFDQWlBaFNBQUFBQUJBUlFRb0FBQUFBSWtyR1hRQUFBTmkyVlZWVmxZUmhPSzduTnVmY3JtYVdjTTU1a25iMWZYOVN6LzFCRUt5dXI2OXZLWGl4QUZBZ0JDa0FBTEJadVZ4dWFpS1JxT205M1RuWDlYSk9qOWVTSk0vejlwZjBiSUZLQklDQ1kyb2ZBQURZckxxNnVub3pXelRROW1hMnBMYTJkcFBnQlFBN0VvSVVBQURZa3NETTd0U0drQ1F6MjZSQnorMW1kcStrb1BCbEFrRGhFS1FBQU1BV2hXSDRCMG5yQjlCMGZTNlhlN2dBSlFGQXJBaFNBQUJnaXp6UFd5bXBydmU5VUQzbDk5VUZRZkJHSVdzRGdEZ1FwQUFBd0JiVjF0WTJTWnB2WnFIeVUvbTY5SmpTWjVMbUwxbXlaSFY4bFFKQVlSQ2tBQURBUUFSbXRrRFN1czIwYWMyM3lSYXdMZ0NJQlVFS0FBQU1TQkFFQ3lTdDZucmZlK0VKNTl6NmJEYTdNSzc2QUtDUUNGSUFBR0JBNnV2clYwaXE2ZXMrcWZ5Mm1zV0xGNzhlUjIwQVVHZ0VLUUFBTUdDNVhPNzIvdmFGWVhoYllhc0JnUGdRcEFBQXdJQzF0YlU5WldZcmUyODNzMVZyMTY1OUxKNnFBS0R3Q0ZJQUFHREFHaHNiTzV4emQzZE43M1BPeVRrbk0zdGcrZkxsN1hIWEJ3Q0ZRcEFDQUFDUkJFRnd0NWwxZHIzUHY3NHYzcW9Bb0xBSVVnQUFJSksydHJhWEpTM3BNU3IxUWlLUldCcDNYUUJRU0FRcEFBQVFTUmlHVFpLZXRYOTZOcHZOdmh0M1hRQlFTQVFwQUFBUVNXTmpZMGYrd2J1dGtqck5iRUY5ZlgxTDNIVUJRQ0VsNHk0QUFBQnNmNXh6LzhnL25IZEVHSWJ6NHE0SEFBQUFBTFlIenZmOVAvdSsveXd6WEFBTVJacyttaHdBQVBScDNManlrU1ZqaytOQ0MzWktlS2tSY2RjVHQ1SWlIZXZKaGpWM3VnZmlyaVZ1dWRCYUU4NVd0Ynpic1hyMTZxVk5jZGNEWVBBUnBBQUEySUp4NWVValI0VEpTNXpjOFhKRkcvSFBBQUFnQUVsRVFWU3VXR2JGNXBnZUwxbitlNFN6dUN1Sm16UGw1Rnk3eVRwa2VyekZ5MTYrcXFHaE9lNjZBQXdlZ2hRQUFKc3hjY3IwM1ZKSjl3dEpIM1BPZWNsRVFrWERpcFJJSk9JdURkdVFJQWpWMmRHaFhCREl6RUpKZnc1eXdaZGZiMXo4VXR5MUFSZ2NCQ2tBQVBveFlVSlZTV3BVN2tGUGJtWXFsZExNang2bS9mZXIwc1R4dTZxMHREVHU4ckFOYVc1cDBZbzMzbFJOcGs2UFAvbVVPanV6TXRNemJlK0Z4NjVjeVlxR3dJNklJQVVBUUQ4bVRhMjgxRG03WXZqdzRkNFZsMTJzbzQ0OFFtVmxwZXA2RUMzUWs1bXBxYmxaYy84K1Q5Kzg1SEsxdGJXSFp2YURWNWZXZnlmdTJnQnNmYXl5QXdCQUh5Wk1tRkRpT1R2Vk9lZDk0dU5INmQrUC9waEdqU29qUktGZnpqbVZsWlpxNWtjUDA4ZVBtaW5ubk9kNTNoZDIyMjIzNFhIWEJtRHJJMGdCQU5DSG9yS2RkNVp6eGNsa1VoWDdUdE9JRVVOK2tUNE1VSEZ4c1Nxbjc2dWlvaUtabEVxbFNuZU91eVlBV3g5QkNnQ0FQZ1JoZHB6TWlvdUtpclRyTG53UFJqVGpkOTFGdzRjWFM2YWlZRmh5cDdqckFiRDFFYVFBQU9oRHdrdU5NS2RrSXVGcDVNaVJjWmVEN1V4cGFhbFN5WlRrbFBDVVlHVVNZQWRFa0FJQUFBQ0FpQWhTQUFBQUFCQVJRUW9BQUFBQUlpSklBUUFBQUVCRUJDa0FBQUFBaUlnZ0JRQUFBQUFSRWFRQUFBQUFJQ0tDRkFBQUFBQkVSSkFDQUFBQWdJZ0lVZ0FBQUFBUUVVRUtBQUFBQUNJaVNBRUFBQUJBUkFRcEFBQUFBSWlJSUFVQUFEYVN5K1cwZHUzYVRiYXZXN2RPYlcxdG16MzJqVGZlVUd0cjZ5QldCd0RiQm9JVUFBQkRUQzZYVTJ0cjYwWi8ydHZidS9kLzczdmYwN25ubnJ2Uk5rbTY3cnJyZE1JSkoyajE2dFg5bnZ2Q0N5L1VxYWVlS2pNYjFENEFRTnlTY1JjQUFBQUs2Lzc3NzllMTExNjcwYlp4NDhicHNjY2VreVNkY3NvcE92UE1NM1gxMVZmcmlpdXVrQ1E5OTl4emV2VFJSL1hwVDM5YU8rMjBVNS9ucmFtcDBZc3Z2cWdMTHJoQXpya0M5QVJiUTJWbDVjR0pSR0poZFhWMU51NWFCaURoKy80Wmt2NVRVb1Z6cmt4U3E1bTlMT25HVENienk2Nkd2dThmTHVsY1NmL21uTnZWekZZNjUrWUdRWEJsWFYzZHNxZ1huajU5K29oa012bE5TYWVhMldUblhMdVpQU3ZwLzJVeW1TZTNlay83VUZWVmxRcUM0SFRuM0FuT09kL01QdUNjYThyMzdXOWhHTjVlVzF2Nzk2NzI2WFI2aXBtZDc1dzdTdElIemF4SlVyMmthOTV2emVYbDVTT0xpNHV2a1pTdXFhbVpzVlU2dUowaFNBRUFNQVNOR2pWS3MyYk5raVE5K3VpajNTRktrcVpObTZaenpqbEhEejc0b05hdFc2ZWlvaUpkY2NVVm1qWnRtaTY4OE1KK3ozbkxMYmRJa21iTm10WDlla3Z1dXVzdVRaNDgrWDMzQi84NjU5d0RZUml1OVgxL1RoaUc5K1J5dWJlZWYvNzU5Wkp5Y2RmVzA1UXBVNGFWbFpVOUt1a0lTWUdaTFRLejlaSSs2SnliSnVsb1NiL3NjY2dOa2taSnFwYlU1Snlya3ZTZm51ZDlLcDFPSDF4VFUxTWY0Zkl1bVV6K1E5SjBTUXNrM1dObUg1STBVOUpNMy9mUHlHUXl0dzlDdDd0VlZsWldtdGw5bnVkOTJNeENNM3RCMGpKSkk1MXplMG42YjgvekprbzZyc2RoNTByNnZKbk5sL1EzNTl3ZVp2WXg1OXhSdnUrZjJUTjREbFJWVlZWSkdJWm5PdWUrTFdsOC92TVlrZ2hTQUFBTVFZbEVRbE9uVHBVa1ZWZFhkMjlmdW5TcEdob2FWRlpXcHBOUFBsbFBQZldVNXMrZnJ6ZmVlRVBISFhlY0huNzRZUTBiTmt6SEhudnNSdWQ3NXBsblZGMWRyUk5QUExIN3ZKdnovUFBQNjhFSEgyVGthdHZnbkhON1Nyb3NrVWg4MC9POCtuUTZQUzhNdzRWaEdNNnJyNjlmTGluMnVacGxaV1huNTBOVXByT3o4NU9MRnk5K3ZXdWY3L3VUek16dmRjaDVtVXptYjVMQ0h1MXVkczZkWTJiblN6b3p3dVVUWmxZY2h1RUJkWFYxQzdzMlZsUlVISjFJSlA1b1pqK3VxcXE2ZTdCRzlhWlBuNTUyemowamFZU2svK3ZvNlBoK1EwUEQyejJhZUw3dkg5TDdNekN6TzF0Yld5OWJ1blJwVTllMmREcDlpcVE1enJsTGV3WFBMZko5LzdObWRxdHpyalFmVU1kdmpmNXRyd2hTQUFDZzI5eTVjelZyMWl5TkdqVnFvKzJqUm8zU25EbHoxTkhSc1VtUWFtNXUxalhYWEtNOTl0aERGMTEwa1pMSkxYKzlHRDU4dUI1ODhNRUJ0VVZCRlR2bjlwZTB2K2Q1NnozUGU4ZjMvZm93RE85cWIyOS9vdWNYOGhnY21mLzd5cDRoU3BJeW1jeXJrbDd0dGUyWlBzNHhSOUk1enJteEVhOGRlSjUzY0NhVDJlZ0d3YnE2dXNmVDZmUmZuWE5IZG5aMmZrVFNvb2puM2FMSmt5Y1hKeEtKM3publJvUmgrSlhhMnRxYisyZ1c1dnU3VVo4em1jeHp2UnZXMU5UY2wwNm5jMllXOVRPUXBBK2IyZXRtZG0wWWhvOG1rOG1WLzhJNWRoajg5QUlBWUFnS2drQU5EUTJTcExmZmZudWpmYU5HamRKVFR6M1Y1M0czM1hhYlpzK2V2ZEcyNjY2N1RtKy8vYmJPUC85OExWdlcvNjBuNWVYbEcxMWZFa0ZxMjJEYU1IclJlM3VaYzY3TU9UY2xrVWljV0ZKU3NxcXlzdkwzenJrN0pTMXBhbXBhMzlqWTJGR3dJczFhbkhNS3c3RHZtL1FHZG82OThxT2d6MFk5dExxNnVyOVZWdFpKa3VkNWcvSlpqQjA3OWl4Sms4enN3WDVDVkNUcGRIcjNmQWFJK2hrb0NJSWYxOWZYZjE4YnB2anROTlFYbGVHbkZ3QUFROUM2ZGV0MCt1bW5TL2t2MFAwdElMRWw5OTU3cng1KytHR05IajFhTjl4d3cyYmI5cHhDbU0xdW1BRzF3d2VwMEZTVURQZXNyS3lNdTVMTktlcDYwVFhWc3VjWDVCNnZ4M21lOXlWSlowaHFMQ3NybTE5UlViRW9DSUs1aXhjdnJpN0E5TC83Skozb25Mdks5LzJYQjdwWVFubDVlWkhuZWJ1a1VxbFBPT2V1TWJQbldsdGJiOW9hQlpXWGx4ZVoyUUdTV2xwYVdsNGR3Q0dSbWRuSitYK1g5MU96TjMzNjlKMDh6NXRoWmxkTFdpWHBtMUZQVWw5ZjMvSSthdGpoN09BL3ZRQUFRRi9Hamgycko1NTRRcEkwZS9aczNYNTc5UHZrWDNubEZmM3doejlVUlVXRmpqenlTUDM0eHovV25EbHpOR2JNbUkzYXpaNDlXNy81elc4MjJ0YloyU2xKS2lvcTBvN01PYm5oeWVRWFBjOXRzeXRxaEdGWTJ2dGV0Zjd1WGN1SHFwUnpibTlKZTN1ZTE1bElKRmI2dnYrS3BMdXoyZXdEaXhjdkhwVHBYcGxNWm83dis0YzY1ODZSOUdmZjl4ODBzKy9XMXRiVzluZU03L3R2TytkMnlkZmVhV1pYdnZmZWV6OWN2bng1ZTMvSFJGRmNYUHh0U1JNay9kOWdqYzQ1NTlMYU1CbzA3MTg1UHAxT3o1RjBTdGQ3TTV2ZDBkRnhZYTk3clBBdklFZ0JBSUIveWVUSmszWDg4Y2ZySzEvNVNuY29Hek5tekNhald5VWxKWnNjMnhXa2hnMGJWcUJxWTVVeXMrSzRpOWlhekV6T09Ubm5FbVkyTXIvb3dLaHNOcHNZek10bU1wa3YrNzcvbUhQdVd1ZmNmMGc2UHAxTy85WTVkMEYxZGZWYmZSenpTMGs3U1pyZ25EdEEwcFZqeG96eFMwdEx6MXEwYU5GN1hZMHFLaW9tSmhLSjRUMFBkTTUxVmxkWHY5WlBMWjd2KzkrVDlCMHphekN6NzJ6MTN1Wkh2Q1NWbWxsSDc5R2d5c3JLMFo3bnZkZjdtUGIyOXRLR2hvYm1IcHYrWkdacjhrdkE3K3VjKzF4eGNmRytGUlVWbjYycnEzdStxOUUrKyt3emR0aXdZWnZjTjFWVFUvT0twR0FRdXJmZEkwZ0JBSUNOdExXMTZhcXJydXB6M3dzdnZORDkyam1ueXk2NzdGKytodWQ1Ty95SWxKbXNMWmU3dFNTVmVESHVXdnJqbkh0QTB1aWUyN3FtOC9VelVoV1kyV3VTRmdaQmtER3pmNlJTcWZtRmVnNVZKcE41VU5JanZ1OS96am4zWFVtZkNjUHdDTi8zajhwa01uVzkybDdTOVhyeTVNbkZZOGVPL1gvT3VmUHpVMHBQNnRybmVkNDlrZzd1ZWF5WkxaWDBrZDdYbnpadDJpNnBWT291NTl4TVNYTWxuVlJiVzd0Mk1QcmEwTkRRbVU2bmM4NjVZVlZWVmFtZW4zRVlobG5QOC83VW8vbWhramI1clVWTlRjMnZKUDBxLzlaVlZsWisxamwzUnlLUitPUDA2ZFBMdXdKYUtwWDZ1cVJMZXg5ZlhsNCtudEdydmhHa0FBQVlnbks1bkJZdDJyREEyRnR2YmZ5TC9DQUlWRmRYcDVkZWVrbDc3cm1uMnR2YjlmcnJyNnU4dkZ5clYvZDN2LzBHbi96a0ovdThWbTlOVFUxOWpsVHRjRHluemlEeDRyTG5hLzhTZHluOThYMC9wM3hJNm12eGdCNWhxaWtNd3orYjJaek96czVNU1VuSk8zVjFkZXRqV2hvOXlHUXlkNVNYbDk5VFhGeDh2WFB1SzVMdWxGVFozK2pKOHVYTDI1Y3ZYLzcxZERwOWduUHVSTi8zeDJVeW1WWGFFSnEra3grNTZoYUc0ZnJlNTBpbjB3ZEtlaURmOW45cmFtcStYNERSbWxmenErVk56eTg1THYzemZxV1A5Nml0VWRLSHQzQXVxNjJ0bloxT3A0K1Y5SG5QODQ2VjlGdHQrQXp1TnJOTnBrbDJkblp1TXVxRkRRaFNBQUFNUWV2WHI5ZlpaNTh0NVlOTzEzMU5KNTk4c280NTVoaTkvZmJiT3Z2c3MzWGpqVGVxdnI1ZUYxMTBrVzY5OVZaMWRuYXFxYW4vRmJDLy92V3ZhK1RJa1Z1OC9zcVZLL1dCRDN4Z0svWUk3ME9vSHRQMWVtakxQL0MyVWRLdjJ0cmFmdi9DQ3krOEcxdVZmV2hvYU9pVTlGWGY5NDl4emszYmQ5OTl5eGQxL1lhZ2I2R2tKWkkrSkdsU2Z0RUYxZFp1T2VoV1ZGUWMwalZOenN3T3I2MnQvY2RXN1V3L3pPelB6cmtQUy9yUG5rSHFmWjV6Y2Y3ZmVsTFh0dncwditjM2V5QTJRcEFDQUdDSUNZSkF1KzY2cXg1NTVCR3AxMklUbzBlUDF1alJvMVZkWGExRUlxR3hZemUrWmFKcmYzOE9QL3p3VGU2UnltYXozYXYwU2RLaVJZczBiOTQ4SFhIRUVaS2tCeDU0UUljY2NvakdqUnUzVmZ1SkFmUDB6eEdwRHVmY1lrbnp6T3paTUF6bjE5WFZ2Ymd0UEpCM004dzUxN1VFK2FndHRIVm10cGNreTJhenIyK2hiYmVxcXFxU01BenZrYlF1bTgwZTFQczVWb01wRE1PYlBNLzdiMGxmOW4zLzNrd204eTh0T3RHVGMyNnFOZ1NxL3U0Qnd3QjRjUmNBQUFBS3E3bTVXY09IRDk5c20rZWVlMDU3N0xGSHY4dVRaeklaZFhRTWJKR3lGU3RXNk5CREQ5WCsrKyt2QXc4OFVHZWNjWWFjYy9xdi8vb3Y1WEk1WFhYVlZmclZyMzQxZ0ROaGtKaVp2UktHNFkvTmJHWXVsL3ZVK3ZYcnY1SEpaRzZ2cTZ0YnRxMkVLTi8zYjA2bjA4ZjAvdjdxKy81Smtpck5yQ1diemRibXQ4M01qeUQxbEtpc3JMelNPYmU3Yys2SktLc0xobUY0a25OdWdwbmRVc2dRcFgrT0ZGM3BuQ3VTOUlUdisrZE1uang1bzhWTDB1bjBsUHlpSDkwcUtpb21wdFBwLytyOWVWVldWbjRpUDdxMXVxV2w1YkZDOVdOSHhJZ1VBQUJEekd1dnZiYlowWjgzM25oRFR6NzVwTTQ0NDR4KzIxeHd3UVU2L2ZUVDljVXZmbkdMMTVzMGFaTE9PZWNjZFhSMEtKZkxhZHk0Y1pvNWM2WjIyV1VYdmZ6eXl6SXpUWjY4emE0T3ZzTUxndUNrWEM2M0lEOU5icHVWWHdiOEhOLzMxenJuRnVkSHozYVh0SWVaaFdiMmxhN1Y2c3hzOTBRaThYUGY5K3VjY3pXU2lzeHNmK2Zjbm1hMlBQODhyQ2dxOHpYOGgrLzc2WDdhek0xa01qK2FNbVhLc0xLeXNqbVM1dFRVMU56enZqdSs0UmNYLyt2N3ZpUjl4emwzODlpeFkzODBkdXpZQmtsdCtlWFg5OGlQS0w3WDJ0cWFrNlQ4S29TLzlIMy9Da2x6blhQdGt2YVdkR0QrdUM4ME5qWnVjaDhZQm80Z0JRREFFR0pteW1ReU92TElJL3ZjMzl6Y3JJc3V1a2lscGFYNjdHYy91OG14a3RUYTJxcm01bVpObkRpeGUxOXg4WVpma0wvNzdydWJUTzN6UEU5bm5YVlduOWRic0dDQkpHbnZ2ZmQrbnozRHY2cSt2bjV1M0RVTVJCQUUzMDRrRWwrVWRJQ1o3WmVmcHZlR2MrNU9TVGZVMXRZKzE5VTJETVBIUE0rN3dUbDNqSmw5MmptWGxQU1NwS3ZON0xycTZ1cW9xK3lWNWYrdWNzNVY5ZE9tNjlsVXd5U05Nck83ZmQvZks1UEpYUG12OVhnamxzbGt2bHRSVVhHdjUzbm5TanJTT2JlM21TVWxyWmIwcUprOTNOemNmR2ZYTTdMV3JGbXpZdXpZc1JjNTV6NGo2ZWg4SDk2UzlLdGNMbmROZlgzOTBxMVExNUJHa0FJQVlBaVpQMysrM243N2JSMTQ0SUhkSWVhWlo1N1JpQkVqOU1vcnIramlpeS9XaWhVcmRQUE5ONnVzYk1OM3g2N0ZJMjY3N1RidHM4OCtldTY1RGQ5WGQ5OTk5Kzd6ZGdXaFN5KzlWUC8rNy8rdVZDcTEyVHJNVEN0V3JOQkREejJrRDM3d2c1bzJiZHFnOVJrN2hycTZ1cWNsUFQyUXR2WDE5U3NrWGJDMXJwM0paTDRrYVVDaldJMk5qZXZMeThzL1hseGNmTHVrSzN6Zm41REpaTDdTdGFqSCs1R2Y1bmZPUU5ybVZ5bThWdEsxNy9lNmZhbXVybDR0cWU4bk53OFJCQ2tBQUlhUTExOS9YVk9uVHRVQkJ4eWdZNDQ1UnV2V3JWTlpXWm0rL3ZXdmErSENoVnEvZnIxdXZmWFdqWUpOT3AyVzcvdTY0NDQ3WkdZcUxpN1dpU2VlcUQzMzNMTzd6VjU3N2FXTExycEl2L25OYnpScjFxdytsOUh1YmVUSWtkcC8vLzExNFlVWGJ2SzhJbUI3bHA4bStYbmY5ME5KcDZiVDZSL1YxTlEweGwwWEFBREFvSnY4a2NxUFR0Njc0cTNwK3g5aTh4WThhenVTcHFhbVByZUhZV2pyMTY4dmVEMDdvbmtMbnJYOURwbHBrL2V1ZkcveVJ5by9HdmYvWjhRbVVWRlJzVmZjUldCd3NHb2ZBQUJEVEgvUGVYTE9xYlMwdE9EMUFEdXdJTC95SVhaQUJDa0FBQUFBaUlnZ0JRQUFBQUFSRWFRQUFBQUFJQ0tDRkFBQUFBQkVSSkFDQUFBQWdJZ0lVZ0FBQUFBUUVVRUtBQUFBQUNJaVNBRUFBQUJBUkFRcEFBQUFBSWlJSUFVQUFBQUFFUkdrQUFEb1EyQzVaaWRsd3lCVWEydHIzT1ZnTzlQYTFxWWdDQ1JURUZpdU9lNTZBR3g5QkNrQUFQcGcxdm1XVEcyZDJhemVXYlU2N25Ld25WbTkrbDIxZDdSTFVvZFo1MXR4MXdOZzZ5TklBUURRaHhYTGxxMDBxU1dieldySjBtVnFiMitQdXlSc0o3SzVuSmE5MktqMjlnNUoxckZpMmJLVmNkY0VZT3NqU0FFQTBMZWNMTHpIek1JL1BQeEhQVnRUcTdiMmRwbFozSFZoR3hZRWdSb2JYOUlmSG5sVVlSaUdrdjFHVWk3dXVnQnNmUzd1QWdBQTJGWk5tRENocEtoczUwZWQwMkZsWmFVNjRyQkRWTEh2Tk8wMmNZSkdqaHdaZDNuWWhuUjBkS2lwdVZsTFhsaW1CeDU2UkcrL3ZWS2gyZCt6NjFjZC9lYWJiM0tUSGJBRElrZ0JBTEFaRTZaT241cVN1ODA1SGVTYzgxS3BsRWFVbENpWlRNWmRHclloWVJncW04MnFwYlZWUVJDWVRIL0xLVGgzeGRMRjlYSFhCbUJ3RUtRQUFOaUNNWHZzTWFxc3FQVDdudE1uVFVwSkxpVXBFWGRkY2JMUXVyOUVtQ1RuRGZtdkZJRmtXU2RsUTltZm1yS3RGNjVwYkZ3ZmQxRUFCcytRLzZrSEFNQkFqUnRYUHJKa2JISmNhTUZPQ1M4MUl1NTY0alFzR1g1NFdOSTd6WE11MVpZTmZ0R1I4MTZLdTZZNDVVSnJUVGhiMWJvbXQyclZxZ2FXT3dlR0FJSVVBQUNJelBmOXc1MXpjOHlzV05Lbk1wbk1YK091Q1FBS2lWWDdBQUFBQUNBaWdoUUFBQUFBUkVTUUFnQUFBSUNJQ0ZJQUFBQUFFQkZCQ2dBQUFBQWlJa2dCQUFBQVFFUUVLUUFBQUFDSWlDQUZBQUFBQUJFUnBBQUFBQUFnSW9JVUFBQUFBRVJFa0FJQUFBQ0FpQWhTQUFBQUFCQVJRUW9BQUFBQUlpSklBUUFBQUVCRUJDa0FBQUFBaUlnZ0JRQUFBQUFSRWFRQUFBQUFJQ0tDRkFBQUFBQkVSSkFDQUFBQWdJZ0lVZ0FBQUFBUUVVRUtBQUFBQUNJaVNBRUFBQUJBUkFRcEFBQUFBSWlJSUFVQUFBQUFFUkdrQUFBQUFDQWlnaFFBQUFBQVJFU1FBZ0FBQUlDSUNGSUFBQUFBRUJGQkNnQUFBQUFpSWtnQkFBQUFRRVFFS1FBQUFBQ0lpQ0FGQUFBQUFCRVJwQUFBQUFBZ29tVGNCUUFBZ0cxYlZWVlZTUmlHNDNwdWM4N3RhbVlKNTV3bmFWZmY5eWYxM0I4RXdlcjYrdnFXZ2hjTEFBVkNrQUlBQUp1VnkrV21KaEtKbXQ3Ym5YTmRMK2YwZUMxSjhqeHZmMG5QRnFoRUFDZzRwdllCQUlETnFxdXJxemV6UlFOdGIyWkxhbXRyTndsZUFMQWpJVWdCQUlBdENjenNUbTBJU1RLelRScjAzRzVtOTBvS0NsOG1BQlFPUVFvQUFHeFJHSVova0xSK0FFM1g1M0s1aHd0UUVnREVpaUFGQUFDMnlQTzhsWkxxZXQ4TDFWTitYMTBRQkc4VXNqWUFpQU5CQ2dBQWJGRnRiVzJUcFBsbUZpby9sYTlManlsOUptbitraVZMVnNkWEtRQVVCa0VLQUFBTVJHQm1DeVN0MjB5YjFueWJiQUhyQW9CWUVLUUFBTUNBQkVHd1FOS3FydmU5RjU1d3pxM1Back1MNDZvUEFBcUpJQVVBQUFha3ZyNStoYVNhdnU2VHltK3JXYng0OGV0eDFBWUFoVWFRQWdBQUE1Ykw1Vzd2YjE4WWhyY1Z0aG9BaUE5QkNnQUFERmhiVzl0VFpyYXk5M1l6VzdWMjdkckg0cWtLQUFxUElBVUFBQWFzc2JHeHd6bDNkOWYwUHVlY25ITXlzd2VXTDEvZUhuZDlBRkFvQkNrQUFCQkpFQVIzbTFsbjEvdjg2L3ZpclFvQUNvc2dCUUFBSW1scmEzdFowcEllbzFJdkpCS0pwWEhYQlFDRlJKQUNBQUNSaEdIWUpPbForNmRuczluc3UzSFhCUUNGUkpBQ0FBQ1JORFkyZHVRZnZOc3FxZFBNRnRUWDE3ZkVYUmNBRkZJeTdnSUFBTUQyeHpuM2ovekRlVWVFWVRndjdub0FBQUFBWUh2Z2ZOLy9zKy83enpMREJjQlF0T21qeVFFQVFKL0dqU3NmV1RJMk9TNjBZS2VFbHhvUmR6MXhLeW5Tc1o1c1dIT25leUR1V3VLV0M2MDE0V3hWeTdzZHExZXZYdG9VZHowQUJoOUJDZ0NBTFJoWFhqNXlSSmk4eE1rZEwrZUtaVlpzanVueGt1Vy9SemlMdTVLNE9WTk96cldickVPbXgxdTg3T1dyR2hxYTQ2NEx3T0FoU0FFQXNCa1RwMHpmTFpWMHY1RDBNZWVjbDB3a1ZEU3NTSWxFSXU3U3NBMEpnbENkSFIzS0JZSE1MSlQwNXlBWGZQbjF4c1V2eFYwYmdNRkJrQUlBb0I4VEpsU1ZwRWJsSHZUa1pxWlNLYzM4NkdIYWY3OHFUUnkvcTBwTFMrTXVEOXVRNXBZV3JYampUZFZrNnZUNGswK3Bzek1yTXozVDlsNTQ3TXFWckdnSTdJZ0lVZ0FBOUdQUzFNcExuYk1yaGc4ZjdsMXgyY1U2NnNnalZGWldxcTRIMFFJOW1abWFtcHMxOSsvejlNMUwvajk3OXgxZlZYMzRmL3o5T1hja1pBRktHQ0VvV2l4Q1daZjgwRHBZTWh4Vi9GYkZnYU4xVmI5MWkzdTFycnBYSzA1VVZCQlJrZXJYWWtzVkJFUkVLb0dBSUJnb0tzcElRRWIySFovZkh5UnBRdWFweVQySmVUMGZEeDdtZnM3bm52cytQZ1R2bTNQTzU5eWg0dUtTbUxYMnZxL1g1dHptZFRZQVRZOVZkZ0FBcUVWR1JrYVNZK3laeGhqblY4ZU4wZkZqUjZ0OSt6UktGT3BrakZGYWFxcEdqUmltNDhhTWtqSEdjUnpuM016TXpIWmVad1BROUNoU0FBRFVJcGpXdWJPTVNmVDcvUnJZdjUrU2s5djhJbjFvcE1URVJBMGEwRi9CWUZCV0NnUUNxWjI5emdTZzZWR2tBQUNvUlRRV1RwZTFpY0ZnVUYyNzhEMFk3blRyMmtYdDJpVktWc0ZvZ3IrVDEza0FORDJLRkFBQXRmQTVnV1JyNVBmNUhLV2twSGdkQjYxTWFtcXFBdjZBWk9SejVHTmxFdUFuaUNJRkFBQUFBQzVScEFBQUFBREFKWW9VQUFBQUFMaEVrUUlBQUFBQWx5aFNBQUFBQU9BU1JRb0FBQUFBWEtKSUFRQUFBSUJMRkNrQUFBQUFjSWtpQlFBQUFBQXVVYVFBQUFBQXdDV0tGQUFBQUFDNFJKRUNBQUFBQUpjb1VnQUFBQURnRWtVS0FJQTJ4bHJicUhrNU9UbWFOMjllcytjQmdOYUlJZ1VBUUJzU2k4VjA2NjIzNm9rbm5sQXNGcFBLaTlXTEw3Nm9KVXVXVkpzN2ZmcDAzWDMzM2RYRzh2UHo5Y2dqajZpa3BLVGFlQ1FTMGQxMzM2MkZDeGRXN3JjdUsxZXUxSVFKRTdSdzRjSW1PeTRBaURlS0ZBQUFiWWd4UmwyN2R0VXJyN3lpYTYrOVZzWEZ4UXFIdy9ya2swOTB6VFhYNlBQUFA2L3p2WkZJUkRmZGRKTmVlKzAxZmZ6eHg5VzI1ZVhsNmJ2dnZ0UFZWMSt0WC8vNjE1bytmYnFLaW9xcXpkbXhZNGZ1dmZkZS9mYTN2MVZCUVlGOFBsK3pIU2NBTkRlS0ZBQUFiWWd4UmxkZWVhV3V1dW9xTFZ5NFVKZGNjb2tjeDlHamp6NnF6cDA3NjVwcnJ0SGF0V3Rydk05YXE3dnV1a3ZaMmRtNjlOSkxOWHIwNkdyYnUzWHJwbWVlZVViVHBrMVR2Mzc5OU5oamorbjQ0NC9YWTQ4OXB2WHIxK3VaWjU3UnVISGo5STkvL0VPLy8vM3Y5ZWFiYitySUk0K000NUVEUU5QeWV4MEFBQURFMzNubm5hZkV4RVQ1L1g3NS9YNmxwYVhwOGNjZjEyOSs4eHZObno5ZnZYdjNyalkvSnlkSHMyZlAxbm5ubmFlTEw3NjR6djBlZXVpaHV2ZmVlM1hGRlZkbzBxUkptanAxcXFaT25TcEpHakpraU82Ly8zNTE2TkNoMlk4UEFKb2JSUW9BZ0RZbUVvbkk3L2ZyOU5OUHJ6YmVzMmRQL2ZXdmYxWEhqaDFydkdmZ3dJR2FObTFhallLMUwydXRQdnZzTTczOTl0djY2S09QbEphV3BoRWpSbWorL1BsYXVuU3Bycm5tR3AxNzdya2FNV0tFSEljTFl3QzBYaFFwQUFEYWtKa3paK3JOTjkvVS9mZmZyNTQ5ZTFhTy8rcFh2OUxPblR1cnpRMkh3NHBHb3pycXFLTnE3T2V2Zi8ycjB0UFRKVW5SYUZUTGx5L1gzTGx6TlcvZVBHM2R1bFU5ZXZUUXhJa1ROVzdjT0NVbUpxcW9xRWh2dlBHR1huMzFWVjEvL2ZYcTNyMjd6ajc3YkkwYk4wN3QycldMdzVFRFFOT2lTQUVBMEliMDdObFRXN2R1MVRubm5LTzc3NzViSTBlT2xDUVZGeGZya0VNTzBmRGh3K3Q5L3hkZmZLRjU4K1pWVzVsdjFxeFp1dSsrKytUMyt6VjA2RkRkZHR0dCt1VXZmeW5IY1pTZG5hMDVjK2JvMGtzdjFXOS8rMXVkY2NZWmV2UE5OL1hxcTYvcXdRY2YxTHAxNjNUNzdiYzMrM0VEUUZPalNBRUEwSVprWldYcHBaZGUwdVdYWDY3cnJydE96ei8vdkFZUEhpeEo2dE9uajg0Ly8veDYzejlyMXF3YXo1WTY2YVNUVkZwYXF1T1BQMTc3N2JkZnRXM3IxNi9YRzIrOG9YUFBQVmZ0MjdkWHUzYnRkTjU1NStuMDAwL1h6Smt6TldMRWlHWTRTZ0JvZmhRcEFBRGFtSjQ5ZTJyS2xDbDYrKzIzSzB1VUpKV1VsQ2cvUDcvZTl4WVdGdFlZUzBoSTBObG5uKzBxUTJKaW91djNBRUJMUXBFQ0FLQU42dFNwazM3M3U5OVZHM3YzM1hmMTdydnZ1dHJQMjIrL3JVY2VlYVRPN2RGb1ZKSTBmdno0T3VmMDZkTkhreWRQZHZXNUFPQTFpaFFBQUczUTBxVkxsWjZlWG0zQmlhRkRoOVpZeVc5Zml4Y3YxbXV2dlZiNXVuLy8vcnJ5eWl2cm5MOTgrWExObVROSHYvbk5iOVMrZmZ0YTU5UzJTaUFBdEhRVUtRQUEycUJubjMxV0d6WnMwSWNmZmloampGVCtVTjJHSHBLN2RldldhcThQT2VRUUhYTElJWld2Q3dvSzlNTVBQNmhIang2U0pKL1Bwemx6NXVqRUUwOVVSa2FHeXNyS0ZBd0dtK1dZQUNDZUtGSUFBTFF4WldWbCt1S0xMM1RVVVVkVmxpaEordnJycnpWNzl1eDYzN3R5NWNvNnQyM2R1bFZYWG5tbGR1N2NxWmt6WnlvbEphWGFkbXR0NWRtckcyNjRRUWNmZlBDUFBoWUE4QXBGQ2dDQU5tYlZxbFVxS3l2VGtDRkRxbzB2V2JKRVM1WXMrYS8ydVdiTkdsMTk5ZFdLUkNLNi8vNzdhNVFvU1RMRzZNSUxMOVE5OTl5ak04ODhVMmVjY1liKzkzLy9WMGxKU2YvMXNRQ0FWeWhTQUFDME1aOTk5cGtrMVNoUzQ4ZVAxM1hYWFZmdmU5OTk5MTNkZSsrOTFjWmVmLzExUGY3NDQrclpzNmNlZmZSUlpXUmsxUG4rSVVPR2FNYU1HWm8wYVpLbVQ1K3VEei84VURmZGRKT0dEUnYybzQ0SkFPTE44VG9BQUFDSXI0VUxGNnBqeDQ0MUxxMHp4c2p2OTlmN0t4S0pTSkljWis5WGlLZWZmbG9QUGZTUVRqenhSTDM4OHNzMVNsUlJVVkhsdmlza0ppWnE0c1NKZXVtbGw1U2NuS3liYjc1WjI3WnRpOE9SQTBEVDRZd1VBQUJ0U0g1K3ZyNzg4a3VOSFR1MlVmTmZmLzExclZ5NVVna0pDYkxXYXVIQ2hVcElTS2hjYVcvQ2hBbnEzYnUzampubW1NcjMvUG5QZjFZNEhKWXhSck5uejViZjc2L3hvRjZWci9qMzJtdXZhZDI2ZGVyY3VYTVRIaVVBTkQrS0ZBQUFiY2llUFh0MDFGRkg2ZXExOWJJQUFDQUFTVVJCVklnamptalVmTWR4bEoyZHJVZ2tvbWcwcWc0ZE91amFhNitWMzcvM0swVDc5dTJybFNoSit1cXJyL1RKSjU5VWJwODRjYUlTRWhKcTNYOGdFTkF2ZnZHTEgzMWNBQkJ2RkNrQUFOcVFndzQ2U0gvKzg1OXJqTStkTzdmVythZWZmbnFEejViYTExLys4aGZGWWpGWmErWHorZjdyckFEUWtsR2tBQUJBazZ1NGh3b0FmcXI0VXc0QUFBQUFYS0pJQVFBQUFJQkxGQ2tBQUFBQWNJa2lCUUFBQUFBdVVhUUFBQUFBd0NXS0ZBQUFBQUM0UkpFQ0FBQUFBSmNvVWdBQUFBRGdFa1VLQUFBQUFGeWlTQUVBQUFDQVN4UXBBQUJxRWJXUkFpT0ZZOUdZaW9xS3ZJNkRWcWFvdUZqUmFGU3lpa1p0cE1EclBBQ2FIa1VLQUlCYVdGdTJXVmJGWmVHd3R1WGxleDBIclV4Ky9uYVZsSlpJVXFtMVpadTl6Z09nNlZHa0FBQ294YVoxNjdaYXFUQWNEbXZOMm5VcUtTbnhPaEphaVhBa29uVmY1YXFrcEZTU0xkMjBidDFXcnpNQmFIb1VLUUFBYWhlUmpjMncxc2JlZVcrMmxpNWJydUtTRWxscnZjNkZGaXdhalNvM2Q3M2UrZHY3aXNWaU1jbStMQ25pZFM0QVRjOTRIUUFBZ0pZcUl5TWpLWmpXK1gxak5Dd3RMVlVqaHgydGdmMzdLYk43aGxKU1VyeU9oeGFrdExSVWV3b0t0T2JMZFpyMWYzL1RsaTFiRmJOMlVYaDMzdGp2di8rZW0reUFueUNLRkFBQTljam9QYUIzUUdheU1UclNHT01FQWdFbEp5WEo3L2Q3SFEwdFNDd1dVemdjVm1GUmthTFJxSlhWeHhGRkw5KzBkbFdPMTlrQU5BK0tGQUFBRGVoNDhNSHQwNEtwOXpoR0oxc3BJSm1BSkovWHVieGtZN2J5UzRTVlpKdzIvNVVpS3Rtd2tjSXgyWC9zQ1JkTjNKR2J1OXZyVUFDYVQ1di9VdzhBZ01aS1QrK2JrclNmUHoxbW81MThUaURaNnp4ZVN2REhmcGJnZDg1empBa1VoNk12bEVhYzlWNW44bElrWm90OHh1WVY3WWprNWVXdFpybHpvQTJnU0FFQUFOZENvZEJ3WTh6cjF0cEVTZitUblowOTMrdE1BQkJQck5vSEFBQUFBQzVScEFBQUFBREFKWW9VQUFBQUFMaEVrUUlBQUFBQWx5aFNBQUFBQU9BU1JRb0FBQUFBWEtKSUFRQUFBSUJMRkNrQUFBQUFjSWtpQlFBQUFBQXVVYVFBQUFBQXdDV0tGQUFBQUFDNFJKRUNBQUFBQUpjb1VnQUFBQURnRWtVS0FBQUFBRnlpU0FFQUFBQ0FTeFFwQUFBQUFIQ0pJZ1VBQUFBQUxsR2tBQUFBQU1BbGloUUFBQUFBdUVTUkFnQUFBQUNYS0ZJQUFBQUE0QkpGQ2dBQUFBQmNva2dCQUFBQWdFc1VLUUFBQUFCd2lTSUZBQUFBQUM1UnBBQUFBQURBSllvVUFBQUFBTGhFa1FJQUFBQUFseWhTQUFBQUFPQVNSUW9BQUFBQVhLSklBUUFBQUlCTEZDa0FBQUFBY0lraUJRQUFBQUF1K2IwT0FBQUFXcmFzckt5a1dDeVdYblhNR05QVld1c3p4amlTdW9aQ29RT3JibzlHby9rNU9UbUZjUThMQUhGQ2tRSUFBUFdLUkNLOWZUN2ZzbjNIalRFVlA3NWU1V2RKa3VNNGgwbGFHcWVJQUJCM1hOb0hBQURxdFdMRmloeHI3Y3JHenJmV3JsbStmSG1ONGdVQVB5VVVLUUFBMEpDb3RYYXE5cFlrV1d0clRLZzZicTE5UTFJMC9qRUJJSDRvVWdBQW9FR3hXT3dkU2JzYk1YVjNKQko1THc2UkFNQlRGQ2tBQU5BZ3gzRzJTbHF4NzcxUVZaVnZXeEdOUnIrTFp6WUE4QUpGQ2dBQU5HajU4dVY3SkgxcXJZMnAvRksrQ2xVdTZiT1NQbDJ6WmsyK2Qwa0JJRDRvVWdBQW9ER2kxdG9sa25iVk02ZW9mRTQ0anJrQXdCTVVLUUFBMENqUmFIU0pwTHlLMS9zdVBHR00yUjBPaHovektoOEF4Qk5GQ2dBQU5FcE9UczRtU2N0cXUwK3FmR3pacWxXcnZ2VWlHd0RFRzBVS0FBQTBXaVFTZWFXdWJiRlliSEo4MHdDQWR5aFNBQUNnMFlxTGkrZGFhN2Z1TzI2dHpkdTVjK2ZmdlVrRkFQRkhrUUlBQUkyV201dGJhb3laWG5GNW56Rkd4aGhaYTJkdDNMaXh4T3Q4QUJBdkZDa0FBT0JLTkJxZGJxMHRxM2hkL3ZOYjNxWUNnUGlpU0FFQUFGZUtpNHMzU0ZwVDVhelVsejZmYjYzWHVRQWduaWhTQUFEQWxWZ3N0a2ZTVXZzZlM4UGg4SGF2Y3dGQVBGR2tBQUNBSzdtNXVhWGxEOTR0a2xSbXJWMlNrNU5UNkhVdUFJZ252OWNCQUFCQTYyT00rYVQ4NGJ6SnNWaHNzZGQ1QUFBQUFLQTFNS0ZRNklOUUtMU1VLMXdBdEVVMUgwME9BQUJxbFo3ZU55VnBQMzk2ekVZNytaeEFzdGQ1dkpZVTFBbU9iRUpCbVpubGRSYXZSV0syeUdkc1h1SDIwdno4L0xWN3ZNNERvUGxScEFBQWFFQjYzNzRweVRIL0xVYm1KQm1US0dzVHJlSHllTW1XZjQ4dzF1c2tYak5XRVJsVFltVkxaVFduMEFuZmtiZDZkWUhYdVFBMEg0b1VBQUQxNk41clFHYkFiMTZRTk5vWTQvaDlQZ1VUZ3ZMNWZGNUhRd3NTamNaVVZscXFTRFFxYTIxTTBnZlJTUFQzMythdVd1OTFOZ0ROZ3lJRkFFQWRNakt5a2dMdEkrODZNcU1DZ1lCR2pSaW13NFprcVh1M3JrcE5UZlU2SGxxUWdzSkNiZnJ1ZXkzTFhxRTVIODVWV1ZsWTFtcEI4USt4RTdadVpVVkQ0S2VJSWdVQVFCME83RDNvVm1Qc1hlM2F0WFB1dXYwbWpUbG1wTkxTVWxYeElGcWdLbXV0OWhRVWFPR2l4YnIrbGp0VVhGd1NzOWJlOS9YYW5OdTh6Z2FnNmJIS0RnQUF0Y2pJeUVoeWpEM1RHT1A4NnJneE9uN3NhTFZ2bjBhSlFwMk1NVXBMVGRXb0VjTjAzSmhSTXNZNGp1T2NtNW1aMmM3cmJBQ2FIa1VLQUlCYUJOTTZkNVl4aVg2L1h3UDc5MU55Y3B0ZnBBK05sSmlZcUVFRCtpc1lETXBLZ1VBZ3RiUFhtUUEwUFlvVUFBQzFpTWJDNmJJMk1SZ01xbXNYdmdmRG5XNWR1NmhkdTBUSktoaE44SGZ5T2crQXBrZVJBZ0NnRmo0bmtHeU4vRDZmbzVTVUZLL2pvSlZKVFUxVndCK1FqSHlPZkt4TUF2d0VVYVFBQUFBQXdDV0tGQUFBQUFDNFJKRUNBQUFBQUpjb1VnQUFBQURnRWtVS0FBQUFBRnlpU0FFQUFBQ0FTeFFwQUFBQUFIQ0pJZ1VBQUFBQUxsR2tBQUFBQU1BbGloUUFBQUFBdUVTUkFnQUFBQUNYS0ZJQUFBQUE0QkpGQ2dBQUFBQmNva2dCQUlBYXRtelo0blVFQUdqUi9GNEhBQUFBM29wRUl0cTBhWlA4ZnI4eU16TlZVRkNnMDA0N1RlUEhqOWRWVjEzVnFIMlVsSlJvelpvMXJqNDNQVDFkbVptWi8yVnFBUEFXUlFvQWdEWmszcng1V3JseXBmTHk4clI1ODJadDNyeFoyN1p0VXl3VzA4aVJJL1h3d3cvcnZmZmVVM0Z4c2NhTkc5Zm8vVzdhdEVrWFhYU1IrdlhycDJBdzJPRDgzTnhjalI0OVdyZmVldXVQUENJQThBWkZDZ0NBTm1UMTZ0V2FNMmVPdW5idHFvMGJONnBUcDA2NjhNSUwxYU5IRHgxMDBFR0tSQ0thT25XcWV2VG9vWFhyMW1uZHVuVzE3cWR6NTg0S2hVSTF4a2VPSEtuMjdkczNtR1BHakJsTmNqd0E0QldLRkFBQWJjaGxsMTJteXk2N1RKSjArZVdYcTBPSERqcmxsRk1xdDcvNzdydmF2SG16Sk9tV1cyNnBjei9EaHcrdnRVZ0JRRnRCa1FJQUFKS2swdEpTUGZ2c3N4bzJiSmdlZXVnaFNkSkhIMzJrWHIxNlZkN0w5TkZISCtuR0cyOVV2Mzc5YXQzSGdnVUxHblZwWDE1ZVhoT25CNEQ0b2tnQkFOQ0dMRnEwU01YRnhaS2s3ZHUzcTZTa1JCOTg4SUVrYWRXcVZkcTJiWnYrOHBlL3lPLzNLeEtKNk1ZYmI5VEVpUk0xWWNJRXFmeVN2S1NrSkoxMjJtbTE3diswMDA3VC92dnYzMkNPcDU1NnFrbVBDd0RpalNJRkFFQWI4dGhqajFWZXVsZGFXaXJIY1NwWDIwdEpTZEVaWjV5aGd3OCt1TmIzYnRxMFNTdFhydFNFQ1JPVWxwYW1rcElTdmZIR0c1WDdPdWFZWTdSNTgyYmw1K2MzbUtOWHIxN3krWHg2NVpWWEpFa0RCdzdVd0lFRG0vQklBYUI1VWFRQUFHaEQzbnJyTGFsOHVmSmpqejFXUTRjTzFUMzMzQ09WWDI2WGxKUlU1M3N6TXpQMXozLytVOFlZU1pMak9PclFvVVBsOWk1ZHVqUTZSOVgzU1ZKaVlxTHJZd0VBTDFHa0FBQm9nMmJQbnEyQ2dnTGw1K2RyeG93Wk91T01NNVNlbnE1SUpLS0xMcnBJWjU5OXRvWU9IVm81LzhzdnY5VDk5OSt2ZSs2NXAvSitxV0F3V0xsRStzY2ZmMXhaeUJwcnlKQWh1dnZ1dTV2NHlBQWdQaWhTQUFDMFFXKysrYVpVZmhicThjY2YxNlpObXpSeDRrUXRXTEJBMmRuWk91ZWNjNnJONzlhdG05YXZYNjlISG5sRWp6MzJXSTM5bFpTVWFPZk9uWHJublhlcWpVK2RPbFVMRml6UWM4ODlWMjM4NmFlZmJ0UWxnQURRVWxHa0FBQm9ZeFl0V3FTdnZ2cEttWm1aNnRPbmo2NisrbXBObkRoUmZmdjIxZC8vL25kMTdOaFJSeDk5ZExYM3RHL2ZYbWVkZFpaZWVPRUZmZjc1NThyS3lxcXgzMGdrb29jZmZyamEySVlORzdSang0NGE0K3ZXclZPUEhqMmE2UWdCb1BsUnBBQUFhRVBLeXNyMDRJTVBhdlRvMFNvb0tKQWtEUjA2Vk04Kys2eTZkZXVtTys2NFEyZWVlV2JscW4xVm5YdnV1Wm94WTRhZWZQSkp2ZlRTU3pYMjdmUDVLbGYzcS9EdXUrL3FzODgrcXpFK2JkbzBsWlNVTk1zeEFrQThPRjRIQUFBQThUTmx5aFI5OTkxM3V1Q0NDNnFOaDBJaHpaZ3hRN0ZZVEtlZWVtcXQ3MDFOVGRWcHA1Mm1uSndjTFY2OHVNWjJZNHdPT3VpZ2FyODZkT2dndjk5Zll6d3RMYTNaamhFQTRvRXpVZ0FBdENGejU4N1ZHV2Vjb1ovLy9PZlZ4Z3NMQy9YMjIyOXI2TkNoNnRtelo1M3ZuekJoZ2w1NzdUVk5uanhaUnh4eFJPVzR6K2VUTVViang0K3ZOcitvcUVobFpXVTF4a3RMU3pWNDhPQW1PeTRBaURlS0ZBQUFiY2lWVjE2cFFZTUcxUmlmUDMrK0Nnb0tkTzY1NTliNy92MzMzMThubm5paVB2bmtFKzNZc1VNZE8zWlVjWEd4RGovOGNIMzQ0WWMxNXIvNDRvdjY4TU1QTlczYXRGcjNWMVJVcEVBZ29FQWc4Q09PQ2dEaWp5SUZBRUFiY3VTUlI5WTZmc0lKSjZodjM3N1Z6a2J0ZTQ5VWhhdXV1a28zM25pai9INi90bXpaVXVlbGdCWDdpRVFpR2pObVRKMXpMcnp3d2hxWEdnSkFTMGVSQWdBQWtxU2VQWHVxckt4TXp6MzNuTkxTMHZUdmYvOWJrcFNlbmw1dFhrcEtpaVRKV3F1T0hUdHE3dHk1ZGU1ejh1VEordUNERC9UNjY2L1grOW1SU0VSK1AxOUxBTFFlL0lrRkFBQXFCWU5Celp3NVU3dDM3NWJQNTlQUlJ4K3Q0Y09IMXpwMytmTGx1dWlpaXhxMTM3ck9oRlU0L2ZUVGRlT05OLzVYbVFIQUN4UXBBQURhcUNlZmZMTFc4WG56NWlrU2ljaHhIRGxPM1F2OGhrSWhmZjc1NTgyWUVBQmFMb29VQUFDb2djdnNBS0IrUEVjS0FBQUFBRnlpU0FFQUFBQ0FTeFFwQUFBQUFIQ0pJZ1VBQUFBQUxsR2tBQUFBQU1BbGloUUFBQUFBdUVTUkFnQUFBQUNYS0ZJQUFBQUE0QkpGQ2dBQUFBQmNva2dCQUFBQWdFc1VLUUFBYWhHMWtRSWpoV1BSbUlxS2lyeU9nMWFtcUxoWTBXaFVzb3BHYmFUQTZ6d0FtaDVGQ2dDQVdsaGJ0bGxXeFdYaHNMYmw1WHNkQjYxTWZ2NTJsWlNXU0ZLcHRXV2J2YzREb09sUnBBQUFxTVdtZGV1Mldxa3dIQTVyemRwMUtpa3A4VG9TV29sd0pLSjFYK1dxcEtSVWtpM2R0RzdkVnE4ekFXaDZGQ2tBQUdvWGtZM05zTmJHM25sdnRwWXVXNjdpa2hKWmE3M09oUllzR28wcU4zZTkzdm5iKzRyRllqSEp2aXdwNG5VdUFFM1BlQjBBQUlDV0tpTWpJeW1ZMXZsOVl6UXNMUzFWSTRjZHJZSDkreW16ZTRaU1VsSzhqb2NXcExTMFZIc0tDclRteTNXYTlYOS8wNVl0V3hXemRsRjRkOTdZNzcvL25wdnNnSjhnaWhRQUFQWEk2RDJnZDBCbXNqRTYwaGpqQkFJQkpTY2x5ZS8zZXgwTkxVZ3NGbE00SEZaaFVaR2kwYWlWMWNjUlJTL2Z0SFpWanRmWkFEUVBpaFFBQUEzb2VQREI3ZE9DcWZjNFJpZGJLU0NaZ0NTZjE3bThaR08yOGt1RWxXU2NOditWSWlyWnNKSENNZGwvN0FrWFRkeVJtN3ZiNjFBQW1rK2IvMU1QQUlER1NrL3ZtNUswbno4OVpxT2RmRTRnMmVzOFhrcnd4MzZXNEhmT2M0d0pGSWVqTDVSR25QVmVaL0pTSkdhTGZNYm1GZTJJNU9YbHJXYTVjNkFOb0VnQkFBRFhRcUhRY0dQTTY5YmFSRW4vazUyZFBkL3JUQUFRVDZ6YUJ3QUFBQUF1VWFRQUFBQUF3Q1dLRkFBQUFBQzRSSkVDQUFBQUFKY29VZ0FBQUFEZ0VrVUtBQUFBQUZ5aVNBRUFBQUNBU3hRcEFBQUFBSENKSWdVQUFBQUFMbEdrQUFBQUFNQWxpaFFBQUFBQXVFU1JBZ0FBQUFDWEtGSUFBQUFBNEJKRkNnQUFBQUJjb2tnQkFBQUFnRXNVS1FBQUFBQndpU0lGQUFBQUFDNVJwQUFBQUFEQUpZb1VBQUFBQUxoRWtRSUFBQUFBbHloU0FBQUFBT0FTUlFvQUFBQUFYS0pJQVFBQUFJQkxGQ2tBQUFBQWNJa2lCUUFBQUFBdVVhUUFBQUFBd0NXS0ZBQUFBQUM0UkpFQ0FBQUFBSmNvVWdBQUFBRGdFa1VLQUFBQUFGeWlTQUVBQUFDQVN4UXBBQUFBQUhDSklnVUFBQUFBTHZtOURnQUFBRnEyckt5c3BGZ3NsbDUxekJqVDFWcnJNOFk0a3JxR1FxRURxMjZQUnFQNU9UazVoWEVQQ3dCeFFwRUNBQUQxaWtRaXZYMCszN0o5eDQweEZUKytYdVZuU1pMak9JZEpXaHFuaUFBUWQxemFCd0FBNnJWaXhZb2NhKzNLeHM2MzFxNVp2bng1amVJRkFEOGxGQ2tBQU5DUXFMVjJxdmFXSkZscmEweW9PbTZ0ZlVOU05QNHhBU0IrS0ZJQUFLQkJzVmpzSFVtN0d6RjFkeVFTZVM4T2tRREFVeFFwQUFEUUlNZHh0a3Bhc2UrOVVGV1ZiMXNSalVhL2kyYzJBUEFDUlFvQUFEUm8rZkxsZXlSOWFxMk5xZnhTdmdwVkx1bXprajVkczJaTnZuZEpBU0ErS0ZJQUFLQXhvdGJhSlpKMjFUT25xSHhPT0k2NUFNQVRGQ2tBQU5BbzBXaDBpYVM4aXRmN0xqeGhqTmtkRG9jLzh5b2ZBTVFUUlFvQUFEUktUazdPSmtuTGFydFBxbnhzMmFwVnE3NzFJaHNBeEJ0RkNnQUFORm9rRW5tbHJtMnhXR3h5Zk5NQWdIY29VZ0FBb05HS2k0dm5XbXUzN2p0dXJjM2J1WFBuMzcxSkJRRHhSNUVDQUFDTmxwdWJXMnFNbVY1eGVaOHhSc1lZV1d0bmJkeTRzY1RyZkFBUUx4UXBBQURnU2pRYW5XNnRMYXQ0WGY3elc5Nm1Bb0Q0b2tnQkFBQlhpb3VMTjBoYVUrV3MxSmMrbjIrdDE3a0FJSjRvVWdBQXdKVllMTFpIMGxMN0gwdkQ0ZkIycjNNQlFEeFJwQUFBZ0N1NXVibWw1US9lTFpKVVpxMWRrcE9UVStoMUxnQ0lKNy9YQVFBQVFPdGpqUG1rL09HOHliRlliTEhYZVFBQUFBQ2dOVENoVU9pRFVDaTBsQ3RjQUxSRk5SOU5EZ0FBYXBXZTNqY2xhVDkvZXN4R08vbWNRTExYZWJ5V0ZOUUpqbXhDUVptWjVYVVdyMFZpdHNobmJGN2g5dEw4L1B5MWU3ek9BNkQ1VWFRQUFHaEFldCsrS2NreC95MUc1aVFaa3lockU2M2g4bmpKbG4rUE1OYnJKRjR6VmhFWlUySmxTMlUxcDlBSjM1RzNlbldCMTdrQU5CK0tGQUFBOWVqZWEwQm13Rzlla0RUYUdPUDRmVDRGRTRMeStYeGVSME1MRW8zR1ZGWmFxa2cwS210dFROSUgwVWowOTkvbXJscnZkVFlBellNaUJRQkFIVEl5c3BJQzdTUHZPaktqQW9HQVJvMFlwc09HWktsN3Q2NUtUVTMxT2g1YWtJTENRbTM2N25zdHkxNmhPUi9PVlZsWldOWnFRZkVQc1JPMmJtVkZRK0NuaUNJRkFFQWREdXc5NkZaajdGM3QyclZ6N3JyOUpvMDVacVRTMGxKVjhTQmFvQ3BycmZZVUZHamhvc1c2L3BZN1ZGeGNFclBXM3ZmMTJwemJ2TTRHb09teHlnNEFBTFhJeU1oSWNvdzkweGpqL09xNE1UcCs3R2kxYjU5R2lVS2RqREZLUzAzVnFCSERkTnlZVVRMR09JN2puSnVabWRuTzYyd0FtaDVGQ2dDQVdnVFRPbmVXTVlsK3YxOEQrL2RUY25LYlg2UVBqWlNZbUtoQkEvb3JHQXpLU29GQUlMV3oxNWtBTkQyS0ZBQUF0WWpHd3VteU5qRVlES3ByRjc0SHc1MXVYYnVvWGJ0RXlTb1lUZkIzOGpvUGdLWkhrUUlBb0JZK0o1QnNqZncrbjZPVWxCU3Y0NkNWU1UxTlZjQWZrSXg4am55c1RBTDhCRkdrQUFBQUFNQWxpaFFBQUFBQXVFU1JBZ0FBQUFDWEtGSUFBQUFBNEJKRkNnQUFBQUJjb2tnQkFBQUFnRXNVS1FBQUFBQndpU0lGQUFBQUFDNVJwQUFBQUFEQUpZb1VBQUFBQUxoRWtRSUFBQUFBbHloU0FBQUFBT0FTUlFvQUFBQUFYUEo3SFFBQTZoTUtoU1liWXk2MDF0NlJuWjE5OTc3YnM3S3lBdGJhN1pKU3crSHdnSlVyVjY3Y2Q4N2d3WU1uU2ZwOUxCYTdmdm55NVE4UEdqU29nNlQvZFJ6bk5HdnRRY1lZUjFKdUxCWjdkdm55NVM5S2l2Nkl5RTRvRlBxZE1lYlJIVHQyN0xkeDQ4YVNIN0V2b0ZXNTg4NDdOV0xFQ0EwZlByekJ1Wk1tVFZMSGpoMDFZY0tFdUdRRGdLYkdHU2tBTFpveFpuYjVQOGZVdGowU2lSd3RLVldTL0g1L3JYT3N0U01seVhHY09lVkRJeHpIdWROYXUxdlNMR3Z0UjVMNk9vN3pYQ2dVZXVtL2pSb0toY1lOSGp4NHFUSG1hVW50L3N2OUFNMHVFb2swK0NzYWpXcm56cDNLemMydDlWZGhZV0dOL2M2ZE8xY2JObXhvVkliRml4Y3JPenU3R1k0T0FPS0RNMUlBV3JUZHUzZC9rSmFXRnBiMHl3RURCaVRuNU9SVSsvWm1qRG5PV2hzenhrUWxqWmIwYU5YdC9mcjE2MktNNlNOcDg3Smx5M0lrS1JhTHJUREdISktkbmYxMXhieXNyS3lmeFdLeDVjYVljN095c203Ny9QUFB2MmxzeHF5c3JFTmpzZGcvalRHWmtyNngxdVlaWTlLYjV0OEEwTFRXcmwzYnFMTkErKzIzbjg0Ly8zdzk4c2dqdFc1LytPR0hOWFRvVUwzOTl0c2FPM2FzT25Ub1VHMzc3Tm16ZGRCQkI2bFBuejZhTTJlT2V2VG9vVDU5K2pUWmNRQ0ExeWhTQUZxMDNOemMzYUZRNkJOanpIREhjWVpMbWwxMXUrTTR4MWxyYzYyMUVVbkQrdmJ0RzF5OWVuVlp4ZlpBSURCU2U4OUsvYk5pTENjbjU5LzdmczdubjMrK2Z2RGd3VXNsall6RlloMGxOYnBJUlNLUlRvN2pKRWk2czZTazVPR0VoSVJQSlZHazBDSWRjTUFCbWp4NWN1WHIzLzN1ZDdyaGhodjAxVmRmYWVYS2xicmhoaHVrdmI5M2xKbVpxY01PTzZ6YSs0dUtpblQrK2VkTGUzLy9hZkxreVNvcks5TTU1NXhUT2Flc3JFejMzMysvempyckxCMTY2S0Y2NDQwM3RHYk5HdDE5OTkwNjVwaGo0bmFzQU5DY0tGSUFXb1AzSlEwdlArTlVXYVN5c3JLNldXc0hHR09tV1d1anhwaStDUWtKUjBpYVh6SEhHRk5ScFA3UndHZjRyYlVIRzJOMk9ZN3psWnR3dTNidCt0ZkdqUnU3VmR4YkZRcUYzQjhoRUNmdDJyV3I4ZDlvcjE2OVZGQlFvSC8vKzk4MXR1MTdwbW5QbmoyVlB6dU9vMUdqUm1uV3JGblZpdFRpeFl0VldGaW9FMDg4VWNZWVBmbmtrL3JESC82ZzY2Ky9YcGRkZHBrdXVPQ0NaanMrQUlnWGloU0FGczhZODc2ayt4M0hHVjExM0ZwN1hQay8vMkdNc1pMT0t5OWI4NnZNR1NuSkdtUCtXZHUrQncwYTFLSDgwcitialRIZHJiVVhMRnUyck1oTlBoYVVRR3V6Y2VOR2JkMjZWZHI3ZTBScjFxelJ0OTkrcXoxNzltakpraVdTcE83ZHV5c3pNN1BCZlkwYU5VcHZ2UEdHcXE3ejh0NTc3eWtVQ3FsSGp4NlNwTVRFUk4xMzMzMUtTMHZUdG0zYm11MjRBQ0NlS0ZJQVdyeGx5NWJsaEVLaDc0d3gvZnYxNjlkbDFhcFZXOHMzSFdldHRlRndlSTcyWG9wa3l4ZWx1RjJTQmc0YzJOMFljNGlrN0dYTGx1VlYzV2NvRkxxMGZGR0lDcDlIbzlIRFZxeFl3ZDN2K01tYk5tMmEvdnJYdnlvWURNcGFxeWVmZkZMUmFGVFJhRlRYWG51dFNrdExkZkhGRit1U1N5NXBjRitoVUVqOSsvZFhXZG5lSzJxdHRmcjIyMjkxM25ublZadm5PSTV1dmZWV1JTS1JaanN1QUlnblZ1MEQwRnI4WFh0WDVxczRLK1ZZYTBkTFdyRnExYXF0NWVVcVI5TC9LMS9lWEk3akhLTTZMdXVMeFdLckpFMnkxcjV1cmYxTVVwYlA1NXN6ZVBEZ1U2ck95OHpNYkRkNDhPQmUrLzdxMjdkdlNud09HMmdlSTBhTTBLSkZpMlNNMFZOUFBhVkxMNzFVb1ZCSWl4WXQwb0FCQXhxOUg1L1BweWxUcGlnckswdmFld1paMDZkUDE3SEhIaXRKQ29mRGV1T05OeW9MbE4vUDMrRUMrR25nVHpNQXJjWDdraTRzdjd4dldpZ1VPdHdZczUrMTl2bUtDZVdYK0ExMEhHZWtwRmtWOTBmRllyRTUrKzVzeFlvVkgwdjZ1T0oxS0JRYUtHbU9NZWFOZ1FNSERxazRNNVdlbm42VXBCcVhCU1lrSkp3bDZmVm1QV0tnbVJVVUZNaGFxK1RrNUZxMzUrZm5WN3YzU2VWbm5DcHMyYkpGcDU1NmF1WHJrcElTUGZQTU01V0xXWng2NnFrYU0yYU1ubmppQ2MyYU5VdC8rdE9mZE5CQkJ6WGI4UUJBUEZHa0FMUUtlL2JzK1dkYVdscEUwcWp5b2VPMHR5UlZubTB5eHN5UmRFUDVmVkt6eXUrUEtneUh3NHNhMm45MmR2YUtRWU1HM1dxTWVkN244MTBrNlRKSmlrYWpPVDZmYi95Kzg2UFI2S2ROZTRSQS9IMzU1WmVTcEM1ZHVzZ1lvNUtTNnJmN1JhTlI1ZVhsNlpSVFRxbTgzNm1zckV4UFA3MzNxdGoyN2R2cmpqdnVrQ1N0WExsUzA2ZFAxNmhSb3lvZnlIdkFBUWVvVDU4K21qWnRtcTY3N2pxZGUrNjV1dmZlZXh2MXdGNEFhT2tvVWdCYWhTckxvQThiTUdCQTcvTDdvNnFWcEQxNzlueWNscFpXWkswZFBXalFvSjdHbUo2Uy9sWjFPZlQ2T0k2enF2ekhBeXZHY25KeXRrbDZxem1PQ2ZEYTIyKy9yWU1QUGxocGFXbkt5TWpRNnRXcmRlcXBwMnJMbGkwNi9QRERLK2VOSGoyNjhuVTBHdFhRb1VQVnZYdDN0V3ZYcnZJU3Z0bXo5eTZvMmFOSEQzWHUzTG5hNm44OWUvYlV5eSsvckh2dnZWY1pHUmx4UDA0QWFBNFVLUUN0eWZ1U2h2bjkvbkhXMnY5bmpKbGR0U1RsNXVhV2hrS2grY2FZNDQweEU3VDNNcVFhbC9YVkpSYUw5WFljUjliYVJqOURDbWl0MXExYnAwMmJObW5peEltU3BERmp4aWcxTlZVLy9QQ0Rubi8rK1RyZjUvUDUxTHQzNzJwalgzLzl0Ull2WGl5Zno2ZjU4K2RyeXBRcGV2enh4M1hFRVVkVXprbE9UdGFmL3ZRbmFlK3oxeFNKUkxSanh3N05uajFibXpkdlZvOGVQVFIyN05obU8xNEFhR29VS1FDdHlmdVM3cE4wbmpIR2tWUmpFWW55eS91T3Q5YWViNHhSTkJxdE1TY1VDazBzS2lwNmJ1M2F0WlVQeEJrOGVIQXZhKzA5Mmx1K3BzYmhXQUJQL2Z6blA5ZTRjZU0wZnZ6ZUsxZU5NWlhGNTYyMzNKMkVuVHg1c29ZT0hhcC8vZXRmT3ZiWVk1V1hsNmZycnJ0T2t5Wk4wamZmZktQMTY5ZHJ5NVl0MnJwMXF6WnYzcXp0MjdkWDNtdjF4UmRmcUd2WHJobzNibHd6SENVQU5CK0tGSUJXSXpzN2UwVW9GUHJlR05OUCs5d2ZWY0ZhTzhjWUkyTk1MMG5mNU9Ua3JLMWxWOWNrSnlmZkVRcUZQakxHYkpWMGdMVjJwREVtS09tUHk1Y3YveVFleHdONGFmUG16Um82ZEtqZWYvLzlHdHQyN05oUjczc2prWWkrK09JTERSdzRVQXNXTE5EczJiTTFaY29VL2V0Zi81SWtUWnc0VVpGSVJPM2F0ZE84ZWZPVWw1ZW5ybDI3cW4vLy9obzdkcXk2ZHUycUo1OThVajE3OXRRamp6d2lZMHl6SFNjQU5CZUtGSURXNXUrU0xyRFdibHkrZlBsWCsyN016czVlUFhqdzRHOGw5YWpyc2o1anpFUkp2NVAwL3lTbFM5cGxqSmtUaThYK3ZIejU4bG9mM0F2ODFIenp6VGQ2OWRWWGE5MldsNWRYNjNpRm5UdDM2b0lMTHRCdHQ5Mm1wNTkrV3NjY2M0ejY5KzlmdWQzbjgrbVdXMjZSSkQzMjJHTzE3dVBGRjErVXorZWpSQUZvdFNoU0FGcVY3T3pzQ3lWZFdOK2NaY3VXSGREQTlobVNaalI1dUhMWjJkbjltbXZmUUZNNS9QREQ5ZEJERDlXNjdZSUxMcWozdlJWRkt6VTFWZFphM1hERERjMlNFUUJhTW9vVUFBQnRVR2xwcWJadTNWcnJ0bkE0TE8xOVhwb2txYkN3c05yMkRSczJTSHZ2TjlRcnI3eWk5UFQwWnM4TEFDME5SUW9BZ0RabzBhSkZPdUdFRStyY2Z2VFJSNnREaHc3cTJMR2pubnZ1T2UzWnMwZUJRRUJsWldWNjlkVlgxYjE3ZCsyLy8vNXh6UXdBTFFsRkNnQ0FOdWlvbzQ3U3JiZmVXdXUyNjY2N3J2TG4yMjY3VFE4KytLRHV1dXN1cVh4MXZ3TVBQRkIvK01NZjRwWVZBRm9paWhRQWNuTFp6Z0FBSUFCSlJFRlVBRzNNalRmZUtFbnkrMnYvR2xCMUVZb1JJMFpveElnUmpkcnYvUG56RzUxaDZsU2VNZ0NnZGFOSUFRRFF4dFJWb0FBQWplZDRIUUFBQUFBQVdodUtGQUFBQUFDNFJKRUNBQUFBQUpjb1VnQUFBQURnRWtVS0FBQUFBRnlpU0FFQUFBQ0FTeFFwQUFBQUFIQ0pJZ1VBQUFBQUxsR2tBQUFBQU1BbGloUUFBQUFBdUVTUkFnQ2dGbEViS1RCU09CYU5xYWlveU9zNGFHV0tpb3NWalVZbHEyalVSZ3E4emdPZzZWR2tBQUNvaGJWbG0yVlZYQllPYTF0ZXZ0ZHgwTXJrNTI5WFNXbUpKSlZhVzdiWjZ6d0FtaDVGQ2dDQVdteGF0MjZybFFyRDRiRFdyRjJua3BJU3J5T2hsUWhISWxyM1ZhNUtTa29sMmRKTjY5WnQ5VG9UZ0taSGtRSUFvSFlSMmRnTWEyM3NuZmRtYStteTVTb3VLWkcxMXV0Y2FNR2kwYWh5Yzlmcm5iKzlyMWdzRnBQc3k1SWlYdWNDMFBTTTF3RUFBR2lwTWpJeWtvSnBuZDgzUnNQUzBsSTFjdGpSR3RpL256SzdaeWdsSmNYcmVHaEJTa3RMdGFlZ1FHdStYS2RaLy9jM2JkbXlWVEZyRjRWMzU0MzkvdnZ2dWNrTytBbWlTQUVBVUkrTTNnTjZCMlFtRzZNampURk9JQkJRY2xLUy9INi8xOUhRZ3NSaU1ZWERZUlVXRlNrYWpWcFpmUnhSOVBKTmExZmxlSjBOUVBPZ1NBRm84M3IyN0prb1NSczNidVFtR05TcTQ4RUh0MDhMcHQ3akdKMXNwWUJrQXBKOFh1ZnlrbzNaeWk4UlZwSngydnhYaXFoa3cwWUt4MlQvc1NkY05IRkhidTV1cjBNQmFENXQvazg5QUJnOGVQQVowV2cwc0dMRmlxbGVaMEhMbHA3ZU55VnBQMzk2ekVZNytaeEFzdGQ1dkpUZ2ovMHN3ZStjNXhnVEtBNUhYeWlOT091OXp1U2xTTXdXK1l6Tks5b1J5Y3ZMVzgxeTUwQWJ3SFVKQU5vNlk2MmQ0RGhPaXFScDVYKzVEdFFxTDI5MWdmSlVJT25mWG1meFdpZ1Vzc2FZbjF0ckU1TUN2dHkxcTdMbmU1MEpBT0tKVmZzQXRHbURCZzA2MEJqVHp4alRkOUNnUWIyOHpnTUFBRm9IaWhTQU5zMWFHNUxVU1ZLYXBPRmU1d0VBQUswRFJRcEFtNVdWbFJVd3hneXgxcVphYTlzWlk0N28xYXRYZ3RlNUFBQkF5MGVSQXRCbWxaU1VwRHFPTTlUOFJ5ZzFOWFYvcjNNQkFJQ1dqeUlGb0MzcllhMGRvcjJYK0VsU0gwa0hlaDBLQUFDMGZCUXBBRzFXSUJENHRURW1vYnhFU1ZLaXBCTzhUUVVBQUZvRGloU0FOc3NZYzNFdHcrZDVFQVVBQUxReUZDa0FiZEtnUVlPT01zWmtWRGtiSld1dGpERUg5Ty9mL3doUHd3RUFnQmFQSWdXZ3JmcHRYUnY4ZnY5RjhZMENBQUJhRzRvVWdEYm5GNy80eFg3R21DT3JubzJxVUQ0MmF0Q2dRUjI4eUFZQUFGb0hpaFNBTnNmdjl3ODB4blN1ZUcyTWtURkdWVjUzNE9HOEFBQ2dQaFFwQUcyTjQvUDVCa3FxNzR4VGl1TTRSMG55eFRFWEFBQm9SU2hTQU5xVTNyMTdKMXRyaDByeTF6UE5aNjBkZk9paGgzSjVId0FBcUJWRkNrQ2JrcENRMEVuUzBSWDNSKzF6U1ovMG4vdWtCZ2FEd1c1ZTVRUUFBQzBiUlFwQW0rTHorWTZwZW45VVBmWTN4aHdkaDBnQUFLQVZva2dCYUd0K28xb1dtS2hRTVdhTU1ZN2puQm4vZUFBQW9EV2dTQUZvTS9yMjdYdUFNV1pvUS9PcUZLeWgvZnIxNjlIc3dRQUFRS3RUMzgzV0FQQ1RFZ2dFVWlYOXNlcVl0VFpUMHBuR0dMK2t0eVRsVm13enhzam44NlY1a1JVQUFMUnNGQ2tBYmNhS0ZTdStrUFJGMWJFQkF3WWM3dmY3VDdUV0pocGpwaTVidHV3ZjNpVUVBQUN0QlpmMkFRQUFBSUJMRkNrQUFBQUFjSWtpQlFBQUFBQXVVYVFBQUFBQXdDV0tGQUFBQUFDNFJKRUNBQUFBQUpjb1VnQUFBQURnRWtVS0FBQUFBRnlpU0FFQUFBQ0FTeFFwQUFBQUFIQ0pJZ1VBQUFBQUxsR2tBQUFBQU1BbGloUUFBQUFBdUVTUkFnQUFBQUNYL0Y0SEFBQUFMVnRXVmxaU0xCWkxyenBtak9scXJmVVpZeHhKWFVPaDBJRlZ0MGVqMGZ5Y25KekN1SWNGZ0RpaFNBRUFnSHBGSXBIZVBwOXYyYjdqeHBpS0gxK3Y4ck1reVhHY3d5UXRqVk5FQUlnN0x1MERBQUQxV3JGaVJZNjFkbVZqNTF0cjF5eGZ2cnhHOFFLQW54S0tGQUFBYUVqVVdqdFZlMHVTckxVMUpsUWR0OWErSVNrYS81Z0FFRDhVS1FBQTBLQllMUGFPcE4yTm1MbzdFb204RjRkSUFPQXBpaFFBQUdpUTR6aGJKYTNZOTE2b3FzcTNyWWhHbzkvRk14c0FlSUVpQlFBQUdyUjgrZkk5a2o2MTFzWlVmaWxmaFNxWDlGbEpuNjVac3liZnU2UUFFQjhVS1FBQTBCaFJhKzBTU2J2cW1WTlVQaWNjeDF3QTRBbUtGQUFBYUpSb05McEVVbDdGNjMwWG5qREc3QTZIdzU5NWxROEE0b2tpQlFBQUdpVW5KMmVUcEdXMTNTZFZQclpzMWFwVjMzcVJEUURpalNJRkFBQWFMUktKdkZMWHRsZ3NOam0rYVFEQU94UXBBQURRYU1YRnhYT3R0VnYzSGJmVzV1M2N1ZlB2M3FRQ2dQaWpTQUVBZ0ViTHpjMHROY1pNcjdpOHp4Z2pZNHlzdGJNMmJ0eFk0blUrQUlnWGloUUFBSEFsR28xT3Q5YVdWYnd1Ly9rdGIxTUJRSHhScEFBQWdDdkZ4Y1ViSksycGNsYnFTNS9QdDliclhBQVFUeFFwQUFEZ1Npd1cyeU5wcWYyUHBlRndlTHZYdVFBZ25paFNBQURBbGR6YzNOTHlCKzhXU1NxejFpN0p5Y2twOURvWEFNU1QzK3NBQUFDZzlUSEdmRkwrY043a1dDeTIyT3M4QUJCdm5KRUMwS1laWTM2UTlMNHg1bSt4V0t6R2tzNEFhcGVkbmIxRzBucEpYK2ZrNUt6Mk9nOEF4RnZOUjVNRFFOdGlldlhxRmRUZXk1WENrbUplQjBMTGxaN2VOeVZwUDM5NnpFWTcrWnhBc3RkNXZKWVUxQW1PYkVKQm1abmxkUmF2UldLMnlHZHNYdUgyMHZ6OC9MVjd2TTREb1BsUnBBQUFhRUI2Mzc0cHlUSC9MVWJtSkJtVEtHc1RyZUh5ZU1tV2Y0OHcxdXNrWGpOV0VSbFRZbVZMWlRXbjBBbmZrYmQ2ZFlIWHVRQTBING9VQUFEMTZONXJRR2JBYjE2UU5Ob1k0L2g5UGdVVGd2TDVmRjVIUXdzU2pjWlVWbHFxU0RRcWEyMU0wZ2ZSU1BUMzMrYXVXdTkxTmdETmd5SUZBRUFkTWpLeWtnTHRJKzg2TXFNQ2dZQkdqUmltdzRaa3FYdTNya3BOVGZVNkhscVFnc0pDYmZydWV5M0xYcUU1SDg1VldWbFkxbXBCOFEreEU3WnVaVVZENEtlSUlnVUFRQjBPN0Qzb1ZtUHNYZTNhdFhQdXV2MG1qVGxtcE5MU1VsWHhJRnFnS211dDloUVVhT0dpeGJyK2xqdFVYRndTczliZTkvWGFuTnU4emdhZzZiRnFId0FBdGNqSXlFaHlqRDNUR09QODZyZ3hPbjdzYUxWdm4wYUpRcDJNTVVwTFRkV29FY04wM0poUk1zWTRqdU9jbTVtWjJjN3JiQUNhSGtVS0FJQmFCTk02ZDVZeGlYNi9Yd1A3OTFOeWNwdGZwQStObEppWXFFRUQraXNZRE1wS2dVQWd0YlBYbVFBMFBZb1VBQUMxaU1iQzZiSTJNUmdNcW1zWHZnZkRuVzVkdTZoZHUwVEpLaGhOOEhmeU9nK0Fwa2VSQWdDZ0ZqNG5rR3lOL0Q2Zm81U1VGSy9qb0pWSlRVMVZ3QitRakh5T2ZLeE1BdndFVWFRQUFQRFF2Ly85YjYxYnQ2NUo5aFdKUkRSLy92d20yZGUrZHUzYXBVMmJOalhMdnB0RFNVbUpxL21MRnk5V1RrNU9zK1VCOE5QRHd3UUJBUERRWC83eUYyM2J0azFUcDA3OTBmdDY3YlhYOU1RVFQraUJCeDdRNk5Hakc1eS9aY3NXN2Q2OVcwVkZSU291TGxaeGNiRUtDZ3EwWThjT2JkKytYVC84OElPMmI5K3V1KysrV3pObnp0VGt5Wk8xZE9uU1JtVUpoOE9hTUdHQ3hvd1pvOS85N25mVk12N3JYLy9TbzQ4KytxT090VDZUSmszU0o1OThvaGRmZkZFSkNRbU5lczlERHoya25qMTdObXN1QUQ4dEZDa0FBSnJSTmRkY294VXJWdFM1dmJDd1VOWmFIWFBNTWZYdVo5S2tTZXJUcDArOWMwNC8vWFRObURGRGt5ZFAxcWhSb3hwY1lmQ0JCeDdRZ2dVTHFvMzVmRDZscEtRb05UVlZxYW1wU2t0TDAvYnQyK3ZkVDIwV0xGaWdEUnMyMUNneXExZXZicmF6WmhWKytjdGY2cVdYWHRJRER6eWdPKzY0bzFrL0MwRGJSWkVDQUtBWm5YLysrZHExYTFlZDIxOTQ0UVg5OE1NUHV1NjY2K3JkVDJabXBpVHB0Tk5PMCtiTm0rdWNGdzZIdFgzN2RoMTk5TkYxenJucHBwdDAwa2tuNlpwcnJ0SDU1NSt2dExRMHBhU2thTkdpUmVyWnM2Y0dEaHdvU1ZxMGFKRysrZVliOWVyVlN4OTk5RkVqanZZLy91Ly8vaytCUUVEanhvMXIxUHpkdTNkcjhlTEZPdmJZWTExOVRtMnlzckowMWxsbjZiWFhYdFBRb1VNMWN1VElINzFQQU5nWFJRb0FnR1kwWU1BQXFmeWVuUjA3ZHRUWW5wU1VwT0xpWXYzc1p6K3JzUzBZREtwVHArb0x2aFVYRjZ0TGx5Ny9WZUhZc1dPSDNucnJMVVVpRVVsU05CclY5ZGRmcjVkZmZsbWRPblhTQng5OG9FQWdVSGw1Mi9QUFB5K2Z6NmV6empyTDFlZHMyTEJCQ3hjdTFLOS8vV3QxN05peHdmbVJTRVEzM0hDRGxpNWRxbmJ0Mm1uWXNHR3VqMjFmbDExMm1UNzY2Q085OU5KTEdqNTh1RjUvL2ZWNjUrL2V2VnViTm0zU2E2KzlKcFdmbVR2ampETitkQTRBUDEwVUtRQUE0bURac21XNjRvb3I2dHgrMGtrbjFSanIxNitmWG43NTVScmpQWHYyMUNXWFhGTDVldWZPblZxelpvMk9PT0tJeXJHaW9pSjkvdm5uR2pwMGFPVllibTZ1M25ycnJjclhCeDU0b0pLU2t2VFNTeS9wNXB0djFySEhIcXU3Nzc1YnUzYnQwdmZmZjYrVksxZnE2YWVmZG4yc0w3Lzhzb3d4T3UrODh4bzEvNEVISHREU3BVczFac3lZSmlsUktuK1cwK09QUDY1dTNickpXcXRKa3liVk83K2twRVM3ZHUycW5KZVFrRUNSQWxBdmloUUFBSEgweWl1djZJQUREbWh3M2gxMzNGSHJHYXhRS0ZSNW1aOGtaV2RuNithYmI5Yk9uVHMxYytaTWRlL2VYWkkwYmRvMFBmUE1NeG82ZEtodXV1a21kZTNhVlVsSlNSb3laSWc2ZDk3N1hDekhjVFJod2dROS92amp1dUtLS3pSOCtIQTkvZlRUK3VhYmJ6Umx5aFFOR2pSSWh4MTJtS3ZqKytxcnJ6Ujc5bXlscGFVMTZqaWZmZlpadmYzMjJ4bzRjS0QrK01jL05qaC95SkFodXVLS0t4cFYwcXFlNVZ1MGFGRzljMDg1NVJRV213RGdDa1VLQUlBNHV1R0dHK1QzTi95LzMvejhmUFhxMWF2RytEMzMzQ05Kc3RicTVaZGYxbE5QUGFYMjdkdnJxYWVlcWl4UmtuVFJSUmVwUTRjT2V1S0pKelIrL0hoZGNjVVZHajkrdko1NTVwbktPZHUyYlZQWHJsMTEyV1dYNmNzdnY1UWszWG5ubmRxOGViTSsrdWdqWFhMSkpmcjg4OCtWbFpYVjZPTjc1SkZIRkl2RkdweG5yZFZERHoya0dUTm02TkJERDlXZi8veG5KU1ltTnZwejZwS1RrNk0xYTlaVXZqN2hoQk9VbXJyM01VNExGeTVVMzc1OXRmLysrLy9vendFQWloUUFBSEYweVNXWHFFdVhMZzNPZS83NTV4VU9oMnZkdG03ZE90MTMzMzNLeWNuUjRZY2ZycnZ1dXF2R3ZWVEdHSTBmUDE1SEhIR0Vici85ZGozd3dBT2FPM2V1L3ZqSFA2cHIxNjZTcEhuejV1bkJCeCtzTThPenp6NHJ4M0VhdmVUNTdObXp0WFRwVWpsT3c0K3B2UDMyMi9YKysrOHJGQXJwc2NjZWE3S0hIbi95eVNkNjlkVlhGWXZGVkZaV3BzTVBQMXlwcWFuYXRXdVhici85ZGgxMDBFRjY3cm5uRkFnRW11VHpBTFJkRkNrQUFPS29RNGNPalRvakVnd0dheFNwUFh2MjZPbW5uOWFiYjc0cHY5K3ZxNisrV3VlY2MwNjl5NXhuWm1acTh1VEpldTY1NS9UQ0N5L29qRFBPMEsyMzNxcXhZOGZxNUpOUDFxaFJvMnE4cDZDZ1FBOC8vTEErL2ZSVC9mYTN2MjNVY1czWnNrVVBQUENBZXZmdXJmMzMzMTlmZlBGRnZmUGZmLzk5alJrelJuZmVlV2VkejNxS1JxUDYvdnZ2YTR6djJyVkwzMzc3YmVYcmxKU1V5a1V0THIzMFVsMTY2YVdhTjI5ZXRaVVEyN2R2cjd2dXVrdlhYSE9OSG56d1FkMTY2NjJOT2k0QXFBdEZDZ0NBT0xyNTVwc2JOYStzckV4OSsvYXROclo0OFdMTm1ERkRnd1lOMHBGSEhxbHUzYnJwd3c4L2JOVCtEam5rRUYxNzdiVjY0WVVYTkhQbVRJMGVQVnFKaVlrMUxxZjc5Tk5QZGVlZGQ4cnY5K3Y1NTU5WEtCUnExUDdmZXVzdGxaV1Y2WjU3N3RHVFR6NVpZN3UxVmpObnpxeDhidFZWVjEzVjRIMU9QL3p3Zy83bmYvNm54dmlVS1ZNMFpjcVV5dGNubjN4eW81NFhOV3pZTUoxenpqbWFPbldxK3ZmdjMraWwyUUdnTmhRcEFBRGlhTnEwYWVyWnMyZUQ4NjYvL25wdDI3YXQydGpZc1dQVm8wY1BIWHp3d1RyeXlDTmRmL1p2ZnZNYlRaOCtYY0Znc05iTDc1WXNXYUxMTHJ0TUo1eHdnbTY2NlNZbEp5Y3JFb25JV3R2Z3ZvODc3amgxNnRSSkJ4OThjSTF0cTFhdDBpT1BQS0tjbkp6S3NjWXNGcEdXbHFZSEhuaWcydGhOTjkya0UwNDRvZHJxZmxYdkRXdkk1WmRmcnFWTGwrcXR0OTdTaVNlZTJLakxFQUdnTmhRcEFBRGk2T3l6ejI3VXZOck9TRWxTbno1OXBQTDdrZlpWV0ZpbzhlUEg2NVJUVHRGRkYxMVVZM3R5Y25LdDl5SkZvMUhsNWVWVlhvNFhEQWIxaHovOFFSczJiTkNtVFp2cWZRWlRTVW1KRWhNVDFhdFhyeHFMWSt6Y3VWTjMzbm1uRml4WW9MUzBORTJjT0ZFNU9UbjY1ei8vMmFoL0I4RmdVS05IajY0MlpveFJyMTY5YW93M1ZpQVEwT09QUDY0T0hUcFFvZ0Q4S0JTcFp0UzNiOTlnUWtKQ3ArenM3Sm9YZUx1UWxaVVZpRVFpL1Zhc1dMRkNVbzJsa0hyMzdwMjZkdTNhUFZYSCt2WHIxMlhWcWxWNXRjMnZTeWdVR21XTVNWdTJiTm1zSDVNWGlMZStmZnNHSlFWWHIxNWRVTWNVazVXVnRYOXhjZkh1MWF0WGwvMDNuekZ3NE1CZkdHT0c1T2ZuejlpMGFWUHhqMHVNdHV5KysrNVRSa1pHZy9NZWZmUlJGUllXMXJtOXRnVXI5dXpaKzcrQ3BLU2tCaGUwS0NvcTB0VlhYNjN2di85ZTI3WnRVelFhcmR5MllNRUNIWGpnZ1JvMGFKQk9Qdm5rZXZOZWRORkZHajU4dUM2KytPSWEyOUxTMGxSU1VxS3p6ejViRjE5OHNWSlRVN1Y2OWVvNjk3VjA2Vkt0WDc5ZXYvclZyeXBYMm1zT0ZjdS9WMVZZV0VpeEF1QUtSYW9aSlNRa3ZHeU1PVWpTRVpJYXZDNWl3SUFCblgwKzM2SFJhSFJIVGs3T3FvcnhXQ3gyb2MvbmUzcnc0TUgvYjlteVpaOVhmYy9nd1lNZmxIUjg3OTY5ajZ4U3Brd3dHSHduRkFxVlpHZG5IOVBZTW1XTXVVWlNMMGtVS2JRcXdXRHdOOGFZUjBPaDBPSFoyZGsxdnFYMTdkdTNpN1YyYzBKQ3dsbVM2djZyOVhvWVk0NTNIT2VoLzgvZW5ZZEhWWi90QTcrZmM4NWtJd2xyVUNFdFdLTm9nR1RPaVFKcTNjV3RiMzIxK0hPclZzV2xWWEZmVzVkYTFHclYycm9VTjZ3aWJsaGZyVHNxb3JKVUVXZkpKSWJGQ0NoUndMQkVTTWd5Yzg3eisyTW1hY2dDR1FnWmhQdHpYVnhtenZxY3dTSG5udk5kY25OenB3TmdrS0l1OFR5dlpjUzdSWXNXQVltbk5KME5ydEJhVTFNVGFtdHJNVy9lUENBUm5MclNKTENyc3JLeVVGZFhoNzMyMmd0ang0N0ZubnZ1aVZXclZ1SFJSeC9GRTA4ODBlVnpyVnUzRGl0WHJ1eHduV0VZU1Uzb3UyREJBanp3d0FNWU5teFlsL3RtYmExSmt5Wmg3ZHExeU1yS3duZmZmWWZWcTFjbjFVU1FpSWhCcXBzVkZoYTJ0Sm53UE85eDB6VGZMeTR1UGp3YWpjNEhnTXpNVEM4UUNHeTBiZnRwQUgwQjVJcEliMVVkSWlMOUFNQTB6UmtBeGdKQVFVRkJPb0NiVkRYc2VWNW1jWEh4endFZ0dvMkdLeW9xYXFQUjZGU2Z6emNoS3l2cmFRRGpFQTlYNXdJWXJhb1hKdk5FaWxKcjZOQ2hHZG5aMlh1V2w1Y3Y0dDliVWd3UnVWWkV3c0Znc1BPdnVtbVhzS045am1LeEdLNisrdXFXMXhrWkdlMzYvR3hKOC83anhvM2I1RmpkNGJubm50dms5WXdaTTVJK3hwbzFhMXFHVTk5V3pTUDBiUzdROU8vZkg1bVptWnM5anFwaTVzeVpRR0krcm81QzRmTGx5L0hlZSsrMXZONXZ2LzF3NXBsbmJrUDFSTFNyWVpEcVJuNi92NDloR092YUxqZE5jNlpwbWtEOEgvZEZBUFlWa2JNQVJBQlVBQWlMeUFyUDg3NDFET01iMTNXWE51K2JuWjE5dFlqa0E5akROTTJQVkZWRXhEQk5jMzhBZ2JLeXNqSy8zMyt0aU54ajIzYWg1M2svcU9yOUFLYUd3K0hKeVY2RHFuWTRobTUrZm41bVZWVlY0NDV3WTdLenlzM05IV0JaMWllMmJWZXE2ck9HWWJ6cGVkN3FjRGk4QVlEYmhVUHNrbXpiL2pXQXZXT3hXSFBQZGROeG5JdGJiK041WGc3aVQ1V09jUnhuUUp0MVM4UGg4RnRkUFY5bVptYUhuNUdpb3FKZWtVaWs4M1pZMUNOMnRNOVJXbG9hNXM2ZHU4bXl1cm82dlAzMjIzai8vZmN4Y2VMRVRVTElRdzg5aFByNmVoeDExRkh3Ky8xby90M1JVeG9iRzRIRWs2UzJNakl5NEhrZTFxOWZqOXpjWENEeEJDa2FqV0xQUGZmczhqbWE1MitxcmExdDExL3JpeSsrUUs5ZXZUcHNldGRzK3ZUcG16MitxdUtPTys3QTIyKy9qU0ZEaHVDbW0yN0NmZmZkaDVFalIyNnkzZTIzMzQ1YmJya0ZudWZCNS9OMTZTa2hFVkZyREZMZEtCd09yeThxS2hwcG11YXhxaHJ3UEc5MTh6clRORzBBMmFyYSt1dSsrNFBCNExPZEhjL3Y5eDlzR01aRVZiMDlGQXJkaXZoTjQxc0FmdHJRMEZCbTIzYWhpQnlaQ0Q4UGk4aVJobUdjQWlCTFJNb2R4NW1BK0MrVmFhRlFxTHFMbDFGZzIvYVFVQ2owZGZPQ2twSVNuK2Q1cnd3Y09IQzlpSndWQ0FRNm5pR1N1b01oSWlVQUhGWDlvNGlFYmR1ZXA2cWZtcVk1THhBSXJFaDFnVHVTd3NMQ05CRzVUVlZmaUVRaTh4Qi9pbXVwNnQydHR6TU1ReEQvTEp3SjROVFc2MFRrSFFCZERsS2U1eDBOWUdyclpiWnQzd3pnZE51Mmo5bldQcEhVTFhhNHo1SHJ1Z2lGUW5qMzNYZnh6anZ2b0tHaEFRY2ZmRERXclZ2WEVxUTh6NE9JWVBiczJaZzJiUnI2OU9tRG80OCtHc2NlZXl4czIyNlpLK3F3d3c1RExCYmI3UGxlZlBGRnZQenl5NTJ1ditpaWkzRE9PZWNBQU41Ly8zMTg4ODAzc0N3THI3MzJHa1NrdzNtdW1nZVNPUC84OHpGaXhBaEVvMUY4OHNrbnlNckt3cWhSbzdyOFh1eXp6ejRBZ0t1dXVnb0hISEJBUzJoYnZIZ3hLaW9xY095eHgzYjVXQjE1N3JubjhPOS8veHZubjM4K3pqbm5IRngyMldVNDc3enpjTUFCQjhDMmJmVHIxdzgrbncrV1pjR3lMSmltQ2RNMDBkVFVoTWJHUmpRMk5yYjgvUC8rMy8vYnJuMjFpT2pIalVHcWUzbVJTR1NoNHpqUGk4Z0o0WEI0TEFDdm9LQWdQU2NuNXlVQVB0TTBwM1RsUU1PR0Rjc1JrWmRVTlJnS2hTWWkzbVR2UEZVOXl2TzhNUlVWRlUyMmJSY0NtTkJxSXNaY0VkbERWU3NCakc4cHl2TStCRkR0OS9zdk1ReWozZGQ4cXJva0ZBbzlnL2hOcFFIZ0lnRE5NeFdLcWo0bElzY0JtQllJQkxZOEJpNXR0Y1FUUjBqOEw3VVBnTU5WOVZBUnFWSFZhdHUyUDFQVnFVMU5UUjl2N2FBSk81T01qSXhyVlhXZzUzblhJeDVvbmhZUkt4Z001clR1bDFoWVdMaDdSa2JHQ2dEbmhrS2hEdnRJK2YzK0V3ekRhSGMzcUtwZTgyY3c0WGV0ZzVUak9CY0J1RjFWdjRoR28zeHl1QVBZMFQ1SHI3enlDaVpObW9SMTY5YWhmLy8rT09XVVUzREtLYWNnUHo5L2srME13OENFQ1JNd1ljSUVsSldWWWZyMDZaZytmVHBlZnZsbDVPWGxZZXJVcWNqTHk4TTU1NXdEejl1MnhnRkZSVVV0UDY5Y3VSS1RKazBDRWhQYi91NTN2ME92WHIzYTdYUHd3UWRqd29RSm1EdDNMcjc0NGd1WXBnbmJ0bkhlZWVlMVBLSHFpbkhqeG1ISmtpV1lQWHYySmdOUFpHVmw0YWlqanNKMTExMjNUZGRtMnphT09PSUlYSHp4eFJBUlBQSEVFM2pqalRmdzdydnY0dFZYWDhVUFAveUFwcWFtTFE3cHZ0ZGVlMkg4K1BHYjNZYUlkbTJkVDRWT1c2MjR1SGk0YVpyekFmeFBNQmljYWR2MjNTTHlPd0FIQm9QQkJZamZmTVVBbkx1NUoxSzJiZjhMd0lrQW1wOEFOVGNLcjBmOGwyNWhJQkQ0cG5sN3gzSE9BakMxb2FGaGo0cUtpblk5ZjIzYi9neEEyN0YwTXdITURJVkNZeDNIZVJQQUx3Q3NpY1ZpUXlLUlNJUGpPRThBT0EvQXM4Rmc4RncyTWR0K2lvcUs4aTNMcWdDUTA5RXYrRmFCR2FyNkxZQnBxdnBpUTBQREVzTXdOdXhxd2Fxb3FHaVlaVmtoei9OK0h3NkhIM0FjNTFnQTB6M1ArNE9JTEFOdzc0WU5HL2Fxckt4c2JBNVNxbnBHYzVCS2hDNHpHQXllblhqOVZ3Qy9iWDBPRVVrRElNRmcwT2YzKzY4MURPTmV4UHU5aklsRUl2UDhmdjhGSXZLWWlKU3I2dEZKUFBtbDdhUTdQMGREOS9VZkR0RVhjbk55ZG4vc29iOWh6S2o5dDZxbTh2SnlUSnMyRFNlY2NBSkdqUnFWVkhPOVdDeUdXYk5tWWVIQ2hiamtra3UyNnZ6Sm5NdXlkbzd2Vjd0eUxhN3JJaHFOdG9TcTVpZFRobUhBTk0xdGZpOCsvZXh6WEg3TmphaGVzNllHaXBPWExReC90RTBISktJZHpzN3hMK1lPd25HY213QWNndmd2Nk1VaWNyM2pPTmNET0ZwVnEwVGtiNDdqUUZYdjZzcnhYTmU5eXJLc1V6elBPdy94NFBRY2dGOTVucGRwR01aenJ1c21OVTVyS0JUYTVOdjJ3c0xDdEl5TWpPOVZ0ZlZJZ090VnRhOXBtbGM1anVNQU9GbFZIdzZGUWxmc0pQMmpyQkVqUmhSYWx0VXYxWVYwSUsvMVo3TDVocS8xeldDcm53ZUx5TlVpY2tsV1Z0WUNBUFA5Zm4vRWRkMVpaV1ZsNVYwWkpmTEh6alROS3dCa0dvWnh1ZU00VnlmZXZ6TFROTzl6WGZjY3d6QUd4Mkt4VHI4c0VwRUJyZC92VUNoMERZQnJXbS9qT003MHhCT05GcXE2empUTld4M0grUmpBWHdETWFXeHMvTjh2dnZoaTdYYTYxQjJSNWZmN1I3UjliM1lRM2ZrNTZoWWpSb3pBaUJFanRtcGZ5N0p3NUpGSDRzZ2pqK3l1Y2paN3JwMUZWNjZsT1RobFpHVDBTRTFFdFBQWmVmN1YzQUY0bnZlRmlMaXRYb3VJbUFBK1FxdGYzaUx5ZmVMMVpOdTJIKzNvV0NMeTUxZ3M5a3ppT0JFa21uMTRuaGZ5UEMrN3VVMzV2dnZ1Mjc5WHIxNlMyQzViUkpDZW50NnZwS1FraHZqd3VXNVpXVm03QVRBUUg1NzlPQUM5UmVSZnJSYXZFSkg1aWFaS0hvQnJRNkhRWDd2dlhVcXRnb0tDTEovUGQ2T0lISkhxV3RwU1ZVTlYwMXQvWTQ0MjM2QzMyUjRBTWtURVZsVy9ZUmlOSXJMSzcvY3ZBdkJDVFUzTnY1Y3RXMWJUTTlYM1BGVjlGc0JxRVZtYkdMRnlzS3FPRHdhRFViL2Z2ODNIMzNmZmZmc0RPRXBWYjJ5OVhFVCtDdUFPQUNjQW1MWisvZnB6S2lzckc3ZjVoRDhpQlFVRldTSnlpNGdjbE9wYTJ1ck96MUhVMVZCZHRPTUJlSWlJaUJpa3VsRTRIUDUzNjlkK3YvOXdFZmt3Rm92OUpCS0pWTFZlNXpnT1JHU3lxczVKTExvYndKY0Fua1M4V1VMTHQ2RWkwaklUb3FybWkwaFc4K3ZNek14dlZUVWRyVzRVUk9TTDV0RG04L20rU3N3TjFZNkluS3VxUzBPaFVLRE44dHRVOVhRUm1Sa01CbmVhRUlWRXVBV1FwcW83M0ZlUUlpS2RqWnE0T2EyK1hiZEVKQnZBN2dCeWV2WHF0VlBQTEJrT2gvOEQ0RCtPNCt5WEdGemkzbEFvOUhsM0hUOHpNL1BYcW1vQzJLVEhmaXdXbTJLYTVqa0ErcnV1ZS82dUZxTHczeStKZHZyUGtZaG1zZ0U4RVJGMWhrR3FleGwrdjcrbHg2MWhHTm1JTngvSTlmdjlmUUNndnI3ZVhiUm9VWjJxR2lJeU94UUtUVU84ZjhhTkFMNXEzUkcrcUtnb1A3SC91ODNMVE5PYzNlYWNKd013RWI4Uk9GeEVyZ0Z3Tm9BYXhKc0hkamdjczIzYnhhcDZVbUw3VFFRQ2dhOXMyMzVBUks2eGJmdjB6anJuL3hndFdiS2tic1NJRVJNdHkzbzQxYlcwcGFwNUl2STBnS3cyeTRFT3ZsRlB2STZwYXFXcWZ1NTVYa2hWNTBZaWtRQ0F6US9wdFpOSWpDajVqSWdzYm1obytHTjNIWGZvMEtFWkFHNEE4RWJyRVN3UkQxSXh5N0t1QWZDNmFacC9UUXcrc1V0WnNtUkpuZC92djJWSGJOclhuWitqb2Z2NmZ3N1pkSlJISWlLaVpneFMzY2h4bko4bG5pcHRRa1MrYVA3bDNhdFhyMFVqUjQ0OFVFVEVkZDBPbTl5MXBhcit4SEhDSWxLUWFNSVhScnhmeHp1dHp0OEhBQm9hR21aME5OaEVHeE5GWkUwc0ZudThvNVhyMXEyN3VXL2Z2c2REamVwM0FBQWdBRWxFUVZTTHlLUEZ4Y1ZscGFXbFgzU2wxaCtCV0hsNWVTVFZSWFNrcUtnbzN6VE5sbjVvbStzb3I2cnJWUFZOVlozbWVWNUZZMlBqNmtXTEZtM28yWXBUVDFYdkZaRVJudWNkYWxuV1BuNi9mei9ETUhielBLOEJBUHIyN1Z2YXIxOC9UVHhaQW9DL09vNXpHLzc3ZEhkT1I4ZnQxNi9meFFBR3hXS3hQM2UwUGhnTXZ1RTR6bE1pOGx2YnR1ZUdRcUdwSFcyM0U0dUZ3K0Z3cW92b0NEOUhQYy96dkpiQkdvaUlkaVVNVXQxSVJMNEdzRi96YTgvelJvbklGRlU5M0RDTVZRQVFqVVliQWZSTmJOK2xJT1c2cm90RTUxblhkVjNQODl4dDZSVHNPTTVwQUU1VTFSczdtMEIwMmJKbERibTV1V2VicHZrZjB6VGZLUzR1UHJDMHRQVGJyVDRwZFltSWVLMStCdUkzZXdwZ0k0RDFudWVWcWVxVDFkWFZiMzczM1hjYlUxbHJxam1PTXdiQUZRQmlJdktwWlZuTlRSbm5BTGhNVlcvQmYyK2tzd0hjSUNKelZMVU04ZmYzckk2T1cxSlNzcGZuZVJNQlRHK2VtNm9qZFhWMVYvVHExZXN3RVhuU3R1M3ZRcUhRQjl2blNpbFovQngxbndjZWVBQ2pSNC9HbURGak90M21ycnZ1d29JRkMvRHNzNTBPUWt0RXRGTmlrT3BHZ1VBZ1dsQlFzRFEzTjNjdWdEK3A2amNpQWxYOVFWWC9ET0NtU0NTeTFPLzNuNlNxYXBybTRxNGNOekdaTHhDL0tkamZOTTFNeEpzTy9zUzI3WmIrVDZvNlhFU1FscFoyaUczYkxTSE5NSXlsZ1VEZ0s4UnZFdmZ3UEcrU2lKUVpobkgvNXM0YmlVU0N4Y1hGdnpFTTQwWFRORDh1S2lvYUc0bEVsbTd0KzBOZEl2anZ6ZDk2QUdFQTh3RjhxcXJ6dytIdzExczh3aTVDUkw3MlBPOGpBQXRWZGFIbmVRc3N5MW9ZQ0FTV0owWXRiSGxpa2hqKy9BWlZmYlc1cWFyZjczODRHbzIyN1VkbWVKNDNSVVNNYURSNjZlYk92MmpSb2cxRlJVVW5XSlkxVjBSZWR4eG5YREFZbkw2OXJwZVN3czlSTjlpd1lRUG16WnVIcVZPbjRxS0xMc0tGRjE3WTZhQWRDeGN1eE1FSEg5eHVlWHA2T21iT25Oa0QxUklSOVR3R3FXNldtNXQ3b2FyYUlsSUpZRGZFZzlBR3ovT0dpY2lMQlFVRm8wUmtESUNLUUNEd1ExZU9LU0tQcWFxbnFuVUFuazVNbWdzQTQwVGtpcmJiRzRieFV1dlhydXZlQ2VEbS9QejhUTS96L2s5RWVxdnFzY0ZnTU5wMjM3WktTMHRmY2h4bkVJQy9XWlkxMSsvM241TG81RS9iaDZwcUJNREwwV2owSGMvenFqSXpNOWNFQW9FdC9sM3RhZ0tCd0FvQVd6MzZZamdjcnZINy9RYzRqdk5XTEJZN014S0pMSFVjNTM0QUJ3TzRxcXlzYk1tV2poR0pSQmJadHYxTEVma0F3T3VPNDB3SUJvTWROcGVsSHNYUFVUZkl5Y25CNU1tVGNkMTExK0d4eHg3RHNtWEw4T2MvZDlqYUZVT0hEc1dkZDk3WmJubnpDTE5FUkRzakJxbHVWRkJRa0F2Z3BzVGt0UXY4ZnY5dStHOXp2dkdtYWY0bkp5Zm5VZ0NucStvcld6cGVMQmFyTVF6anVvYUdocWNXTGx5NHBubDVZdjZubjhaaXNSV0dZZHpXdk53d2pGTUJQT2E2N3JEbUlkWUJvS2FtcGdHQWtaZVg5NnlJSEFqZzZtUkdOd3NHZzMrM2Jkc0Y4SGZETUQ1MkhPZlVZREQ0YXRKdkVHM1cyclZyMS9UdjMvK2cwdExTQlR2Sm5GMDlLdkcwMVErZ3VMNisvb25XbjVuT0dJYXhHNEF4bG1WbCtQMytLeEpOQmY4ZERBWWY3T3A1UTZIUUo4WEZ4Y2NZaHZHYWlEeG0yL2F3eEp4VWxBTDhISFd2ckt3cy9QM3ZmOGN0dDl5Q3NXUEhZc1dLRlZpNWN0TXV1R3ZXcklIbmVkaTRzZU5Xa3N1V0xjUFFvVU43cUdJaW9wN0RJTldOY25Oenp3ZlEyM1hkbXhCL2t0VFM4ellTaWN3ckxpNCsyakNNM1FIOEZNQWpXenBlUlVWRkxZRDdTa3BLZkxadDU3bXUyODgwelg2cTJzL3p2QUdXWmExdkhXZ2N4OW1JZUhCYlgxRlJzY244UVltYnpCSUFrNExCNE44Nk9wK3FEaGFSMm83V2hVS2hoMnpiL2xwVkx6Y000OTJPdHFGdFUxVlZWVjlWVmJXekRPcXgzZG0yZlFxQW93SHNKeUtGcWpvZzBlekl6Y2pJMkdSK3R2VDA5T2I1M2RMYUhHWnZBTEZnTVBpVjR6akhxK3JuaG1IOHVxTWJjTU13OHRISlNKaWxwYVZ6aW91TER6Uk44eG5QOHg3cjNpdWxaUEJ6MVAxOFBoL3V2dnR1QU1DRER6NklLVk9tZERpSjdZUUpFOW90YTJ4c3hCRkhISUY3NzcyM1Iyb2xJdXBKREZMZEtQSGs1bDNUTkE5eEhNY0VjRnFpZy9NNnhHL0FLZ3pEZUFIQUMrRnd1TjNvZnEzWnRqMEV3SDhBOUZiVlhpSUN5N0tncWlvaVB3Q29WdFUzQUhUcHlWQWdFRmhoMi9aQndXQndWYXR6WEF6Z1FBQjFBUFlXRWIrcWRqaEJNT0poNm5VQXJ5ZjNyaEJ0TjRlS3lHOVVOUVRnV2Mvendxb2FxYXVycTJnN3QxTW9GRnJ0T000R0VibkVjUnpUOHp3MURDTk5WUzlMOUoxcFdydDI3VWw5Ky9iTkNRUUNHeEgvWXVJUUFKZXFhZzJBM29sSmZ4ZDJOcXBiYVducFlnQ2Q5OGduK3BGNTc3MzM4UDMzMytPc3N6WWRsNlZmdjM1NC8vMzNXMTdQbVRNSDlmWDFHRHQyN0NiYlZWVlY0WlJUVGtGM1RKQk5STFFqWXBEcVhob0toU3BzMjM0QXdOR3FXZ3ZnenVhUjhTekx5aFdScGRGb3RQM1hkbTBZaHZGZG9tOVR0ZWQ1cTFXMTJ2Tzg2dkx5OGpWYk8wZFFLQlQ2cnMwaUg0Q3pKUDQxL2daVmZRM0FyVnR6YktLZXRtSERocHNyS3l1djd1TG5RVDNQdTF4RTdoR1JmeHFHQVZYMUVnTlZYSUhFU0pYTGxpMXJhTmxCZFQyQVV4TVR2RGFxYWltQWk3ZnJSUkh0UUdiUG5vMjMzMzRiZ1VBQWQ5eHhCM3IxNnRYaGR0T25UOGZxMWFzeGR1eFl4R0l4L1BERER6Qk5FNisrK2lweWMzTXhidHk0SHErZGlLZ25jTTUySWlLaURnemQxMzg0UkYvSXpjblovYkdIL29ZeG8vWlBkVWs5N29rbm5zQ2pqejZLUGZmY0U4ODg4d3dtVDU2TU45NTRBNU1tVGNMenp6K1B0V3ZYb3J5OEhIVjFkVWhQVDBkdGJieDErS21ubm9xUkkwZGl5SkFoR0Q1OGVLb3ZJeVUrL2V4elhIN05qYWhlczZZR2lwT1hMUXgvbE9xYWlLaDc4WWtVRVJFUmRlakNDeS9Fb0VHRDhPMjMzeUlySzZ0bGVYcDZPZ1lNR0lDOTk5NGJQL3p3QTZMUktHNjc3VGIwN2RzWGZmcjBnV1ZaT1AzMDArSDMrM2ZaSUVWRU96OEdLU0lpSXVyVUwzN3hpNWFmVlJXR1llQ25QLzBwTHIwMFB0WGFpaFVyOE9xcnI2S3lzaEw5K3ZVREFDeGZ2aHhmZmZVVlRqdnR0SlRWVFVTMHZURklFUkVSVWFlKysrNDc3TEhISGhBUjFOYld0dXNyZGZycHArT0xMNzdBUGZmY0E4K0xEM2hwV1JZT08rd3dISHZzc1NtcW1vaG8rMk9RSWlJaW9rNWRkdGxsMkh2dnZYSDMzWGRqdzRZTnlNM04zV1Q5NE1HRGNmNzU1K1BsbDEvRzdiZmZqdXpzN0pUVlNrVFVrempsT0JFUkVYV29wcVlHeTVZdHc1NTc3Z2tBV0xwMEtRWU9ISWpWcTFkajBhSkZxS3Fxd29VWFhvak16RXdzV2JJRXYvM3RiN0YyN1ZvQXdJY2Zmb2lubm5vcXhWZEFSTFQ5TUVnUkVSRlJoeUtSQ0JDZlZ3MjF0Ylg0NnF1dlVGUlVoSGZlZVFmbm5uc3UxcTlmajJBd2lJeU1EUHpqSC8vQXNHSERZRm54eGk2TEZpM0M1TW1UVVZmWGJnNXJJcUtkQW9NVUVSRVJkU2dVQ3NHeUxJd2NPUkx2di84K1ZCVzJiU01ZREtLNHVCaHBhV2t0MitibjUrUFdXMjlGWldVbExycm9JZ3dmUGh3TkRRMllPWE5tU3ErQmlHaDdZWkFpSWlLaURzMlpNd2ZEaHcrSHorZkRjODg5aDJIRGhpRS9QeCtmZnZvcERqNzRZTVRuY3dkYzEyM1o1L3Z2djBjZ0VNQ1FJVU9RbjUrUHQ5OStPNFZYUUVTMC9YQ3dDU0lpSW1wbjVjcVZXTEprQ2NhUEg0L0hIMzhjUzVjdXhWMTMzWVZQUC8wVXNWZ014eDkvZkVzenZpbFRwdUNZWTQ2QjUzbDQ5dGxua1pXVmhVR0RCdUdDQ3k2QWFacXB2aFFpb3UyQ1FZcUlpSWphQ1lmRFFLSi8xSk5QUG9sampqa0d4eHh6REFEQTcvZGp3SUFCQUlBSkV5YmdtV2Vld1ljZmZnZ0E2TisvUDY2NzdqcFlsb1ZmL3ZLWEtid0NJcUx0aTBHS2lJaUkyam51dU9Nd2N1UklEQmd3QVB2c3N3OHlNek5iMXUyMjIyNHRQNTkzM25rNDc3enpVbFFsRVZIcU1FZ1JFUkYxd05WWXJTVm0xSE05Yk55NE1kWGxwTVRnd1lNQkFPbnA2YWt1NVVkblkzMTl2TytZd25VMVZwdnFlb2lvKzNHd0NTSWlvZzZvTnEyQW9yNHBHc1gzMWF0VFhRNzl5S3hldlFZTmpRMEEwS2phdENMVjlSQlI5Mk9RSWlJaTZrRFY0c1dyRktpTFJxTllzR2d4R2hvYVVsMFMvVWhFWXpFcy9ySVNEUTJOQUxTeGF2SGlWYW11aVlpNkg0TVVFUkZSeDJKUWI1cXFlcSs5K1RibUI4T29iMmlBcXFhNkx0cUJ1YTZMeXNxdjhOcGI3OER6UEEvUUtRQmlxYTZMaUxxZnBMb0FJaUtpSGRXZ1FZT3kwbklIdmlPQ1EzTnpjM0RFb1Q5SDhjZ1J5Qjg4Q05uWjJha3VqM1lnalkyTjJGQmJpd1VMRitQVk45N0N5cFdyNEtuT2phNnZQdWE3Nzc3Yk5UdlpFZTNrR0tTSWlJZzJZOUN3b21FK3lHUVJIQ1FpaHMvblE2K3NySlk1bElnQXdQTThSS05SMUczY0NOZDFGWW81TWJnVHFoYVZSMUpkR3hGdEh3eFNSRVJFVzlEM1p6L3JuWnVXYzRjaCtGOEZmSUQ0QU96U004MnFweTAzRVFwQWpGMytsc0lGTkNwQTFJTyt1eUc2OFpxMWxaWHJVMTBVRVcwL3UveS9la1JFUkYyVmwxZVluZFhQeXZQVUhXQWF2bDZwcmllVjBpMXZyM1RMK0kwaDRxdVB1azgyeG95dlVsMVRLc1U4M1dpS1ZtOWNHNnV1cnE3Z2NPZEV1d0FHS1NJaUlrcWFiZHVIaWNpTHFwb0I0S1JRS1BSeHFtc2lJdXBKSExXUGlJaUlpSWdvU1F4U1JFUkVSRVJFU1dLUUlpSWlJaUlpU2hLREZCRVJFUkVSVVpJWXBJaUlpSWlJaUpMRUlFVkVSRVJFUkpRa0Jpa2lJaUlpSXFJa01VZ1JFUkVSRVJFbGlVR0tpSWlJaUlnb1NReFNSRVJFUkVSRVNXS1FJaUlpSWlJaVNoS0RGQkVSRVJFUlVaSVlwSWlJaUlpSWlKTEVJRVZFUkVSRVJKUWtCaWtpSWlJaUlxSWtNVWdSRVJFUkVSRWxpVUdLaUlpSWlJZ29TUXhTUkVSRVJFUkVTV0tRSWlJaUlpSWlTaEtERkJFUkVSRVJVWklZcElpSWlJaUlpSkxFSUVWRVJFUkVSSlFrQmlraUlpSWlJcUlrTVVnUkVSRVJFUkVsaVVHS2lJaUlpSWdvU1F4U1JFUkVSRVJFU1dLUUlpSWlJaUlpU2hLREZCRVJFUkVSVVpJWXBJaUlpSWlJaUpMRUlFVkVSRVJFUkpRa0Jpa2lJaUlpSXFJa01VZ1JFUkVSRVJFbGlVR0tpSWlJaUlnb1NWYXFDeUFpSXFJZFcwbEpTWmJuZVhtdGw0bkk3cXBxaW9nQllIZmJ0b2UwWHUrNjd1cElKRkxYNDhVU0VmVVFCaWtpSWlMYXJGZ3NOc3cweldEYjVTTFMvT09Mclg0R0FCaUdNUXJBL0I0cWtZaW94N0ZwSHhFUkVXMVdhV2xwUkZYTHVycTlxaTRJaDhQdGdoY1IwYzZFUVlxSWlJaTJ4RlhWWnhFUFNWRFZkaHUwWHE2cUx3RndlNzVNSXFLZXd5QkZSRVJFVytSNTNtc0ExbmRoMC9XeFdPek5IaWlKaUNpbEdLU0lpSWhvaXd6RFdBV2d0RzFmcU5ZUzYwcGQxLzIySjJzaklrb0ZCaWtpSWlMYW9uQTR2QUhBcDZycUlkR1VyMW1ySm4wSzROTUZDeGFzVGwybFJFUTlnMEdLaUlpSXVzSlYxWGtBZnRqTU5oc1QyMFI3c0M0aW9wUmdrQ0lpSXFJdWNWMTNIb0RxNXRkdEI1NFFrZlhSYVBTelZOVkhSTlNUR0tTSWlJaW9TeUtSU0JXQVlFZjlwQkxMZ3VYbDVjdFRVUnNSVVU5amtDSWlJcUl1aThWaXozUzJ6dk84eVQxYkRSRlI2akJJRVJFUlVaZlYxOWZQVk5WVmJaZXJhblZOVGMzMDFGUkZSTlR6R0tTSWlJaW95eW9yS3h0RjVJWG01bjBpQWhHQnFyNjZiTm15aGxUWFIwVFVVeGlraUlpSUtDbXU2NzZncWszTnJ4TS92NXphcW9pSWVoYURGQkVSRVNXbHZyNStDWUFGclo1S0xUUk5jMUdxNnlJaTZra01Va1JFUkpRVXovTTJBSml2L3pVL0dvMnVTWFZkUkVROWlVR0tpSWlJa2xKWldkbVltSGgzSTRBbVZaMFhpVVRxVWwwWEVWRlBzbEpkQUJFUkVmMzRpTWgvRXBQejl2STg3NU5VMTBORVJFUkVSUFJqSUxadHo3QnRlejVidUJEUnJxajkxT1JFUkVUVW9ieTh3dXlzZmxhZXArNEEwL0QxU25VOXFaYVZoaE1NYUhwdGs3eWE2bHBTTGVicFJsTzB1bTVONCtyVnF4ZHRTSFU5UkxUOU1VZ1JFUkZ0UVY1aFlYWXZ6L3FEUUg0SmtReW9acWl3ZVR5Z2lmc0kwVlJYa21xaWlFR2tRYUdOVUx4WFowUnZyYTZvcUUxMVhVUzAvVEJJRVJFUmJjYmdncUo4bnlWUEFqaGFSQXpMTkpHV25nYlRORk5kR3UxQVhOZERVMk1qWXE0TFZmVUF6SEJqN2lYTEs4dS9TblZ0UkxSOU1FZ1JFUkYxWXRDZ2tpeGY3OWpyQnVRb244K0hvdzQvRktNT0tNSGdQWFpIVGs1T3FzdWpIVWh0WFIycXZ2ME93VkFwM3Z0Z0pwcWFvbERGclBwMTNnbXJWbkZFUTZLZEVZTVVFUkZSSjRZTTg5OGtvaE16TXpPTmliZmNpTEZISG9IYzNCdzBUMFJMMUpxcVlrTnRMV2JQL1FUWC9lRlcxTmMzZUtwNjE5ZUxJamVudWpZaTZuNGNaWWVJaUtnRGd3WU55akpFVHhjUjR4ZkhqY1h4eHh5TjNyMXpHYUtvVXlLQzNKd2NISFg0b1RodTdGRVFFY013akxQejgvTXpVMTBiRVhVL0Jpa2lJcUlPcE9VT0hBaVJETXV5VUR4eUJIcjEydVVINmFNdXlzaklnTDlvSk5MUzBxQ0F6K2ZMR1pqcW1vaW8rekZJRVJFUmRjRDFvbmxRelVoTFM4UHV1L0UrbUpLengrNjdJVE16QTFDa3VlbldnRlRYUTBUZGowR0tpSWlvQTZiaDY2VUN5elFOWkdkbnA3b2MrcEhKeWNtQnovSUJBdE9BeVpGSmlIWkNERkpFUkVSRVJFUkpZcEFpSWlJaUlpSktFb01VRVJFUkVSRlJraGlraUlpSWlJaUlrc1FnUlVSRVJFUkVsQ1FHS1NJaUlpSWlvaVF4U0JFUkVSRVJFU1dKUVlxSWlJaUlpQ2hKREZKRVJFUkVSRVJKWXBBaUlpSWlJaUpLRW9NVUVSRVJFUkZSa2hpa2lJaUlpSWlJa3NRZ1JVUkVSRVJFbENRR0tTTDZVU3NwS2ZrcEFMTXIyeFlXRnFhVmxKUU1LQ3dzVE90c20rSERoL2NiTm14WVRyY1d1ZVc2c20zYm51dzR6bjZkYmVQMys0ZjYvZjVyaTR1TGY5NlR0ZEdPbzdHeEVhN3JKcjFmTEJhRHFtNzJ1QlVWRldob2FOakdDanMvZnl3VzYvTDJUVTFObURGakJwWXZYNzVONTl6Y05STVJkUWNHS1NMcWRyWnQvODYyN1Q5MXN0cmF6SjltTW5UbzBJeTJmd0JJNndNVkZSVU5WTlZ5MjdiLzBwVzYwdFBUWC9NOGI1RnBtcjA2V3U4NHpwajA5UFExdlhyMU9uOUx4M0ljNSsrTzQ1UjI1Ynhia3BtWm1TRWk1NnZxNE02Mk1RempiNFpoM0dzWXhxM2RjVTc2Y2ZuMjIyL3hxMS85Q2xPbVRFbDYzOUdqUitPTk45N29kUDN5NWN0eDl0bG5ZOG1TSmR0WVpYdWU1K0czdi8wdDdyMzMzaTd2czM3OWV0eHd3dzJZUFh0MnUzVmZmdmtsL3Z6blA2Tyt2cjdUL1ZldlhvM1JvMGRqenB3NVcxMDNFVkZYV0YzWWhvaG9zMnpiUGtwRS9pY1lERjRGQUNJeUFrQUJBTXUyN1lNQm5DWWlSN3F1ZTVScG1sV2RIU2NXaS8wa0VvbFUrZjMrSVlaaExHMjdQamMzZDJRa0VpbHZmaDJKUkw2M2JmdnZJbktMNHpnZkJZUEJOenM3dHVNNEV3QWNCK0E1bjg4MzJuR2NsbldxV2g4S2hUNEdjQ2VBS0lCdkhNYzVydlgrcWhvTGhVSXpXcjNPRVpFK3phL3o4L016OC9MeXJ1bnFleGFOUnFlVWw1ZDM2U3Qzdjk5L09JQ1RBSlNKeUZqSGNVNE9Cb092ZHZWY3U1S2hRNGRtWkdkbjcxbGVYcjRJZ0pmcWVyckw0TUdEa1orZmo4Y2ZmeHhISG5ra2hnNGR1bFhIV2JseVpidkF0R0xGQ2lEK2VVSk5UVTI3OHc0Wk1tU3I2ellNQTJQR2pNR2pqejZLNHVKaW5IRENDVnQ5TEFCWXNHQUJYbjMxVlFRQ0FkeC8vLzJicmUzNjY2K0hZYlQvdnZqaWl5L0dXV2VkdFUxMUVCR0JRWXFJdW9PcS9rUkVydlQ3L1ZQQzRYQTRzV3lVYmR2VkFISUJ6UEU4NzBITHNtbzl6eHZid1NGdUU1RmhzVmlzcHMxeGZ3TmdBWUFoSXZJeTRxSHRhQkhKYUxWWldGV3JBZmhiaHlQRUE5M3NRQ0R3ZytNNHh3SzRSMVhYQVRnY3dQRUE2bHR0dDl4eG5LY0JIQWxnSllESEFVUlZ0WFU3cWpvQXcxcnRJNnJhY3FPZW5aMmRCZURHdGhjbUlta0FmS3BhMTNxNXorZjdBTUFXZzFSQlFVR3VpRHlscXBXdTZ4NW9tdWFIQUI0Yk1XTEU1MTBOWXJ1UzNOemNBWlpsZldMYmRxV3FQbXNZeHB1ZTU2ME9oOE1iQUNUZkxxNkhORFEwNEtXWFh0cnNOb01IRDBabFpTV21UNStPckt5c1RyYzc4Y1FUMGFkUG53N1hmZmJaWjVnMGFkSW15NXFiQzA2ZVBCbVd0ZWx0d2Ftbm5vcng0OGNuY1NYdGpSOC9Ick5temNMZGQ5OE4yN2F4eHg1N2JQV3hUanp4UlBUdTNSczMzbmdqemo3N2JEenl5Q01ZUG54NGg5dGVjY1VWc0cyNzNmSzh2THl0UGo4UlVXc01Va1MweldwcmExL0l5Y201MnpDTTN3TTREZkVBc1U1VmI2cXZyMzkvNGNLRmEyemJ2cnkrdmo2em9xTGlBNy9mZjRGcG1rOEhBb0dvMysvL2hZZ2NwS29uVlZSVTFMWTU5SUpRS1BSNVNVbEpiYXYrRHM4QzJLMzFSaUlDQUxlM3Jjdnp2QU5zMnk0QThJeXF2bUVZeHRtZTUxME40QndST1Q0WURGYVdsSlRzNWJydU1NTXc3Z2J3VWpBWVBOMjI3UThCcksrdXJqNnRxcXFxSlhENS9mNHpSZVRBVUNoMG1hcWFJdUlDd01pUkkzL204L2x1Ym1wcTJxOXR1UEg3L1hjWWhuRlRZMlBqN20ydmIrVElrU045UGw4dlZlMmRXTFNmNHppMTBXaTBycXlzckF5QTVPYm1QZzdnSndDT2lFUWlkWTdqbkFOZ25zL24rNy9Dd3NJak8zalBDREJFcEFTQW82cC9GSkd3YmR2elZQVlQwelRuQlFLQkZha3VzSzJOR3pmaXNjY2U2M0JkY3g4ank3SmdXUmFtVHAyNjJXTWRjc2doblFhcEUwODhFU2VlZU9JbXl5b3JLM0hhYWFmaHdRY2ZSR0ZoNFRaY1JjZE0wOFN0dDk2S3M4NDZDeSs5OUJKT08rMDB6Snc1czlQdDYrcmkzemtFQW9HV1pYdnNzUWVPT09JSUFNQmhoeDJHaHg1NkNFOC8vVFQyMm1zdmhFS2hUZlpmdjM0OWtPajd0WEhqeG5iSC8vcnJyNUdWbFlXTWpJeDI2NGlJa3NFZ1JVVGJyTEt5c3RHMjdhY0FYR2ZiOWhDTnA1NGxvVkRveFZhYjNaU1dsaGJ4Ky8wWmhtSGM1WG5lL3hRVkZWMHFJdjhFOEdnb0ZIcTlLK2Zhc0dIRGtGZ3NKdjM3OSs4TElMcG16WnFXSU5HM2I5K2ZyVnUzcnFYZDBySmx5eHI5ZnY5WUFQZUhRcUhmQTlDaFE0ZmUxNjlmdjJNQVhBcmdLdGQxVHpVTTQwK3FPbmJkdW5YejRnL0M5RUlSbVptWGwzZDRWVlhWTzYxT253ZmdMQUNYaTRqWi9NVEs1L09kQ09Bc1ZiMDJtZmZOc3F5cEFJcWJYNHZJZzRubHBRRDh0bTNmQmVBMFZmMTlLQlNhRFFEQllIQ0IzKy8vallqOFgzcDYrbnNsSlNYSEJ3S0JINUk1Nzg1T1ZVVkVJUEdFM1FmQTRhcDZxSWpVcUdxMWJkdWZxZXJVcHFhbWp5c3FLcHBTWFM4QTlPdlhEM1Buem0yM2ZQWHExVGp2dlBOUVgxK1B5Wk1uYjlLa3I3R3hFZW5wNlIwZTc5dHZ2MjFwc29mNFp3R2ZmLzQ1K3Zmdmp3MGJOdURpaXk5dVdkZjhKY1VGRjF6US9LVUVBT0Q1NTUvZnBtWjlyZTI5OTk1NDhza25NWHo0Y0FRQ0FmempILy9ZNGo1ejVzekJwNTkrQ2dBWU0yWk1TNUFDZ1AzMzN4Lzc3NzgvR2hzYmNjRUZGOERuODhFMC96dm1URVpHQmg1Ly9QRjJ4L1E4RDAxTlRaZzJiUm9LQ2dxNjVkcUlhTmZGSUVWRTNjSXdqQ21xZWlPQVUwUmt1YXFlNnpqT3BhcTZYa1FPQVpEdHV1Nzh4Rk9WSTBYa0E4dXlLbFMxcXJxNnVzTytSYW82d25FY1MxVmI3dVlxS3lzYkVROU5qd0xZYTlteVpYNEFzVVR6dlRkNzkrNzk2OUxTMHBZMlVwN252V0thNWdlMmJiZnVGSkdocWoremJmdi9pWWdCd0FmZ3JiNTkrOWIwN2R1M2VaczBBRTgwTncxUzFaOEQrRnhFK2hRVkZlMlQrUGV6ZVNpeVg2cnE5QysrK0dKdE11OVpkWFgxZ2JtNXVXWjZldnA0RVhrQXdDOGJHaG8reXN6TTlCekh1UTNBRGFyNmZDZ1UybVF3alhBNC9HL2J0czhGOExUbmVaOFVGUldkMnJydjJLNU9SQlN0QWtLQ0FhQWZnSDRpTWt4RXprNVBULy9XdHUxcHF2cGlRMFBERXNNd051d293UXJ4THcwd1ljSUUxTmJXNHZISEg5OGtSSldYbCtQeXl5L0huLzcwSnh4eXlDSHQ5djMzdi8rTmYvN3pueTJ2cDB5WmdpbFRwdUQ0NDQvSHVISGowTkRRZ0tlZmZobzVPZTBIcVB6bW0yOXcxVlZYYlhIVXUxQW9oQXN1dUFCVHAwN3QwcE9zRVNOR0FJa1ExRkZvYkxaNjlXb2NlK3l4dU9LS0szRG1tV2UyTEc5b2FNQTk5OXlEOGVQSEl6OC9mNU45cnIzMldweHl5aWxBNG4xNzlkVlhjZHh4eDJIZ3dJR2JiRGR4NGtUTW5qMjczZjVFUkZ1RFFZcUl1a1VnRUZobzIvYllVQ2cwWStUSWtYMHR5eG9ONE9yRTBPUnJWZldjU0NSU2gvaFRsVWhSVWRHeGxtWE5CRENyZGZPNTFnekRlS3FqNVltQkkwNEVNTDQ1ekFTRHdmZHQyMzdaTk0xbmJkdHVhUFdFeXljaWd6M1B1MGRFUW1oemc3MmxtMFVSR1EzZ1NoR3hSQ1RrZVo2YXBqa0tRRHFBcGhFalJ1d0c0TERFazZxa05GKzNiZHZISldwcHFLaW9xSFVjNTQ4QS9xaXFId0M0MHUvMzkyNjdyNnErQWVBM2htRThicHJtbTRXRmhmdjBZQWl3L0g3L2lNVFRuaDFOWHV2ZmJjMVBXRHI1T3g4c0lsZUx5Q1ZaV1ZrTEFNejMrLzBSMTNWbmxaV1ZwVFNZcmx1M0RwZGVlaW1xcTZ2eHlDT1BZTys5OTk1ay9YNzc3UWUvMzQ5cnI3MFc5OTkvUHc0KytPQk4xcDl3d2drdDRlYmFhNi9GYWFlZGhnTU9PQUM3Nzc1N3l6RG5hOWFzUVdOalk3dHp0eDF3WWx2TW1ERURhOWFzQWVLalU3WTBLM1JkRisrODh3Nk9QLzc0VFo0a2JjNlNKVXN3YytaTWZQREJCNWc0Y1NJT08reXdEcmVycWFuQkF3ODhnSkVqUjJMZ3dJR29xNnREVFUwTjB0UFRNWFBtVEZ4NDRZVnMxa2RFM1lKQmlvaTZUZk9vZHA3bkNZQ1JxbnBrS0JUNnVubTliZHMzQUxncThWSUE5QUp3cW0zYko0bElGb0JyZzhGZ1MzdWNXQ3cySmhLSkJJcUxpNGVacGxtT2VKK2pzUUR1VjlVcG9WQ29kZER5UXFIUTJiWnQ5d0x3VW5GeDhZbWxwYVh2TmE4MERHUDIyclZyWjZDTCt2ZnY3d1lDZ2FodDJ6RVJ1Ukx4c0xqUmNaeWxBRXBVTlVORUduMCszMm1xV204WVJwZWFKcmFWbUxQcVNNUnYrdi9IdG0xZk5CcWQ2dlA1QnFucXg0WmhmTis2dVZWcnF2cDdWVDFJVmJONzhrbEtRVUZCbG9qY0lpSUg5ZFE1dTBwVkRWVk5iL3VlYmVZOUJJQU1FYkZWMVc4WVJxT0lyUEw3L1l1aXJvYnFvdHJ4anR2UnNtWExjTTAxMTZDMnRoYVRKMC9Hbm52dTJXNGIwelJ4OTkxMzQ3TExMc08xMTE2TGh4NTZDUHZ2djMvTCtqMzMzSE9UL2ZiZGQ5K1dwbkhOZllvbVRaclU0YWgyVFUzZDk3L1N2LzcxTDVTWGx5TVdpeUUzTjdjbFNBV0RRZnp4ajM5RVpXVWxycnp5eWk0ZHE3Q3dFRk9uVHNVVlYxeUJxNisrR3JmZWVpdU9PKzYvZzJzKytlU1QrUExMTDdGeTVVb0F3TlZYWDQzNitucEVvMUZZbG9WSEgzMFVWMTU1Slk0NTVwaHV1ejRpMnJVeFNCRlJ0M0FjcDBCVmo5NndZY1B6UHAvdmJBQUZJdkpCNjVIMFBNODdQaHdPL3dYeE9hRHlMY3RhN3JydW9RQnFMTXRhNW5uZUprOEJUTk4wQWNRc3kzSlZGYVpwT2dEK0FTQUk0SS81K2ZtWmJRYURPRUpFN2xYVlBRekRlS1d3c0xBZ0Vva3NLQ2tweVZ1MWFsWGR3SUVETzU5OHBnMVZmUmZBY1laaHZPYTZidDl3T0x3K3NlcEZWZjBLd0lHcXVrRlZWNGpJdllGQW9IMnY5aTdJek16OHBZaDhDV0NFcXU0TjRHeFY5UWVEd2QrT0dERml0N1MwdE9NNzI5ZDEzVVdSU0tUZE1QSGJtK2Q1SWlKcHFyckRmYTJmR0UweDZmRFQ2aW1WSlNMWkFIWVgwVXowY0l6NjV6Ly9pY2NmZnh6UmFOeXdOM2NBQUNBQVNVUkJWQlNEQncvR3JiZmVpbGdzaG1nMGltZzB1c25QMFdnVVRVMU5jRjBYVjE5OU5TWlBub3g5OXRtbnkrZTYrKzY3a1p1YjIyNzUxMTkvallzdXVxamQ4bzBiTjdZOFhVSzhhU29BWU5XcVZaczBFZXpmdjMvTHFJTE5BMmpjZDk5OWVQZmRkMXUyT2VDQUEzRFdXV2RoNnRTcDJIZmZmVGNKUkp2ems1LzhCRTg5OVJUdXZQTk9qQjQ5ZXBOMU9UazUyR2VmZmJEMzNudWpyS3dNbDExMkdVYU5Hb1UrZmZvZ096c2JIMzc0SVc2Ly9YWWNkdGhobXgzMWtJaW9xeGlraUtoYnFPcUJJdkpJZG5aMm1ZajhIc0NkcXBvckl1ZW82Z1dJejUyMHhyYnRHejNQbTlxNnFaVmxXVGFBajhQaDhIODJkdzRSV2FXcXN3QmNLeUlMQmc0Y2VGVlZWVlhMVUdlR1lkd1A0SHZETUU3MFBPK2dpb3FLbFlnL1NWb053Qm80Y0NCVTlRN1hkVHNlSHUyLzlielEvSE1nRUlnQ2FHbnJGQXdHYjBJOE9QNEJ3TmVoVU9oZlcvMm14V3UrV2xWZkZaRVJxdnAzRWJuSjUvUGREK0JVbjgrWEVRd0dweWZPTnd2QXM4MVA3SXFMaTIzTHNzNG9LaXFhSElsRXZ0K1dHcEsxWk1tU09yL2ZmOHVPMkxSUFZmTkU1R2tBV1cyV0F4MDhtVXE4anFscXBhcCs3bmxlU0ZYblJpS1J3TkI5L1QrSDROU2VySCsvL2ZaRGVubzZDZ3NMa1p1Ymk1cWFHbFJVVk9DRUUwN0F3SUVEa1o2ZWpvVUxGK0xqanovR1ZWZGRoZjc5K3dPSlVIVDU1WmZqaFJkZVFLdCtmcHZWdXY5UmE1MDFkNTA5ZXpiKzhJYy90RnQrN2JXYmpyRnkrKzIzZDJtK3FNc3V1d3poY0JpMzMzNDdDZ29LdWp6NFErL2V2WEhQUGZjQWlYNVRTTXhYMWJxUDFLUkprL0RaWjU5aGp6MzJ3TGZmZm90b05JcHAwNlloTHkrdnkrOFBFZEdXTUVnUlVYY1pEbUNqaU9TS1NIVXdHTHpOdHUxelZMVW1GQXE5akhqVG5Hd1J1Y3N3akk5ZDEyMFpKandZREw0QjRJME9qbm1nNHpnRFhOZk5Od3dEc1ZqczIwZ2s4Z3ZFZzBVZ01mTGVZNGcvNFhJQWpQQTg3N3h3T0x3Q3dQOTFVbWVqWVJpYkhUSmNWZDNPbW9JbHJpTk5WZk5WOWYrS2k0dUhsNWFXZnRIVk42azF4M0YrQ2FEWTg3eHpUTk84UlVRMEZvdU5GNUZheDNIdVVOVnpBZVFuUmhMMFJPVFF4QnhYTUF6alpBQzMrSHkrWjdmbTNOc28xanhmMkk2bXFLZ28zelRObHZtOU9nb0ZyZnBOclZQVk4xVjFtdWQ1RlkyTmphc1hMVnEwb1djcjN0U0JCeDZJbVRObnR2UWJldUdGRjFCV1ZvWkxMNzBVdSsrK093QmcyclJwK1Bqamp6RjI3RmpzdGx0OEpvQ01qQXdzV2JLazAySFBPeko5K3ZRT3QyOGVEcjB0djkrUHYvemx2K09lTEZ1MkRJODg4Z2d1di94eURCNDh1R1Y1ODZBU1cySlpGdTY4ODA2Y2NjWVplUFBOTjd2Y3hLK3VyZzdSYUJSOSt2UkJiVzM4bzl5clY2K1c5VGs1T1pnd1lRSmVldWtsZlBMSkp5M0wrL1hyaCt1dXU2NUw1eUFpNmdvR0tTTHFMc1dxR21wcWFwcVhucDUraWVNNEI2aXFIMENUNHpoakVIOGk5VDNpTjdETm85M0JOTTFISGNlcFJYeitsMU1yS3l2WGU1NG5obUZBUlA2aXFwNWhHTzFTamFvK0lDTC9jaHpuNUdBdytLcGxXVmVwYW5WTlRjMkxiYmR0VFVSdUY1RjJjMDUxNE4zT1ZsaVdaWXRJdW9nY3JhcVhscFNVN0I4SUJCWjI0Wmh0citGV0FLOVpscldxK1lhL3JLeHNDZUloNndNUitZTnQyeVdoVU9oekFCOG5KaWh1ZGhTQVlDQVErQ2JaOCs3c1JNUnI5VE9RU0tJQU5nSlk3M2xlbWFvK1dWMWQvZVozMzMyM1ZVMHl0NmZXZ3k4c1g3NGNQcDhQQXdZTTJPdytSeHh4eENiRGczZmsrKysvUnpnY2JwbVE5c1FUVCt5dzc1am5lUjNzRGV5MjIyNHR3UTJ0K2xvZGNNQUJXejMvVkg1K1BsNTQ0WVdrUnRHYk8zY3Vicm5sRmp6NzdMTXRFd2kzYmFKNDl0bG5vN3k4SE1jZmZ6eU9QdnJvcmFxTmlHaExHS1NJcUx2WUFLYWxwNmNmRHFCNStQSG1udXh6RUw5QnZCSHhtOXU2NXAxRTVFdFZYWU40azUzbWdOVUw4WnZmL1VPaFVFVkpTY20rcXJxZzljbENvZEFydG0ySEFUeFVYRnhjbzZwbkFyaHUyYkpsRFpzclVsVW5OalkyUHJLNWJUSXlNazRIMEdsL0tzdXlEa1U4R0o1cldkYnJudWU5V0ZCUU1McDVhUFlrZUo3bjNkTlJoMzhSbWUxNVhpMkFFeExEcm44TzRGYmJ0Z2NaaGxHbnFxTUIvREhKOCswcUJQOE5VZXNCaEFITUIvQ3BxczRQaDhOZmIvRUlPd0RQOHpCcjFpd01HemFzSlRBa3EzbmdpQ2VlZUFJVEowN0U0TUdEY2R0dHR3RUFIbm5ra1E3N1NIM3p6VGU0L1BMTHQ3SDZybXNib3BvbjVPM29jNEg0OFA4UUVRd1pNZ1J6NXN3QkFBd2NPQkNSU0FSRGh3N0Y4ODgvajJnMGl1TGlZdHg0NDQzNC9lOS9qM0hqeHFHbXBnYVRKMC9HcWFlZWlwLys5S2M5Y0dWRXRMTmprQ0tpYlRaaXhJaWZpTWh1cWhvSUJvT3ZKUDV0RWR1MnZ4R1J0NFBCNEcrUmFINW5HQVpjMTIyNVE0ckZZbjl0T3dlU2FacTdJVDdoNk9ibVpmSlU5VkxETUdhWnB2bWVxaTVvYkd4OHVBdmxEa3hMUzl0M2N4dDRuaGRHdkNuVDRhWnBsaWY2V0xWUTFYTkVaRkZaV1ZtWjR6am5xK3FNbkp5Yyt3QmMxb1h6dDNCZDkveElKRkplVWxMUzduRkRJQkNJT283ekgxVTlDc0JFVlkySUNGVDFZTS96VkVSTUVlbXMrZUt1VGxVMUF1RGxhRFQ2anVkNVZabVptV3NTL2QxK05ENzg4RU9zV0xFQ3A1N2F0VzVhNFhBWWI3MzFGczQ2Nnl5c1dyVUtyNy8rT21iTm1nVWtBdFVaWjV5Qm9VT0hZdW5TK1BnazY5ZXY3L0RwMC9yMThYRlZGaTllakxxNk9nd2ZQcnhicjZ1dGFEU0tpUk1uSWpNekU1bVptUWdHZ3dDd1NYUEIxa3BMU3pGaXhBaWtwYVdodExRVTJkblpHREprQ0k0NjZpaWNlZWFaK09xcnI5RFUxSVFISG5nQURRME5MWDJpMHRQVDhjb3JyeUFyS3d1WFhITEpkcjBtSXRvMU1FZ1IwVGJ6K1h5akVROEd3ZVpsanVQOEl0Ry9aN3h0MitXaFVPZ2gwelJ0eElQU0gxelh2WDR6aHh3T1lIMUZSY1dxTFp6Nk8xVmRLU0tEUmVSN3k3TDZBTmpzd0FzaWNnYUFYMjdwbWtURUJMQzc2N29uQS9oM3ErczZKRkhmVFlqMzc1cHAyL2FqSWpMQnR1MzNXODFmdFVWZG1FUjNGb0JiUzBwS3NnS0J3TmUyYlQ5dkdNWktBQmNCS051YTVvUTd1N1ZyMTY3cDM3Ly9RYVdscFFzQWROeEc3VWZnNjYrL3hwMTMzb2tCQXdiZ1Y3LzZWWmYycWE2dXhpdXZ2QUxIY1ZCVlZZWDMzbnNQaHh4eUNNYU5HNGN4WThhZ3NiR3hwWmxiUmtaR3UwRWlXc3ZJeU1DZi92UW5aR1ZsNGYzMzMrOXdHNS9QaDM3OSttM3hhZG42OWVzeGYvNThORFkyb3JhMkZ0bloyZTJPTTIvZXZKWVJBVTNUeERISEhJT0REbW8vdW41dGJTMFdMMTZNOGVQSHczVmR6Smd4QThYRnhhaXNyRVJ0YlMxR2pScUZ5c3JLbHUyYlJ4Kzg0WVliVUZSVWhJTU9PZ2p2dlBNT2d4UVJkUXNHS1NMcURvY0NxSTlFSWdzUW4yY29WMVh2QnpCRFZaOFdrV2NjeC9FQUhLYXFYd000M2JLc2J6ZHp2S01CQkFCME5sdXU0ZmY3eDR2SVBRQ2lBTzREY0tWcG11V080MXdXREFaZkJ1QjJ0S1BuZVhlRXcrSDd0blJCZnI5L3FHRVliWWNXTndEY3E2cTFBSjVvWHRqWTJIaDllbnI2NGFyYXJxT0hZUmg5RUwrWjdMQ2V6ZkU4N3prQUh3VUNnUWJFbXpQK3VyQ3dNQzA5UGYwMUVkbmlOZXlLcXFxcTZxdXFxclpxOEk4ZHhYdnZ2WWM3Nzd3VFRVMU4rT3RmLzlvdWVEUUhsMWdzdHNueTc3K1BmNGN3ZVBCZ0hIend3VGpwcEpOYStrTWhNU0h1M0xselcxNkhRaUc4K2VhYnVQNzY2NUdlbm81VnExYmg0WWNmeGhsbm5OR2xQazhqUm96b05HUTFxNjJ0eFNXWFhJS3FxaXJrNU9UZ3lpdXZ4RjEzM2JWSlhRRHd4aHR2SUJhTFFWV1JrWkhSYVRqNzlOTlA0WGtlSE1mQmpCa3pzSExsU2x4Ly9mVjQ5OTEza1p1Ymk1RWpSMEpFNExxYmZ0d1dMMTRNeTdKdzVKRkg0c01QUDBRNEhJYmY3OS9pTlJJUmJRNkRGQkYxaHhKVkxRUGc1dWZuWitibTV2NUxWZmNRa1JOQ29WQ2wzKyszUE05Yllacm0zd0dNVjlVUkluSTk0amVGWi9qOS9zVUFmQ0t5MUhYZE1oRVpxNm8zSlBwR0RmSTg3M0FSZ1dtYXB0L3Z2MFJFcmhDUmZRRE1GSkh6QW9IQU44WEZ4YThaaGpFTndJdTJiVmNCZUdyZHVuVi9idHRuU2tTR09ZNnp4VWxyUE0vYnJlMHl4M0V1QURBYXdNUlFLRlRkdkx5aW9xSVdRQkdBbUczYnR3TFlTMFEySk9aWk9sTlZ2MnM5MzlXVzJMWjlOSUNDVnE5SHRxci9ad0Q2QXVobDIvYnZFc3VXQm9QQlRnZkhvQjFmUTBNRFpzNmNpWmRlZWdsbFpXVVlNR0FBSG43NFlZd2NPYkxkdG9NR0RRSUFUSjQ4R1FjZGRCQkVCSFYxZFpnMmJSclMwOU5SVUZDdzJYbVN2dnp5U3p6eHhCUDQ0SU1QTUhyMGFLeGJ0dzY3Nzc0N2Z2amhCNnhhdFFwbm4zMDJEampnQUZ4NDRZVW9LU25acHV1NitlYWJzV2pSSWp6NDRJUEl5OHZEcFpkZWlwTk9PZ21ISFhZWTl0NTdiL1R1M1J1V1pXM3lCL0V2SjlEWTJJaW1waVkwTmpZaUxTME5wNTEyR3ViT25RdkxzakI0OEdEY2ROTk4ySFBQUFhISUlZZmd3UWNmeExISEhndkxzcENYbDRmWFgzOGRMNy84TXZyMDZZT3Z2LzRhMzN6ekRVNDg4VVFjZXVpaCtNMXZmdE11eUJFUmJRMEdLU0xhWmhzM2Jqd3VJeU9qR0FEeTh2SWVCWEFFZ1A4TkJvT1ZpUGZkbU9JNHpwc0FxbDNYZlNVU2lVejErLzJsaG1GY0R1Qkt3ekN5RU8vWWNyNWxXWFdxdXJHcHFlblo5UFQwL3dYd1R4R0pBWGdXd0tHR1lUeW9xaFd1NjU1V1dscjZyK2FuVnFXbHBYT0dEUnUyYjJabTVnVERNSzRCc0ZzbkEwLzhSbFhQMk5JMWRUUlNZRk5UMHpzK24rK054c2JHT3p2WUpZWjRxT2tIb0hsMFBRV3dWRVN1U1BJdFBVTkV4bTFtL1E4QUxtMDFJdDFibXh0bGtIWjhLMWV1eEIxMzNBSExzbkRPT2VmZy9QUFAzMlJJNzlaR2p4Nk5rMDgrR1I5ODhBRmVmejNla3RRd0RPVG41K1AyMjIvdk5FUXRYYm9VZDk5OU56Ny8vSE1VRkJUZ2IzLzdHdzQ5OU5DVzlmdnNzdzhlZi94eGhFSWhUSm8wQ1JkZGRCSEdqQm1EQng5OGNKT1JCSlBoT0E1R2pScUZBdzg4RUFEdzhzc3Y0OFVYWDhTc1diTXdmLzU4Yk5pd0FkSG9scnV1TmZjVEM0ZkQyRysvL2ZEdHQ5K2l2cjRlRHovOE1BekR3UFBQUDQvNit2aDNGYi8rOWE5UlZsYUdlKzY1QjY3cnd1ZnpZZFNvVVJnM2JoeXlzN054eFJYSmZoeUppSWlJZXNESWtTTkgyclo5Zk52bHRtMGY2UGY3VCtyS01VcEtTdG9PcWRVY2FxUzR1UGpuVzlxL3NMQXd1NkNnSUwyRFZWYXJZMjF2UFhVZTJrNkc3dXMvZk9oK3hTdUtSdjFjUDVrM1g3ZTM4dkp5cmF1cjIyN0hiMmhvMEp0dnZsay8rdWdqOVR4dmk5dlBtalZMWDN6eHhXMDZaelFhN2ZKMmRYVjFXbE5Ub3pVMU5icGh3d2JkdUhHak5qWTJhaXdXYTltdXFhbEpseTlmcnFyYTh0OGQxU2Z6NXVzQlB6OUtoKzduWHpkMFgvL2hxZjcvbVlpNkgzL1JFeEVSZFdEb3Z2N0RJZnBDYms3TzdvODk5RGVNR2JWL3FrdWlINUZQUC9zY2wxOXpJNnJYckttQjR1UmxDOE1mcGJvbUl1cGVIVS9TUUVSRVJFUkVSSjFpa0NJaUlpSWlJa29TZ3hRUkVSRVJFVkdTR0tTSWlJaUlpSWlTeENCRlJFUkVSRVNVSkFZcElpSWlJaUtpSkRGSUVSRVJFUkVSSllsQmlvaUlpSWlJS0VrTVVrUkVSRVJFUkVsaWtDSWlJaUlpSWtvU2d4UVJFVkVIWEkzVkNoRDFYQThiTjI1TWRUbjBJN094dmg2dTZ3SUsxOVZZYmFycklhTHV4eUJGUkVUVUFkV21GVkRVTjBXaitMNTZkYXJMb1IrWjFhdlhvS0d4QVFBYVZadFdwTG9lSXVwK0RGSkVSRVFkcUZxOGVKVUNkZEZvRkFzV0xVWkRRME9xUzZJZmlXZ3Noc1ZmVnFLaG9SR0FObFl0WHJ3cTFUVVJVZmRqa0NJaUl1cFlET3BOVTFYdnRUZmZ4dnhnR1BVTkRWRFZWTmRGT3pEWGRWRlorUlZlZStzZGVKN25BVG9GUUN6VmRSRlI5NU5VRjBCRVJMU2pHalJvVUZaYTdzQjNSSEJvYm00T2pqajA1eWdlT1FMNWd3Y2hPenM3MWVYUkRxU3hzUkViYW11eFlPRml2UHJHVzFpNWNoVTgxYm5SOWRYSGZQZmRkK3hrUjdRVFlwQWlJaUxhakVIRGlvYjVJSk5GY0pDSUdENmZENzJ5c21CWlZxcExveDJJNTNtSVJxT28yN2dScnVzcUZITmljQ2RVTFNxUHBMbzJJdG8rR0tTSWlJaTJvTy9QZnRZN055M25Ea1B3dndyNEFQRUJNRk5kRisxUVhFQ2pBa1E5NkxzYm9odXZXVnRadVQ3VlJSSFI5c01nUlVSRTFFVjVlWVhaV2Yyc1BFL2RBYWJoNjVYcWVsSXB6WlNmWnZoMEhEeFlEYTVNYTNMMW0xVFhsRW94VHplYW90VWIxOGFxcTZzck9OdzUwUzZBUVlxSWlJaVNadHYyWVNMeW9xcG1BRGdwRkFwOW5PcWFpSWg2RWtmdEl5SWlJaUlpU2hLREZCRVJFUkVSVVpJWXBJaUlpSWlJaUpMRUlFVkVSRVJFUkpRa0Jpa2lJaUlpSXFJa01VZ1JFUkVSRVJFbGlVR0tpSWlJaUlnb1NReFNSRVJFUkVSRVNXS1FJaUlpSWlJaVNoS0RGQkVSRVJFUlVaSVlwSWlJaUlpSWlKTEVJRVZFUkVSRVJQK2Z2ZnNPajZwTTJEOStueWxoVWdFTkhSRUZWbEhCSkNnb1MwZFpRV3lzTHFKZ2IrK0xvcXNVeFFWWjBhVzRpaTZpb0dDQlZRRVJoUlZGS2FLSUlpQUJSR3BZUUxxaFNkcE1adVk4dno5K1pGNWk2dEdRSWZyOVhGZXVuWGxPdTJldXZTSjN6am5QZ1VNVUtRQUFBQUJ3aUNJRkFBQUFBQTVScEFBQUFBREFJWW9VQUFBQUFEaEVrUUlBQUFBQWh5aFNBQUFBQU9BUVJRb0FBQUFBSEtKSUFRQUFBSUJERkNrQUFBQUFjSWdpQlFBQUFBQU9VYVFBQUFBQXdDR0tGQUFBQUFBNFJKRUNBQUFBQUljb1VnQUFBQURnRUVVS0FBQUFBQnlpU0FFQUFBQ0FReFFwQUFBQUFIQ0lJZ1VBQUFBQURsR2tBQUFBQU1BaGloUUFBQUFBT0dSRk93QUFBRGkxcGFXbE5iVnQrOG9UeHl6TGFtcFoxaTJTdk1hWUtjYVlqQk9YMjdZOWY5MjZkWnNyUFN3QVZCSlB0QU1BQUlCVFd5Z1VDbnM4bnVkTFdtNVoxdjJXVmZodnMyNjN1MmxsWkFPQWFPSFNQZ0FBVUtwMTY5WnR0MjE3V1ZuckdXT2svMzgyNnB0dnYvMTJXMlZrQTRCb29VZ0JBSUF5V1piMXVvNlhwWUxDZEtJVHh5ekxlcnR5MHdGQTVhTklBUUNBTW9YRDRjV1NEcFZqMVVQQllIQkpKVVFDZ0tpaVNBRUFnRExsNXVZZU1zYXNMTGdYNnNRelVBV3ZMY3VTTVdhbDErdmRGN1dnQUZCSktGSUFBS0JNR1JrWjJaWmxmU01wVk1wcVljdXl2a2xQVHo5Y2lkRUFJQ29vVWdBQW9EeHMyN1pYU2pwYXlqcTV4OWNKVjJJdUFJZ0tpaFFBQUNnWHk3SldTRHBZOFA3bkUwOFlZNDRkWHdjQWZ2TW9VZ0FBb0Z6UzA5TXpiZHRlK3ZOblJ1bjQvVkdTbHFhbnAyZEdJeHNBVkRhS0ZBQUFLRGRqek5SU0ZrK3V4Q2dBRUZWRi82UUVBQUJRaXBTVWxGMHVsNnZoejJicjI1dWVudDRnMnRrQW9MSndSZ29BQURoaVdkWnJKN3d1ZURrOWFvRUFJQW9vVWdBQXdCRmp6UHVTL0NjTStTWE5qV0lrQUtoMEZDa0FBT0JJTUJqOHdSaXo3b1NIODM1bjIzWkd0SE1CUUdXaVNBRUFBRWQ4UGwrV01XYWxPYzZ5ckpVLy9mVFRvV2puQW9ES1JKRUNBQUNPZlB2dHQwSExzbFpZbHBWdFdaYmZ0dTBWTzNiczhKZGpVd0Q0emFCSUFRQUF4NHd4WDB2S05NWmsyYmE5UE5wNUFBQUFBS0Fxc05MUzBqNU1TVWxaeWg5bUFmd2U4UndwQUFES3FWYXQ4eExpVHZQVXNrMDQyZTN5eGtjN1Q3VEZlK3pMNUhaNWN3TDZPTnBab2kxa20xeTNaVEp6RGdVT0hqeTRPU3ZhZVFDY2ZCUXBBQURLVU91ODh4TGliYzlRUzlaVnNpeWZqUEVaUzU1bzU0bytZeGtqV1pabG9wMGsyaXlqa0N6TGIyUUNNdm8weHhVY25ybGhRM2EwY3dFNGVTaFNBQUNVb2tIVGxnMjlIbXVLcE1zc3kzSjUzRzdGVkl1UjIrMk9kalNjUXNKaFcvbUJnRUxoc0l3eHRxU0Y0VkQ0ZjNkbHJOOFc3V3dBVGc2S0ZBQUFKYWhmdjFXY3QzcG9ya3RXVjYvWHE2NmRPcWoxeGEzVW9GNWRKU1ltUmpzZVRpSFpPVG5hdldldlZxZXYxYWVMRmlzL1B5aGo5RVhlRWJ2SGdRUHJjcUtkRDBERm8wZ0JBRkNDTTg5SmVkeXl6Sk94c2JHdUo0Yzlxc3U3ZEZaU1VxSUtIa1FMbk1nWW82enNiQzFkOXJVR0RSMnV2RHkvYll3WnRYUHp1cjlGT3h1QWlzY3NPd0FBRktOKy9mcHhMc3ZjYUZtVzY4b3JMbGYzYnBlcGV2VWtTaFJLWkZtV2toSVQxYlZUQjExeGVWZFpsdVZ5dVZ6OUdqWnNHQnZ0YkFBcUhrVUtBSUJpeENUVnJpM0w4bms4SGwzWTRnTEZ4Ly91SitsRE9mbDhQcVcwYktHWW1CZ1p5ZXYxSnRhT2RpWUFGWThpQlFCQU1jSjJzSmFNOGNYRXhLaHVIZjRkREdmcTFhMmoyRmlmWkJRVHJ1WkpqblllQUJXUElnVUFRREhjTG0rOHNlUnh1MTFLU0VpSWRoeFVNWW1KaWZKNnZKSWx0MHR1WmlZQmZvTW9VZ0FBQUFEZ0VFVUtBQUFBQUJ5aVNBRUFBQUNBUXhRcEFBQUFBSENJSWdVQUFBQUFEbEdrQUFBQUFNQWhpaFFBQUFBQU9FU1JBZ0FBQUFDSEtGSUFBQUFBNEJCRkNnQUFBQUFjb2tnQkFBQUFnRU1VS1FBQUFBQndpQ0lGQUFCK3RZMGJOK3JKSjUrVWJkc2xycE9lbnE2cFU2ZHEzNzU5SnlWRFRrNk81czZkcTRNSEQ1NlUvUVBBaVR6UkRnQUFBSDQ1MjdZMWFOQWdwYWVuNis2NzcxYWZQbjNLdFYxMmRyYU9IRG55aTQ5YnUzWnRWYXRXTGZKK3o1NDltak5uam9ZT0hTcVhxK2pmYWYxK3Z4NTc3REZsWm1ZcUZBcnBqanZ1S0hhL1U2ZE9WVXBLaWxxMmJDbEoyclZybDhMaGNMSHIxcTFiVno2ZkwvTCs4T0hEK3Z2Zi82NUpreVlwT1RuNUYzODJBQ2dQaWhRQUFGWFk4ODgvcnlWTGxxaEdqUnFhUEhteUxyMzBValZ1M0xqTTdSWXNXS0Nubm5xcVVCRXBMNy9mcjhtVEp5czFOYlhjMjd6NTVwdkt6TXhVMDZaTk5XWEtGRjE1NVpXcVU2ZE9vWFh5OC9PMWVQRml2Znp5eXhvOWVyUTZkdXlvVzIrOVZULzk5Rk94KzV3MGFaTE9PZWNjdmZUU1MrclhyNS9qendFQXZ3WkZDZ0NBS3NnWW8rZWZmMTV2dmZXVyt2VHBvNzU5KytxT08rNVEvLzc5TldIQ2hIS1ZxZXJWcTJ2eDRzV09qcHVWbGFWT25UbzUybWJqeG8xNjdiWFhkTVVWVitpaGh4NVNyMTY5OVBqamoydml4SW55ZVA3dm55SXhNVEY2OGNVWDFiOS9mdzBhTkVpalJvMlNKRjEvL2ZYcTBxVkxaTDFEaHc1cDJMQmhrcVRjM0Z6Tm5EbFRQWHIwVUkwYU5SemxBb0JmZ3lJRkFFQVZrNXVicTcvLy9lOWF1SENoZXZmdXJVY2VlVVNXWlduaXhJbjZuLy81SDkxNjY2MTYrdW1uMWE1ZHUxTDNrNWVYcHpGanhqZzZkakFZakx3T2g4UGFzR0dESk9tSEgzNlFKSzFmdjE1dXQxdkp5Y21xVjYrZXNyS3lOSFRvVU5Xb1VVT0RCZzFTalJvMTlOaGpqMm5Zc0dGNjVwbG45TmhqanhYYWYwSkNnbDU0NFFVTkhqeFlaNTU1cGlUcHpEUFBWSnMyYlhUNDhHSEZ4Y1hwOE9IRGpqSUR3TWxBa1FJQW9BcFp1WEtsbm56eVNlM2Z2MThQUHZpZ2Jybmxsc2l5Um8wYWFjcVVLWHJvb1ljaVozN3V2LzkrSlNVbEZic3Z5N0lVR3h2cjZQaHV0MXMrbjA5ZXIxZTV1Ym02N2JiYkNpMi84ODQ3SlVsOSt2VFJnQUVEOVBEREQydlBuajJhTkdsUzVJeFJqeDQ5dEduVEpyMzExbHR5dVZ3YVBIaXdMTXVLN0tOR2pScDY1WlZYaWh6N3FxdXVVdi8rL1IyZkVRT0FrNEVpQlFCQUZmRGpqejlxNHNTSm1qTm5qdXJVcWFPWFgzNVpGMTEwVVpIMTZ0YXRxOWRmZjEwalI0N1VlKys5cDBXTEZ1bWVlKzdSTmRkY1UrUitLSi9QcDhzdnYxei8vdmUvRlF3R0MvMEVBZ0hsNStjckVBZ29FQWpJNy9jckx5OVBmcjlmTHBkTGpSbzFVbUppb3BZdVhTcEpHakZpaEJZdFdxVFBQLzljTHBkTG9WQklBd2NPMU9yVnEvWDQ0NDhYdVovcXIzLzlxL0x5OGpSejVrenQzNzlmSTBhTTBKZGZmcW44L0h4ZGQ5MTFKL2ZMQklBS1FKRUNBT0FVbHBXVnBWZGZmVlh2dnZ1dTh2UHoxYVJKRTNYcTFFa2JObXlJWEZaWG5IUFBQVmY3OSsvWDNyMTdOWGJzMk1obGYzLzV5MThLclZlclZpMDFhdFJJTVRFeHFsYXRtbUppWWhRVEU2TlFLS1NubjM1YVR6enhoQm8xYWlTZno2ZlkyRmpGeGNVcE5qWlc4Zkh4a3FTNHVEaUZRaUY5ODgwMzB2Rnk1dkY0ZE8rOTkyclZxbFc2L2ZiYmRmbmxseXNySzZ0SXhnY2VlRUR4OGZHYU5tMmF4b3daby9qNGVNMmVQVnM3ZCs3VWdBRURpcDM5RHdCT0ZSUXBBQUJPWVpabGFkR2lSV3JhdEtrR0R4NnNEUnMyNktXWFhpcTBUaUFRVURBWVZFSkNRcUh4Mk5oWXpaa3pSek5uenRRYmI3eWhzODQ2cThqK2s1T1RkZGRkZHlrM043ZlFlTUZNZVUyYU5GR2pSbzBLTGZQNWZJVXV4VnU1Y3FXeXM3T2w0N1B6WFhubGxicjU1cHYxeHovK1VmdjI3U3YxVXJ3MzNuaERGMXh3Z2RMUzBsU3paazNGeE1SbzJyUnBPbmp3b0o1NjZpbEgzeFVBVkNhS0ZBQUFwN0NFaEFTOTl0cHJxbDI3dGl6TFVvc1dMZFM3ZCs5QzYweWFORW12dlBLS0ZpMWFWR2dXdkFMOSt2WFRqVGZlS0svWEd4a3p4a1RLME9iTm05V3ZYNzlpcDBLLzU1NTdDcjMzKy8wYU0yYU1McnZzc3NqWW9rV0wxS1JKRTIzYnRrMXIxNjdWbDE5K3FWZGZmVlVkT25UUTl1M2IxYjU5K3hJLzMxbG5uYVVXTFZwRTNnOGFORWcrbjgvUjFPb0FFQTJjTXdjQTRCUlhwMDZkUW1lQWZva1RTNVNPejloMzRnTjFKV24rL1BsYXRteVpsaTFicG5uejVrbVMzbnJycmNqWXNtWExWTDE2OVVMYkhEcDBTQjk5OUpFNmQrNHNTUm8rZkxoMjd0eXAyYk5uS3hBSUtERXhVVzNidHRVWlo1eWhNV1BHcUg3OSttcmJ0cTNhdG0ycjdPeHN6WjgvdjhnRGR4OTQ0SUZpWnh3TUJBTEZGa1VBaUFaK0d3RUFVQVhzMnJVck1ySER6MzMzM1hlU3BPblRweGQ3WDlGcHA1Mm1LNjY0b3RCWVRrNU9rVXNCZjc2T0pOMTg4ODJGM3Z2OS9rTHYzM3p6VFoxeHhobHExcXlaZEh6R3ZRa1RKcWhaczJhNisrNjdWYmR1WFkwYU5VcDE2dFRSZ1FNSGxKNmVIbm5HMWN5Wk0vWGpqei9xK3V1dkw3VFAvZnYzcTFhdFduSzczWkd4N094c0dXT0taQWFBYUtGSUFRQlFCV1JrWkdqQ2hBbkZMZ3VGUXBLa2wxOSt1ZGpselpzM0wxS1NEaDA2cE1URVJPbjRoQkVYWEhDQm5ubm1tY2gwNkQvOTlKT3V1ZVlhdmZMS0s0WHVrWHIwMFVjalo2V09IRG1pOTk1N1R3TUdEQ2h5UEVscTNicTFwaytmcmxBb3BKaVlHRjF3d1FWYXUzYXRycnZ1T3VYbDVlbTc3NzRyY3BtaUpEMy8vUFBLeU1qUXUrKytHeG5idFd1WGRQeWVMZ0E0RlZDa0FBQ29BanAzN3F4Rml4WnA0c1NKNnR1M2I2RkNVWENQMU9lZmYxN28wcmR4NDhhcGZmdjJ4VTZUdm1YTEZqVnAwa1JIang3VjMvNzJOMG5Td3c4L0hGbGVVTTVHakJoUjVCTEFGMTU0UVZkZGRaVzZkKyt1cEtRa1hYMzExVnEyYkZtUlk3UnIxMDZUSjAvV3VuWHJsSmFXcHZQT08wOWZmUEdGSkduVnFsVUtoVUxxMHFWTGtlMVdyMTZ0cGsyYnlySXN1ZDF1V1phbDFhdFhTOGNudjhqUHo1Zkw1ZnJWbHpzQ3dLOUJrUUlBb0lyNDhjY2ZOV2ZPSEgzOTlkZDY5ZFZYUzN6UXJvN2YyL1R2Zi85YkNRa0pSWXBVTUJqVTFxMWJkZVdWVnlvVUNtbmp4bzBhTm15WXpqenp6TWc2MmRuWmV1aWhoM1RISFhlb2J0MjYrdUtMTDNUcHBaZks2L1ZxOU9qUk9uRGdnSktTa2pSKy9QZ1NIK3JidkhseitYdytyVml4UW1scGFXcldySm5lZXVzdEhUNThXRjk5OVpXU2s1UFZzbVhMUXR2czJMRkRodzRkaWp4b2VNR0NCUXFIdytyZHU3YzhIbzgyUVVvM0lBQUFJQUJKUkVGVWJ0eW9kdTNhYWVYS2xaS2tBd2NPL0tydkZBQitLU2FiQUFDZ2ltalVxSkdlZSs0NTdkaXhRdzg4OEVDUktjc0xMRnk0VU9QR2pWT3ZYcjEwOTkxM0YxbStaTWtTNWVYbHFWV3JWcEd4UC96aEQwcE5UWTM4Rk15azE3eDVjN1ZzMlZLZmZ2cXBkdTdjcWRUVTFNZ3pwQ1NwYWRPbUplYjFlRHhxMmJLbFZxeFlJVW02NElJTGRQWFZWeXMvUDErZmYvNjV1bmJ0V3VTZXJvTG5VVjF5eVNXUnNUZmVlRVBidDI5WGl4WXQ5T0NERCtxWlo1NVJmbjYrSktsMjdkcGF1blNwemovLy9ISi9qd0JRRVRnakJRQkFGWkthbXFvaFE0Ym8vZmZmVjA1T2p1TGk0b3FzczJUSkVyVnIxMDZQUHZwb2tXWEdHTTJZTVVNdFdyVFFXV2VkcFlNSEQwYVdmZmJaWjNydnZmZVVsNWNYZVM3VW5YZmVLYi9mTDcvZnJ6ZmVlRVBYWFhlZG83ejkrL2VQM0l0MTFsbG42WWtubnREMzMzK3ZBd2NPNkU5LytsT1I5UmN0V3FUazVPUklRWnMxYTVaZWV1a2xYWHJwcFJvL2Zyem16WnVucDU5K1dxdFhyOWJZc1dOMXhobG5STDZEZ3NzUnVlUVBRR1dnU0FFQWNJcGJ2bnk1Tm03Y1dHaXNZOGVPK3ZERER5Vko2ZW5wa3FTcFU2ZktzaXcxYWRKRXdXQlFVNmRPTGJUTkRUZmNvSTgvL2xqcDZla2FOV3BVa2VQODRROS8wTlZYWDYzNCtIakZ4Y1VwUGo1ZXNiR3hpbzJOMVpvMWEvVFpaNS9wazA4KzBaWXRXNHFkbnZ4RUgzNzRZYUVaL2dvdXhaT2tyNzc2U2pFeE1kcXlaWXUyYnQwcVNicnd3Z3VWbkp5czlQUjA5ZWpSUTluWjJYcnV1ZWMwWjg0Y3BhYW1hdXpZc2JJc1N6MTc5dFRaWjUrdGh4NTZTSGZkZFpkZWZQRkZMVnk0VUxHeHNaRmoxS3BWNnhkOHl3RGdERVVLQUlCVDNGZGZmYVgzM251djFIVjhQcCttVEpsUzZqcmR1M2RYdzRZTjFiNTllM1hyMXEzSThnWU5HcWhCZ3diRmJ2dmlpeTlxMTY1ZG1qOS92czQrKzJ4MTc5NjkxR05ObVRKRmh3OGZMbkY1VEV5TVhuenh4Y2o3KysrL1gyM2F0Rkh6NXMzVnBrMGJ2ZlBPTzVvN2Q2NXV1dWttUGZqZ2c0VW0wVGp2dlBNMGRlcFU3ZG16UjBsSlNYcnR0ZGRrMjdaOFBwLzY5T2xUYUpaQkFEaFpPUGNOQUVBeEdwK2Iwa21XZVNjcE1iSHVwUEhqZEVucm9qUGZWVlhCWUREeWdGN2J0cFdabWFuVFR6Kzl6SWZkR21Oa2pDbjJXVlVWS1J3T3l4aWo3ZHUzUjU1UFZSYmJ0azk2TGllV3IxaWxBWTg4cXN4RGg0N0s2TG9kbTlZc2lYWW1BQldMTTFJQUFQek9GSlFvU1hLNVhLcFRwMDY1dHJNc3ExTHVQeXA0RUc5NVM1U09mdzRBcUV6ODFnRUFBQUFBaHloU0FBQUFBT0FRUlFvQUFBQUFIS0pJQVFBQUFJQkRGQ2tBQUFBQWNJZ2lCUUFBQUFBT1VhUUFBQUFBd0NHS0ZBQUFBQUE0UkpFQ0FBQUFBSWNvVWdBQUFBRGdFRVVLQUFBQUFCeWlTQUVBVUl5d0NXVmJVdEFPMjhyTnpZMTJIRlF4dVhsNUNvZkRrbEU0YkVMWjBjNERvT0pScEFBQUtJWXgrZnRrbEpjZkRPckh6SVBSam9NcTV1REJRL0lIL0pJVU1DWi9YN1R6QUtoNEZDa0FBSXF4ZTh1V0EwYktDUWFEMnJoNWkveCtmN1Fqb1lvSWhrTGFzalZEZm45QWtnbnMzckxsUUxRekFhaDRGQ2tBQUlvWGtyRm5HR1BzT1I5K3BKV3IxeWpQNzVjeEp0cTVjQW9MaDhQS3lOaW1PZk0rbG0zYnRtVGVsQlNLZGk0QUZjK0tkZ0FBQUU1VjlldlhqNHRKcXYyeFphbERVbEtpT25kb3B3dGJYS0NHRGVvcklTRWgydkZ3Q2drRUFzckt6dGJHVFZ2MC9uL21hZi8rQTdLTldSWThsdGx0Nzk2OTNHUUgvQVpScEFBQUtFWDljMXFlNDVVMTJiTFUxcklzbDlmclZYeGNuRHdlVDdTajRSUmkyN2FDd2FCeWNuTVZEb2VOakw0TUtYei83czNyMTBVN0c0Q1RneUlGQUVBWmFwNTlkdldrbU1TblhKYXVNWkpYc3J5UzNOSE9GVlcya1dWWmxtUmtqSXhjdi90L1VvUWxFN1Nrb0MzelNWWXc5NUhER1JuSG9oMEt3TW56dS8rdEJ3QkFlZFdxZFY1QzNHbWVXcllKSjd0ZDN2aG81NGttbjlmOG9ackxkWS9sa3RjZnNpZjRnOWFXYUdlS3BwQnRjdDJXeWN3OUhNck16TnpBZE9mQTd3QkZDZ0FBT0phYW10clJzcXpweGhpZnBHdlQwOU0vajNZbUFLaE16Tm9IQUFBQUFBNVJwQUFBQUFEQUlZb1VBQUFBQURoRWtRSUFBQUFBaHloU0FBQUFBT0FRUlFvQUFBQUFIS0pJQVFBQUFJQkRGQ2tBQUFBQWNJZ2lCUUFBQUFBT1VhUUFBQUFBd0NHS0ZBQUFBQUE0UkpFQ0FBQUFBSWNvVWdBQUFBRGdFRVVLQUFBQUFCeWlTQUVBQUFDQVF4UXBBQUFBQUhDSUlnVUFBQUFBRGxHa0FBQUFBTUFoaWhRQUFBQUFPRVNSQWdBQUFBQ0hLRklBQUFBQTRCQkZDZ0FBQUFBY29rZ0JBQUFBZ0VNVUtRQUFBQUJ3aUNJRkFBQUFBQTVScEFBQUFBREFJWW9VQUFBQUFEaEVrUUlBQUFBQWh5aFNBQUFBQU9BUVJRb0FBQUFBSEtKSUFRQUFBSUJERkNrQUFBQUFjTWlLZGdBQUFIQnF1L0RDQy8va2Rydm5POW5HdHUyZWE5YXNtWGZ5VWdGQWRIRkdDZ0FBbENvbkoyZUpNV2FuZzAxMlpXZG5MenlKa1FBZzZpaFNBQUNnVkJrWkdRRmp6SXl5MWpQR0ZQenYreGtaR1lIS3lBWUEwVUtSQWdBQVpRcUh3LzgyeGdTTU1aSENkS0lUU2xUQUdETXpDaEVCb0ZKUnBBQUFRSm1Dd2VCZXk3TFdXMWJKdDFkYmxpWExzdGJidHUza01rQUFxSklvVWdBQW9Feng4ZkhISkMwdmVIL2lXYW1mbmFGYW5wdWJtMW5KOFFDZzBsR2tBQUJBbWI3OTl0dWdNZVliU1ZtbHJKWm5qUG1HKzZNQS9CNVFwQUFBUUxtRXcrRVZraUpubTM1K3Y1UXhKdXY0T2dEd20wZVJBZ0FBNWJKdTNib3R4cGp2UzFsbDQ3cDE2N1pVWWlRQWlCcUtGQUFBS0M5ampKbGUzSVFUeDhlbVNTbzZwUjhBL0FaUnBBQUFRTGxsWjJkL2FJdzU4dk54WTh4Ulk4eDcwVWtGQUpXUElnVUFBTW90SXlQam1LVDNUendyZGZ6MXgydldyRGtheld3QVVKa29VZ0FBd0JGanpEUkpJZjFmaVFvWlkyWkVPeGNBVkNhS0ZBQUFjTVMyN1EyU3RoV2NsVExHL0RjY0RuOFg3VndBVUprb1VnQUF3SkZqeDQ0ZGsvVDFDVVBMdytId2oxR01CQUNWamlJRkFBQWMyYkZqaHo4Y0RuOHJ5VytNQ2RxMnZXckRoZzNaMGM0RkFKWEpFKzBBQUFDZzZuRzVYRXNsL1doWlZweWtMNk9kQndBQUFBQ3FBaXMxTmZYTDFOVFU5WkxjMFE0REFKV3Q2QlAxQUFCQXNXclZPaThoN2pSUExkdUVrOTB1YjN5MDgwUmJ2TmY4MldWWjFiTHk5WGEwczBSYnlEYTVic3RrNWh3S0hEeDRjSE5XdFBNQU9Qa29VZ0FBbEtIV2VlY2x4TnVlb1phc3EyUlpQaG5qTXhhWHg3c3N1V3piU0pabFJ6dEx0RmxHSVZtVzM4Z0VaUFJwamlzNFBKUDd4b0RmTklvVUFBQ2xhTkMwWlVPdng1b2k2VExMc2x3ZXQxc3gxV0xrZG5NMUcvNVBPR3dyUHhCUUtCeVdNY2FXdERBY0N2L3Zyb3oxMjZLZERjREpRWkVDQUtBRTlldTNpdk5XRDgxMXllcnE5WHJWdFZNSHRiNjRsUnJVcTZ2RXhNUm94OE1wSkRzblI3djM3TlhxOUxYNmRORmk1ZWNIWll5K3lEdGk5emh3WUYxT3RQTUJxSGdVS1FBQVNuRG1PU21QVzVaNU1qWTIxdlhrc0VkMWVaZk9Ta3BLVk1HRGFJRVRHV09VbFoydHBjdSsxcUNodzVXWDU3ZU5NYU4yYmw3M3QyaG5BMUR4ZUk0VUFBREZxRisvZnB6TE1qZGFsdVc2OG9yTDFiM2JaYXBlUFlrU2hSSlpscVdreEVSMTdkUkJWMXplVlpabHVWd3VWNytHRFJ2R1Jqc2JnSXBIa1FJQW9CZ3hTYlZyeTdKOEhvOUhGN2E0UVBIeHYvdEorbEJPUHA5UEtTMWJLQ1ltUmtieWVyMkp0YU9kQ1VERm8wZ0JBRkNNc0Iyc0pXTjhNVEV4cWx1SGZ3ZkRtWHAxNnlnMjFpY1p4WVNyZVpLam5RZEF4YU5JQVFCUURMZkxHMjhzZWR4dWx4SVNFcUlkQjFWTVltS2l2QjZ2Wk1udGtwdVpTWURmSUlvVUFBQUFBRGhFa1FJQUFBQUFoeWhTQUFBQUFPQVFSUW9BQUFBQUhLSklBUUFBQUlCREZDa0FBQUFBY0lnaUJRQUFBQUFPVWFRQUFBQUF3Q0dLRkFBQUFBQTRSSkVDQUFBQUFJY29VZ0FBQUFEZ0VFVUtBQUFBQUJ5aVNBRUFBQUNBUXhRcEFBQ3F1UHo4Zk8zWnN5ZmFNVXFVbloydHJLeXNhTWNBZ0FybGlYWUFBQUR3eTRYRFlkMXl5eTA2ZlBpd3BrNmRxcnAxNjVaNzJ4MDdkdWpJa1NPT2p0ZWlSUXQ1UEtYLzgrSG8wYVBhdm4yN1VsSlNaRm1XcGsyYnBtblRwdW1qano1U2pSbzF5bldjY0RoYzZDYy9QMS9CWUZEQllGQ0JRRUNCUUVCK3YxOSt2MSs1dWJuS3ljbFJUazZPMnJWcnAwYU5Ham42VEFEd1MxQ2tBQUNvd3R4dXQrNjQ0dzQ5OXRoam1qaHhva2FNR0ZIdWJTZE1tS0ExYTlhb2NlUEdaYTZibTV1clRaczI2Wk5QUGxGeWNySWs2ZENoUS9yZ2d3K1VtWm1wL2Z2M2EvLysvZHE3ZDY5eWNuSWtTZE9uVDFmanhvMzF3UWNmcUdQSGp1VXFVU3RYcnRSOTk5MVg3cy9nZHJzVkd4dXIyTmhZeGNYRjZmVFRUNmRJQWFnVUZDa0FBS3FBamgwN0toUUtsYnJPZ2dVTHRHREJnbUtYTlcvZVhKTW5UeTR5M3JCaFEvWG8wYVBNNCsvYnQwK2JObTBxTkZhdFdqVzk4ODQ3U2s1T2xzL24wOWF0VzNYcnJiZnEvUFBQVjZOR2pYVG1tV2Zxd3c4LzFNR0RCOVdnUVFOOThza25KZTYvYmR1MlNreE1WSXNXTFRSdTNEaDV2ZDVpZi9yMTY2ZGJiNzFWTjk1NG8zdytYNWxueHdEZ1pPRzNEd0FBVlVCdWJxNWF0V3FsTm0zYU9ONzIzWGZmbGQvdnIvQk1DUWtKV3Jod29TVHB1KysrMDIyMzNhYnJycnRPWjV4eGhpUXBGQXJwalRmZWtDUzkvdnJycGU3cjdiZmZsdGZyMVgvLysxL3ArSDFmeGJGdFc3dDM3OWJ5NWN0TDNWL0hqaDNsOVhwLzBlY0NnUEtnU0FFQVVFV2twcWJxOXR0dmQ3emRraVZMRkE2SGkxMjJkKy9lVXM4VUZjak56WFY4M05teloydjM3dDJhT25XcXpqbm5IRzNmdmwxNzl1eFJ1M2J0SXV2MDdkdFgrL2Z2VjZOR2pmVEJCeDlvK3ZUcHBlNHpFQWhvNmRLbFNrOVBMM1c5MXExYlU2UUFuRlFVS1FBQXFvRHUzYnVyV2JObXYyamJObTNheUJoVDdMS21UWnZxbGx0dUtYTWZPM2Z1MVBmZmYxOW9iTisrZlpHeEgzNzRRWkwwMVZkZjZmVFRUMWQ4Zkx4ZWZ2bGxkZXZXVGVlZmY3NGs2ZE5QUDlYTW1UUDErZWVmUzVKV3JWcWxyVnUzNnM0NzcxUnNiS3o2OU9talBuMzZsSnFqWThlT3V2UE9PM1hUVFRlVjg5TUR3TWxCa1FJQTRCUzNhTkVpTldyVVNQLzk3MzhqbDc0NUVSTVRJMG5hc0dHRHNyT3pJL2M2MWFoUlF6VnIxdFRtelp2TDNJZmY3MWVYTGwwMGQrN2N5SDFKeWNuSmV2cnBwNlhqbDl4SjByLys5UzlKVXMyYU5SVU1CdlhnZ3crV3VNLzU4K2ZMNS9NVktVV3paOC9XcUZHaml0M0d0bTA5OTl4ekdqZHVYTEdmYzlteVpXVitGZ0NvQ0JRcEFBQk9jVXVXTE5IaXhZdExYY2Z2OTh2ajhaUTYrY0pwcDUybVpzMmFSV2JQSys5VTVBVitQclY2ang0OUloTlZUSmt5UlMrOTlKS21UNThldVVkcXg0NGRwVTdIL3JlLy9VMTMzbmxua1J5MmJTcytQbDR6WnN3b3NzME5OOXlndm4zNzZwcHJyaWswdm5EaFFvMGZQOTdSNXdHQVg0TWlCUURBS1c3a3lKRWFPWEpraWN0emMzUFZ2bjE3M1h6enpSb3dZRUNaKzJ2Um9vVWs2Yjc3N3RPT0hUc2NaWG4rK2VkMTdybm5GaG9MaDhPYVBYdTJKR251M0xtNjVwcHIxTEJoUXpWdTNGaXpaczNTdDk5K3F5ZWVlS0xRTmkrODhJTHk4L00xYU5DZ1lvOWpXWmJpNHVLS1hlYnhlSW9zNDM0b0FKV05JZ1VBUUJYeXpqdnZhTTJhTlJvNWNtVGtrcjFmNnRDaFErclpzNmR1dU9HR1F1TTlldlRRa0NGRDFMRmp4OGpZc1dQSGRPT05OeW9ZREJiWnp4ZGZmS0g5Ky9kTGtyNzg4a3ZOblR0WEV5ZE8xRmxubmFWWnMyYkpzaXo1Zkw1QzIzZzhIazJkT2xVOWUvWlU4K2JOaSt6ejJMRmp1dUtLSzRxTSsvMStUWm8wU1ZPbVRDazBYdEprR2dCd3NsQ2tBQUNvUXBZdlg2Nk1qSXhmWGFJS2ZQSEZGOXE1YzJlUjhYbno1bW5seXBXUjk4VVZLRWt5eHVqTk45L1VtV2VlcVowN2Qycmt5SkVhTzNhc0JnNGNxQkVqUm1qcjFxMGFPSEJna2UzNjlldW5HVE5tYU55NGNYcmxsVmVLTEs5ZXZYcXhsek4yN05oUjk5NTdiNUg3cXViT25hdC8vT01mNWY3Y0FQQnJVYVFBQUtoQ3RtM2JwdlBPTzYvWVpXKysrYWFtVFp0VzdMTDU4K2ZyOU5OUEx6S2VrcEtpN3QyN0Z4cGJ2SGl4L3ZqSFArcmlpeStPakdWbloydnAwcVZGdHA4elo0NisrKzQ3RFI4K1hFOCsrYVNxVmF1bVo1OTlWdnYzNzllNzc3NHJqOGRUWlArU2xKU1VwSnR1dWttdnZ2cXFsaTlmcmtzdXVhVFE4cXlzTFBYcTFhdklkams1T1hydHRkYzBhOWFzUXVQWjJkbkZmbTRBT0Zrb1VnQUFWQkVaR1JuYXQyK2Zycjc2Nm1LWHQyblRwdERsZUNlS2o0OHZkcnhtelpvNjY2eXppb3duSnljWEd2L3BwNStLclBQVFR6OXAvUGp4NnRLbGk4NCsrK3pJZUdKaW9zTGhzT2JObTZjdVhicVVPS2xGbno1OU5HM2FORTJjT0xGSWtZcU5qZFdRSVVPS2JQUHd3dytyYTlldTZ0S2xTNkh4NWN1WDY1MTMzaW4yT0FCd01sQ2tBQUNvSWhZc1dDQWR2K3p1OXR0dkx6TEJ3cm5ubnF2ZXZYdVhlMzh4TVRHYVBuMTZaS0tJRTczd3dndDYrZVdYSSsrTk1mSjZ2YklzS3pLMmV2VnFCUUlCUGZMSUk4ck16Q3kwL2N5Wk0rWDMrMHQ5UmxYMTZ0WFZxMWN2dmYzMjIxcXhZb1ZhdDI0dFNlcldyWnN1dXVnaU5XN2N1TWcySG85SFo1NTVwdHEwYVZOby9Qenp6OWUxMTE1YjdzOE9BTDhXUlFvQWdDcmdwNTkrMHN5Wk05V2tTUlB0MmJOSFk4ZU8xZU9QUC82TDlwV2ZuNjlRS0tSWFgzMjEyT1h0MjdmWHdJRUQxYlZyMTJLWDUrYm1LaTR1VGgwNmRORElrU05WdDI3ZFFrWEtHS09QUHZwSXJWcTFLbllpaVJQZGZQUE5talZybHRhdlg2L1dyVnRyKy9idDZ0dTNiNG5yKy8xK3ZmRENDNW93WVVLeHl6dDA2RkRpTTZnQW9DSlJwQUFBcUFKZWZQRkZIVHQyVE9QR2pkUE9uVHYxNUpOUDZ0aXhZeG8wYUZDSjA0U1g1SmxubnRGSEgzMVU2anBQUC8yMFJvOGVYZUx5WmN1V3llMTJxM1BuemtXV1daYWw2ZE9uNitqUm80WEdRNkZRa1hYcjFxMnIrZlBucTNyMTZwS2toZzBiNnEyMzNpcnh1UDM2OVZQdjNyM1ZzMmZQWXBjNy9TNEE0SmVpU0FFQWNJcWJNV09HWnMrZXJVNmRPaWtsSlVVcEtTbHl1VndhUFhxMFB2dnNNNTEvL3ZtU3BQVDBkTDM4OHN0eXVWeXlMRXN1bDB1aFVFaWhVRWpCWUZEMTZ0WFQ5ZGRmcjRFREJ4WTdrMTZCdG0zYmF0aXdZYnJzc3N0S1hDY1FDS2hhdFdvbEx2ZjVmS3BidDY2V0xsMnFUWnMycVZxMWF2cjAwMDlWcTFhdEl1c1dsS2hkdTNZVktWOC9aNHhSSUJCUVZsWldzY3V6c3JKMDRNQUJOVy9ldk5TSEV3UEFyOFZ2R0FBQVRtRzJiZXZ0dDk5V3c0WU5OWHo0OE1qNFZWZGRwVFp0MnVnLy8vbVB2djc2YTlXclYwOFpHUm5hc0dGRHNXZCtKS2wvLy82Ni8vNzdDMDFyWHBMaHc0Y1hPbDV4RmkxYVZPSkVFZ1YyN2RxbGlSTW5TcEpPTyswMERSNDh1TVIxSjArZXJJVUxGNWFaYmZiczJjWGUxM1dpZWZQbWxaa05BSDROcXh6ckFBRHd1OVA0M0pST3NzdzdTWW1KZFNlTkg2ZExXbDhVdFN6cDZlbXFXYk5tc1pNdmxDWWNEc3NZSTh1eUltZW9vc0VZbzNBNC9MczZRN1I4eFNvTmVPUlJaUjQ2ZEZSRzErM1l0R1pKdERNQnFGaS9uOTlvQUFCVVVhbXBxYjlvTzdmYlhlRlpmZ25Mc241WEpRckE3ME4wL2pRRkFBQUFBRlVZUlFvQUFBQUFIS0pJQVFBQUFJQkRGQ2tBQUFBQWNJZ2lCUUFBQUFBT1VhUUFBQUFBd0NHS0ZBQUFBQUE0UkpFQ0FBQUFBSWNvVWdBQUFBRGdFRVVLQUFBQUFCeWlTQUVBVUl5d0NXVmJVdEFPMjhyTnpZMTJIRlF4dVhsNUNvZkRrbEU0YkVMWjBjNERvT0pScEFBQUtJWXgrZnRrbEpjZkRPckh6SVBSam9NcTV1REJRL0lIL0pJVU1DWi9YN1R6QUtoNEZDa0FBSXF4ZTh1V0EwYktDUWFEMnJoNWkveCtmN1Fqb1lvSWhrTGFzalZEZm45QWtnbnMzckxsUUxRekFhaDRGQ2tBQUlvWGtyRm5HR1BzT1I5K3BKV3IxeWpQNzVjeEp0cTVjQW9MaDhQS3lOaW1PZk0rbG0zYnRtVGVsQlNLZGk0QUZjK0tkZ0FBQUU1VjlldlhqNHRKcXYyeFphbERVbEtpT25kb3B3dGJYS0NHRGVvcklTRWgydkZ3Q2drRUFzckt6dGJHVFZ2MC9uL21hZi8rQTdLTldSWThsdGx0Nzk2OTNHUUgvQVpScEFBQUtFWDljMXFlNDVVMTJiTFUxcklzbDlmclZYeGNuRHdlVDdTajRSUmkyN2FDd2FCeWNuTVZEb2VOakw0TUtYei83czNyMTBVN0c0Q1RneUlGQUVBWmFwNTlkdldrbU1TblhKYXVNWkpYc3J5UzNOSE9oVk5LV0RKQlN3cmFNcDlrQlhNZk9aeVJjU3phb1FDY1BCUXBBQURLcVZhdDh4TGlUdlBVc2swNDJlM3l4a2M3VHpURnVLMUdQcS81czJ4NS9HRnJSbjdZL0JEdFRORVVzazJ1MnpLWnVZZERtWm1aRzVqdUhQZ2RvRWdCQUFESFVsTlRPMXFXTmQwWTQ1TjBiWHA2K3VmUnpnUUFsWWxaK3dBQUFBREFJWW9VQUFBQUFEaEVrUUlBQUFBQWh5aFNBQUFBQU9BUVJRb0FBQUFBSEtKSUFRQUFBSUJERkNrQUFBQUFjSWdpQlFBQUFBQU9VYVFBQUFBQXdDR0tGQUFBQUFBNFJKRUNBQUFBQUljb1VnQUFBQURnRUVVS0FBQUFBQnlpU0FFQUFBQ0FReFFwQUFBQUFIQ0lJZ1VBQUFBQURsR2tBQUFBQU1BaGloUUFBQUFBT0VTUkFnQUFBQUNIS0ZJQUFBQUE0QkJGQ2dBQUFBQWNva2dCQUFBQWdFTVVLUUFBQUFCd2lDSUZBQUFBQUE1UnBBQUFBQURBSVlvVUFBQUFBRGhFa1FJQUFBQUFoeWhTQUFBQUFPQVFSUW9BQUFBQUhLSklBUUFBQUlCREZDa0FBQUFBY0lnaUJRQUFBQUFPV2RFT0FBQUFUbTFwYVdsTmJkdSs4c1F4eTdLYVdwWjFpeVN2TVdhS01TYmp4T1cyYmM5ZnQyN2Q1a29QQ3dDVnhCUHRBQUFBNE5RV0NvWENIby9uK1pLV1c1WjF2MlVWL3R1czIrMXVXaG5aQUNCYXVMUVBBQUNVYXQyNmRkdHQyMTVXMW5yR0dPbi9uNDM2NXR0dnY5MVdHZGtBSUZvb1VnQUFvRXlXWmIydTQyV3BvRENkNk1ReHk3TGVydHgwQUZENUtGSUFBS0JNNFhCNHNhUkQ1VmoxVURBWVhGSUprUUFncWloU0FBQ2dUTG01dVllTU1Tc0w3b1U2OFF4VXdXdkxzbVNNV2VuMWV2ZEZMU2dBVkJLS0ZBQUFLRk5HUmthMlpWbmZTQXFWc2xyWXNxeHYwdFBURDFkaU5BQ0lDb29VQUFBb0Q5dTI3WldTanBheVR1N3hkY0tWbUFzQW9vSWlCUUFBeXNXeXJCV1NEaGE4Ly9uRUU4YVlZOGZYQVlEZlBJb1VBQUFvbC9UMDlFemJ0cGYrL0psUk9uNS9sS1NsNmVucG1kSElCZ0NWalNJRkFBREt6Umd6dFpURmt5c3hDZ0JFVmRFL0tRRUFBSlFpSlNWbGw4dmxhdml6MmZyMnBxZW5ONGgyTmdDb0xKeVJBZ0FBamxpVzlkb0pyd3RlVG85YUlBQ0lBb29VQUFCd3hCanp2aVQvQ1VOK1NYT2pHQWtBS2gxRkNnQUFPQklNQm44d3hxdzc0ZUc4MzltMm5SSHRYQUJRbVNoU0FBREFFWi9QbDJXTVdXbU9zeXhyNVU4Ly9YUW8ycmtBb0RKUnBBQUFnQ1BmZnZ0dDBMS3NGWlpsWlZ1VzViZHRlOFdPSFR2ODVkZ1VBSDR6S0ZJQUFNQXhZOHpYa2pLTk1WbTJiUytQZGg0QUFBQUFxQXFzdExTMEQxTlNVcGJ5aDFrQXYwYzhSd29BZ0hLcVZldThoTGpUUExWc0UwNTJ1N3p4MGM0VGJmRWUreks1WGQ2Y2dENk9kcFpvQzlrbTEyMlp6SnhEZ1lNSEQyN09pblllQUNjZlJRb0FnRExVT3UrOGhIamJNOVNTZFpVc3l5ZGpmTWFTSjlxNW9zOVl4a2lXWlpsb0o0azJ5eWdreS9JYm1ZQ01QczF4QllkbmJ0aVFIZTFjQUU0ZWloUUFBS1ZvMExSbFE2L0htaUxwTXN1eVhCNjNXekhWWXVSMnU2TWREYWVRY05oV2ZpQ2dVRGdzWTR3dGFXRTRGUDdmWFJucnQwVTdHNENUZ3lJRkFFQUo2dGR2RmVldEhwcnJrdFhWNi9XcWE2Y09hbjF4S3pXb1YxZUppWW5Sam9kVFNIWk9qbmJ2MmF2VjZXdjE2YUxGeXM4UHloaDlrWGZFN25IZ3dMcWNhT2NEVVBFb1VnQUFsT0RNYzFJZXR5enpaR3hzck92SllZL3E4aTZkbFpTVXFJSUgwUUluTXNZb0t6dGJTNWQ5clVGRGh5c3Z6MjhiWTBidDNMenViOUhPQnFEaU1jc09BQURGcUYrL2ZwekxNamRhbHVXNjhvckwxYjNiWmFwZVBZa1NoUkpabHFXa3hFUjE3ZFJCVjF6ZVZaWmx1Vnd1VjcrR0RSdkdSanNiZ0lwSGtRSUFvQmd4U2JWcnk3SjhIbzlIRjdhNFFQSHh2L3RKK2xCT1BwOVBLUzFiS0NZbVJrYnllcjJKdGFPZENVREZvMGdCQUZDTXNCMnNKV044TVRFeHFsdUhmd2ZEbVhwMTZ5ZzIxaWNaeFlTcmVaS2puUWRBeGFOSUFRQlFETGZMRzI4c2VkeHVseElTRXFJZEIxVk1ZbUtpdkI2dlpNbnRrcHVaU1lEZklJb1VBQUFBQURoRWtRSUFBQUFBaHloU0FBQUFBT0FRUlFvQUFBQUFIS0pJQVFBQUFJQkRGQ2tBQUFBQWNJZ2lCUUFBQUFBT1VhUUFBQUFBd0NHS0ZBQUFBQUE0UkpFQ0FBQUFBSWNvVWdBQUFBRGdFRVVLQUFBQUFCeWlTQUVBOEJ0aDI3Yjhmbitoc2R6Y1hObTJYZTU5ZlBmZGQ4ck16Q3d5ZnZEZ1FXM2N1TEhZYll3eFplNDNKeWRIbjN6eWlYNzQ0WWR5WndHQVV4bEZDZ0NBVTl6Um8wZTFlZlBtUWo5SGp4N1Z6Smt6dFczYnRzaDZRNFlNMFpneFl3cHRPM2JzV1BYcDAwZmhjRGd5Tm1uU0pMMzg4c3RGamhNTUJqVjA2RkQxNzk5ZjJkblpoWlk5OWRSVHV2MzIyN1Y3OSs1QzQ5OS8vNzM2OU9tampJeU15TmpPblRzMVpzd1lCWVBCeUZobVpxYUdEaDJxcjcvK3V0RDJiNy85dGxhdFdsVWt5MmVmZmFhWFhucXAyRkozSXIvZnJ3a1RKdWkrKys1VEtCUXFkVjBBcUVnVUtRQUFUbkdmZlBLSmJycnBwa0kvYTlldTFlVEprelZyMXF6SWV0ZGZmNzNtenAyckw3LzhVcEswYTljdWZmVFJSN3JtbW12a2Ryc2o2eDA3ZGt5VEowL1dnZ1VMQ2gzSDYvVnE5T2pSMnJWcmw3NzQ0b3ZJK0VjZmZhU2xTNWZxc2NjZVU4T0dEUXR0RXg4ZnI2eXNMTjEyMjIyUjQrN2N1Vk96WnMzUzRNR0RTeTAzWDMzMWxaNTc3ams5Kyt5emhZcWVKTzNidDAvdnZ2dXVldmJzcWFGRGgrcjc3Nzh2c3YyU0pVdDB3dzAzNlBYWFgxZkRoZzJMbkkwREFBQUFVTWthbjV2U3FYSHpDL2UxYk4zT2ZQM05TaE5OMDZkUE4xMjZkREdabVpsbS92ejVKaTB0eld6WnNzWDg0eC8vTUYyNmRESEJZREN5N3VqUm84MW5uMzFtakRGbTJMQmhwbGV2WG9XV0cyTk1mbjYrdWVtbW0wejc5dTNOcmwyN3pNS0ZDMDNidG0walB4ZGZmSEdoOXhkZGRKRkpTMHNyTk5haFE0ZkkvdmJ2MzIrdXUrNDZjOUZGRjVsRml4WkZNcWVscFpsaHc0WVoyN2JOOXUzYlRWcGFtcGsrZmJveHhwaE5temFaOXUzYm14NDllcGdEQnc0VSs3bno4dkxNakJrenpOVlhYMjNTMHRMTWJiZmRaaFlzV0dCV3JWcGxicnZ0TnBPV2xtYnV1dXN1czJIRGhwUHl2ZjhhWDMrejBsemNycXRwM0R6bFNPTnpVenBGKy8vUEFDcWVKOW9CQUFCQTJWd3VsNUtUazdWcDB5YlZxbFZMelpvMVU5dTJiVFZyMWl5bHA2ZHI5dXpaa2JOSWMrZk9sWTVmOXVieGVOU3hZMGRKMGlPUFBLSmV2WHJKNi9WcXhJZ1J1dVdXVzdSaXhRcTFhOWRPVHozMVZLSGpCWU5CUGZiWVkrcmV2YnU2ZHUxYWJKNENkZXJVMGVUSmsvWE1NOCtvVmF0V2txVGV2WHRyMjdadCt1cXJyM1Rnd0lFaTI0OGZQMTZ4c2JHYU9IR2lhdGV1WGV4bjl2bDgrc3RmL3FMcnI3OWVuMzMybVVhTkdxVWhRNFpJa2p3ZWowYUkxTlRUQUFBZ0FFbEVRVlNOR3FWdTNicjlpbThWQUg0NWloUUFBRlhJTjk5OG83WnQyMHFTV3JkdXJjbVRKeXNsSlVXSmlZbTY2cXFyRkFnRU5HN2NPSGs4SGozODhNT0ZDcy9aWjU4ZGVkMnNXVFA5NXovL1VYSnlzaVFWS1RQcjE2K1hKUFhxMVV0cGFXa2w1Z21GUXZKNFBEcnR0Tk0wYXRTb1Fzc0dEeDZzdkx3OEpTWW1hc2VPSFlXV2pSa3pSa2VPSENseXFlRFBIVDU4V0hQbnp0WDc3Nyt2STBlT3FGV3JWdko2dlZxK2ZMbWVldXFweUQxYWRldldMY2UzQndBVmh5SUZBRUFWVVREcHhOMTMzeTFKaW8yTlZXcHFxaVRwM0hQUDFaNDllelI0OEdEdDJiTkhUenp4aE5xMWF5ZEpXcng0c1pvMmJWcWtiQlNVS0VsYXRXcVZIbnp3d2NqN2dwbitIbmpnZ1NJNXJydnVPZzBjT0ZCWldWbTY2NjY3MUsxYk45MSsrKzJSMGpaNzltdzkrK3l6eFg2RzU1NTdUdi82MTc4S2pWMTk5ZFdSTTAwNlBrUGdraVZMOU5sbm4wVW1vdWpXclp2R2pCbWpjODg5VnpvK3UrQXJyN3lpZi8vNzMzcm5uWGQwMldXWHFWKy9mbXJldkxuRGJ4VUFmaG1LRkFBQVZjUTMzM3dUT2Z2enh6LytVVHArSm1uNjlPbDY4ODAzOWNZYmI2aFZxMWJxMjdldlhuamhCWFh1M0ZsTGx5N1ZFMDg4b2Q2OWUydmd3SUg2OHNzdnRYcjE2c2crNzdqakRpVWtKQ2djRHN2djkydnMyTEdxVjY5ZWlSa2VmL3h4QlFJQlNWSk1USXlhTm0ycWwxNTZTV3ZYcnRVLy92RVBKU1FrS0JnTXl1LzM2NjY3N3BMUDV5djFNNzMrK3V1Ui9lbjRHYTYrZmZzcU16TlREUm8wMEwzMzNxdXJyNzQ2VXZwZWZQRkZuWDMyMmVyUm80ZkdqeCt2NzcvL1hxKysrcW8rK2VRVExWaXdRSFBuemkwMVB3QlVGSW9VQUFCVnhLRkRoK1IydXhVWEY2ZG5ubmxHWDN6eGhaWXNXYUo5Ky9icHZmZmUwMzMzM2FkcnI3MVdnd1lOMHRHalIvWFh2LzVWYTlldVZkKytmVFZnd0FCSjB0cTFhelZqeGd6WnRxMzgvSHoxN3QxYkNRa0prV00wYWRKRWpSczNMakZEdFdyVkNyMSsrdW1uVmE5ZVBiMysrdXNhT0hDZ0prNmNHRm5lcDA4ZjFhaFJvOVRQTkdQR2pFTHZQUjZQSG4vOGNjWEV4S2gxNjlheUxLdlE4amx6NXFodDI3YnEwYU9ISk9uODg4L1g4ODgvcjQwYk4ycjkrdldVS0FDVmhpSUZBRUFWMGJ0M2I4MmRPMWV2dmZhYVJvMGFwVjI3ZG1uSmtpVnEzTGl4UHZ6d1F4MDhlRkQzM0hPUGF0U29vWnR1dWtsdnYvMjIrdmZ2cjc1OSswWUtTZi8rL2RXL2YzOHRYTGl3ME9WMEJXNjQ0WVpTTTlpMnJSWXRXaFFhdS8vKysxVzdkbTJscEtRVUdqOTgrSENaejNZcTdtRys3ZHUzTDNXYjRqUnYzcHpMK2dCVUtvb1VBQUJWaE52dDFrMDMzYVNSSTBjV0trRzJiZXU5OTk3VGl5KytxRXN1dVVRalJvelFzR0hEcE9ObmNOYXVYYXQvL3ZPZjhucTlaUjdqWC8vNlY2a1RRRHowMEVQRmp2L2xMMzhwTWxaV0tTdk9sVmRlcWFOSGo1YTQzTy8zNitPUFA5YkNoUXRMWE9lWlo1NkpUTWdCQUNjTFJRb0FnQ29rTFMxTnRtMXJ6Wm8xa2JIRGh3OXJ4b3dadXZ2dXUzWDk5ZGZya1VjZTBjR0RCNlhqOTBDOTlOSkxHakpraU1hT0hTdVBwL1QvOUFlRHdVTDNMUDFjY1dlUUFvR0FsaXhab2s2ZE9oVzY5Ry9VcUZHRkxoc3NUa0hoSzNEMzNYZVhldndUNzVFcVNXbVhKZ0pBUmFGSUFRQlFoZFNzV1ZPU2xKbVpHUmxMVGs3V3UrKytxOTI3ZCt2ZWUrK1ZaVm1hTW1XSy92U25QeWt1TGs0VEprelFIWGZjb2NtVEordSsrKzRyZGYrUFBmWllxY3NEZ1VEa1dWRUYxcTFicDZGRGgyclFvRUc2OGNZYkkrT3RXN2N1OHg2cG41OGx1L2JhYXd1OTM3UnBVMlNtUGttYVBIbXlHamR1ck42OWUwdVM4dlB6RlJNVFUrb3hBT0Jrb0VnQkFGQkY3TisvWDF1M2JwV09UMzJlazVNakhaL3BidXJVcVhybGxWZDB5U1dYNk9tbm4xWjhmTHc4SG8veTh2SWlNK3MxYWRLa3pHTzg5ZFpicFo3Uk9iRW9GVWhQVDVla0lnVnI0Y0tGaW91TEsvVjRmcisvMUN6anhvM1RnQUVEZE1zdHR4Ulp2bkxsU2cwZVBGaDMzWFdYZXZmdVhlYlpOZ0NvU1B6R0FRQ2dpaGczYnB3V0xseW9oSVFFWFhycHBaSDdoSEp5Y3JSZ3dRSU5HREJBZmZyMGtXVlpXcjkrdmZMeThpTFBqcnJnZ2d2S2RZeHQyN1lwTnplM3hPWEZYWGIzN2JmZnFrYU5HbXJhdEdtaDhaOC9vTGU4UXFHUW5uMzJXYzJjT1ZQZHUzZVBuSDM2dWZQUFAxOVhYSEdGbm52dU9iMy8vdnNhTW1TSUxyNzQ0bDkwVEFCd2lpSUZBRUFWMGJkdlgxMXl5U1ZxMjdhdFRqLzlkRzNkdWxWK3YxOCtuMDl2dmZXV0RodzRvRXN1dVVRMWE5YlVrU05IMUxoeDR5Sm5pUW9Vbk0zNnVlSERoNWVhSVJBSTZLS0xMb3E4OS92OSt1Njc3OVMrZmZzaVU1Vi8rdW1ucWw2OWVxbjc2OW16WjZIM2UvZnUxZENoUS9YOTk5L3J3UWNmTFBaTVZJRzR1RGdOR1RKRTNicDEwOGlSSTNYZmZmZnBxcXV1MGwvLyt0Y3lqd3NBdnhaRkNnQ0FLcUpGaXhhUnFjZWZmZlpaZmZEQkI0cVBqOWNUVHp5aEVTTkdxRjY5ZWhveVpJaHljM09WbEpTa3pwMDd5KzEyRjluUDNMbHpOWHIwYUNVa0pPajU1NS9YMEtGRDFiaHhZdzBlUEZnOWV2UlFZbUppaVJrKy9mUlRuWGJhYVpIM0sxYXNLRkt1Q3JqZDduSk5idUZ5dVNSSlI0OGUxYzAzMzZ4cTFhcHAwcVJKU2t0TEs3U3ViZHZ5Ky8xRkNsdHFhcXJlZWVjZHZmTEtLNW8yYlpvU0VoSTBjT0RBVW84TEFMOFdSUW9BZ0NybW4vLzhwMmJNbUtHUkkwZXFidDI2ZXVDQkIvVG5QLzlaM2J0MzExbG5uYVZhdFdySjVYSnB6Wm8xa1ZuNDh2THlsSlNVcE4yN2QydjgrUEhxMDZlUCt2YnRxM3Z1dVVjOWUvWlVodzRkMUt4Wk15MWF0RWh1dDd2UVR6Z2NWakFZalB4a1ptWnEvZnIxNnRXcmw1WXVYU3BKNWJxazd2RGh3eG85ZXJUaTR1TGs5WHExWjg4ZUhUMTZWUFhyMTVjazFhaFJROE9IRDFkcWFtcGtrb3ExYTlmcXd3OC9WSHg4dkhiczJLSGMzRnpWcVZPbnlMNnJWYXVtQng1NFFOMjZkVk9qUm8wcS9Ec0hnSitqU0FFQVVNWFVxMWRQSTBhTVVQZnUzU1ZKMDZkUDE3UnAwN1I0OFdJZE9IQ2d4QWtjK3ZmdnIzUE9PVWVkTzNmV0k0ODhJc3V5TkdQR0RFMmZQbDFMbGl6UlYxOTlwZXpzN0RJZm9pdEpUWnMyMVcyMzNhWjY5ZW9wSlNXbFhGT08xNmhSUXhrWkdjckp5VkVvRkpMSDQxSEhqaDMxNXovL09iSk81ODZkQzIzamRyczFlL2JzeU9zTEw3eXcxT2RUblhQT09XWG1BSUNLWUpWakhRQUFmbmNhbjV2U1NaWjVKeWt4c2U2azhlTjBTZXVpbDY2ZHFtemJWbjUrdnNMaGNLSG5Qc1hHeHNydGRwZHJ5dkJRS0tSd09DemJ0bVZabGx3dVY2R2Z5bVRidG93eGNybGNSUzdyTzFVdFg3RktBeDU1VkptSERoMlYwWFU3TnExWkV1MU1BQ29XWjZRQUFQaU5jYmxjOHZsOEpTNHZ6M09YUEI3UEtUT2RlR1VYTndBb0QzNHpBUUFBQUlCREZDa0FBQUFBY0lnaUJRQUFBQUFPVWFRQUFBQUF3Q0dLRkFBQUFBQTRSSkVDQUFBQUFJY29VZ0FBQUFEZ0VFVUtBQUFBQUJ5aVNBRUFBQUNBUXhRcEFBQUFBSENJSWdVQUFBQUFEbEdrQUFBb1J0aUVzaTBwYUlkdDVlYm1SanNPcXBqY3ZEeUZ3MkhKS0J3Mm9leG81d0ZROFNoU0FBQVV3NWo4ZlRMS3l3OEc5V1Btd1dqSFFSVno4T0FoK1FOK1NRb1lrNzh2Mm5rQVZEeUtGQUFBeGRpOVpjc0JJK1VFZzBGdDNMeEZmcjgvMnBGUVJRUkRJVzNabWlHL1B5REpCSFp2MlhJZzJwa0FWRHlLRkFBQXhRdkoyRE9NTWZhY0R6L1N5dFZybE9mM3l4Z1Q3Vnc0aFlYRFlXVmtiTk9jZVIvTHRtMWJNbTlLQ2tVN0Y0Q0taMFU3QUFBQXA2cjY5ZXZIeFNUVi90aXkxQ0VwS1ZHZE83VFRoUzB1VU1NRzlaV1FrQkR0ZURpRkJBSUJaV1ZuYStPbUxYci9QL08wZi84QjJjWXNDeDdMN0xaMzcxNXVzZ04rZ3loU0FBQ1VvdjQ1TGMveHlwcHNXV3ByV1piTDYvVXFQaTVPSG84bjJ0RndDckZ0VzhGZ1VEbTV1UXFIdzBaR1g0WVV2bi8zNXZYcm9wME53TWxCa1FJQW9BdzF6ejY3ZWxKTTRsTXVTOWNZeVN0WlhrbnVhT2VLS3R2SXNpeExNakpHUnE3Zi9UOHB3cElKV2xMUWx2a2tLNWo3eU9HTWpHUFJEZ1hnNVBuZC85WURBS0M4YXRVNkx5SHVORTh0MjRTVDNTNXZmTFR6UkpQUGEvNVF6ZVc2eDNMSjZ3L1pFL3hCYTB1ME0wVlR5RGE1YnN0azVoNE9aV1ptYm1DNmMrQjNnQ0lGQUFBY1MwMU43V2haMW5SampFL1N0ZW5wNlo5SE94TUFWQ1ptN1FNQUFBQUFoeWhTQUFBQUFPQVFSUW9BQUFBQUhLSklBUUFBQUlCREZDa0FBQUFBY0lnaUJRQUFBQUFPVWFRQUFBQUF3Q0dLRkFBQUFBQTRSSkVDQUFBQUFJY29VZ0FBQUFEZ0VFVUtBQUFBQUJ5aVNBRUFBQUNBUXhRcEFBQUFBSENJSWdVQUFBQUFEbEdrQUFBQUFNQWhpaFFBQUFBQU9FU1JBZ0FBQUFDSEtGSUFBQUFBNEJCRkNnQUFBQUFjb2tnQkFBQUFnRU1VS1FBQUFBQndpQ0lGQUFBQUFBNVJwQUFBQUFEQUlZb1VBQUFBQURoRWtRSUFBQUFBaHloU0FBQUFBT0FRUlFvQUFBQUFIS0pJQVFBQUFJQkRGQ2tBQUFBQWNJZ2lCUUFBQUFBTy9iLzI3ank4cXVyZS8vaG5uWE1TUWlaQXd5QkdSVVdwcVlhY3cxWHNyUW9WY1lCcXRkaXFiZWx0YVczN0t5aldpYXZXWXExMXZLM3RsZXNzRmF4VjdJaGpwV3ExYUZVZ09VbEFLRFFJbEVrTWsyUWd5VGw3ZjM5L2tLUUpDY05Sa3AyUTkrdDVmRGg3N2JYMy91NDhpdWVUdGZkYUJDa0FBQUFBU0JGQkNnQUFBQUJTNUlJdUFBQUFkRzNEaHc4L0p4d08vem1WWTN6Zi8zeHBhZWtMSFZjVkFBU0xFU2tBQUxCWE5UVTFyNXZabWhRT1dWdGRYZjFLQjVZRUFJRWpTQUVBZ0wycXFLaW9ON001KytwblprMS8vckdpb3FLK00yb0RnS0FRcEFBQXdENTVudmRyTTZzM3MrYkExRktMRUZWdlpzOEVVQ0lBZENxQ0ZBQUEyS2RFSXJIQk9iZkV1VDIvWHUyY2szTnVpZS83cVR3R0NBRGRFa0VLQUFEc1UxWlcxZzVKN3pSdHR4eVYybTJFNnAzYTJ0cktUaTRQQURvZFFRb0FBT3hUY1hGeHdzemVsVlMxbDI0N3pleGQzbzhDMEJNUXBBQUF3SDd4UEcrQnBPYlJwdDNmbHpLenFzWStBSERRSTBnQkFJRDlVbDVldnNMTTN0dExsMlhsNWVVck9yRWtBQWdNUVFvQUFPd3ZNN09uMjV0d29ySHRDVWx0cC9RRGdJTVFRUW9BQU95MzZ1cnE1ODFzMis3dFpyYmR6SDRmVEZVQTBQa0lVZ0FBWUw5VlZGVHNrUFRIbHFOU2paOWZLaTB0M1I1a2JRRFFtUWhTQUFBZ0pXYjJoS1NrL2gyaWttWTJKK2k2QUtBekVhUUFBRUJLZk45ZkttbGwwNmlVbWIzdmVkN2lvT3NDZ001RWtBSUFBQ25ac1dQSERrbHZ0Mmg2eC9POER3TXNDUUE2SFVFS0FBQ2taUFhxMVhXZTV4Vkxxak96aE8vN2k1WXVYVm9kZEYwQTBKa2lRUmNBQUFDNm4xQW9ORi9TaDg2NVRFbHZCbDBQQUFBQUFIUUhMaHFOdmhtTlJwZElDZ2RkREFCMHRyWXI2Z0VBZ0diOSt4ZGtaeDRTNmUrYmx4Y09wV1VGWFU5WGtwVm1FMExPOWFwcTBHK0NyaVVJU2Q5cXc4NHFhN2JVYjk2OGVYbFYwUFVBNkZ3RUtRQUEydEcvb0NBN3k0L2M2T1RPbDNNWk1zc3d4eVB4TFlXY1FyNXZrbk4rMExVRXdabVNjcTdPWlBVeXphc0pKWDVVeWJ0aVFJOUJrQUlBWURlSER5M01UNHU0eHlTZDVad0xSY0pocGZkS1Z6ak1FMno0TjgvejFWQmZyNlRueWN4OFNhOTRTZS83YXl1V3JBeTZOZ0FkanlBRkFFQUxnd2VQeUV6cmszdzJKRGNtTFMxTlkwYWZvVk5PSHFIRER4dWtuSnljb010REYxSmRVNk4xNnplb0pGNm1lYSsrcG9hR2hNejB0NTNiL0hHYk5wWFhCRjBmZ0k1RmtBSUFvSVdqaGhYZDVKemQycnQzNzlDdE4vKzN4cDc1T2VYbTVxaHA4Vm1nSlROVFZYVzE1ci8xdHE2NzhVZmF1YlBPTjdNNzFpd3YvMkhRdFFIb1dLd2pCUUJBbzhHREIyZUduRjNxbkF1TlAzZXN6anY3TFBYcGswdUl3aDQ1NTVTYms2TXhvOC9RdVdQSHlEa1hDb1ZDRS9Qejgzc0hYUnVBamtXUUFnQ2dVWHJ1Z0FGeUxpTVNpV2o0U1NjcUs0dEorckIvTWpJeVZGUjRrdExUMDJWU1dscGF6b0NnYXdMUXNRaFNBQUEwOHZ4RWY1bGxwS2VuYTlCQXZnY2pOWWNOR3FqZXZUTWtVN3JYSzVJWGREMEFPaFpCQ2dDQVJ1RlFXcFk1UmNMaGtMS3pzNE11QjkxTVRrNk8waUpwa2xNNHBEQXprd0FIT1lJVUFBQUFBS1NJSUFVQUFBQUFLU0pJQVFBQUFFQ0tDRklBQUFBQWtDS0NGQUFBQUFDa2lDQUZBQUFBQUNraVNBRUFBQUJBaWdoU0FBQUFBSkFpZ2hRQUFBQUFwSWdnQlFBQUFBQXBJa2dCQUFBQVFJb0lVZ0FBQUFDUUlvSVVBQUFBQUtTSUlBVUFRQS9qZVo1V3JWcDFRTSs1ZmZ0MjFkVFV0THV2cnE1T0RRME5CL1I2QUJBMGdoUUFBRDNNRzIrOG9Zc3Z2bGpQUGZmY3h6NUhYVjFkcSsxSmt5YnBnUWNlYUxmdjk3Ly9mVTJmUHYxalh3c0F1aUtDRkFBQVBjeWNPWFBVdDI5ZmpSMDc5bU1kdjJiTkdwMS8vdm42N1c5L2U4QnJBNER1SWhKMEFRQUFvUE1zV3JSSWl4WXRVaWdVMHBneFkvYnJtRFBQUEZNLytjbFBtcmNQUC94d2pSdzVVbmZlZWFjMmJOaWdxVk9uTnU5NysrMjM5ZDU3NzdVNmZ0T21UYXFwcWRHamp6N2FxcjJ3c0ZDbm5ITEtKNzRuQUFnQ1FRb0FnQjdDelBTTFgveENlWGw1dXZ6eXkvZnJtQWNmZkZDZTU3VnFpMFFpdXZYV1d4VUtoYlJzMmJKV2ova3RXN1pNTDcvOGNxdisyN2R2VjNWMWRadjJYcjE2RWFRQWRGc0VLUUFBZW9pbm5ucEt5NVl0MDA5LytsT2RlKzY1KzNYTTdObXpGWW0wL2JvUUNvVTBmZnAwVlZWVjZWZS8rcFhXcjE4dk5iNHJOV25TcEZaOUowMmFwSUVEQitxT08rNDRRSGNDQU1FalNBRUEwQU9zV3JWS00yYk0wSkZISHFramp6eFNTNWN1YmJkZi8vNzkxYjkvLytadHovUGFEVkxKWkZKLytNTWY5UERERDJ2SGpoMEtoWGp0R2tEUFFwQUNBT0FndDJQSERsMTk5ZFVLaDhQNjRJTVBOSEhpeEQzMi9jNTN2cVB2ZnZlN3pkdUpSS0pOa0hyeHhSZDEvLzMzYStQR2pmck1aejZqYTY2NVJ0ZGNjMDN6L3J2dXVrdFZWVlhOMjJ2V3JOR21UWnYwd3gvK3NMa3ROemRYMTE5Ly9RRzhTd0RvWEFRcEFBQU9jbmZkZFpmV3JsMnJlKys5VjlPblQ5ZllzV04xNVpWWHR1bDMzbm5udFdscmFHaFFlbnA2cTdiUzBsSkZJaEhkZSsrOU91T01NOW9jVTFkWHA2MWJ0eW9ySzB1U0ZJdkZKRW4xOWZYTmZSS0p4QUc1TndBSUNrRUtBSUNEM0lRSkV6UnMyRENkZnZycFV1TWtEM2w1ZWZ0MWJFTkRnM3IxNnRXcTdjb3JyMVN2WHIyVWxwYlczRFp5NUVnTkhUcFVhcHhjSXBGSTZNNDc3MVE0SEQ2Zzl3SUFYUVZCQ2dDQWcxd3NGbXNlRlVxRjcvdXFyNjlYNzk2OW05czh6OVBDaFF2YjlHMmFmZSt2Zi8ycjh2UHo5ZFJUVDJuMjdOa2FNbVRJSHMrZm41K3Y0NDQ3THVXNkFLQXJJRWdCQU5ERHpKMDdWeSsrK0dLYmR0LzNXMjFYVjFkTGtqSXpNNXZiNnV2cmRlMjExKzdYZFdiTW1MSFgvVi8rOHBjMWJkcTAvYXdhQUxvV2doUUFBRDNNaUJFamRPR0ZGN2E3NzloamoyMyt2R25USmtuU29ZY2UydHlXbVptcGQ5OTl0OTFqdDIvZnJtblRwbW5ac21XcXI2L1hBdzg4MEdZa2JNT0dEZko5WC9uNStjejBCNkJiSTBnQkFOREQ1T2ZuNjV4enptblRYbDFkM2Z3WVgxMWRuV2JObWlWSktpZ28wSklsUzFSZFhhMVRUam1sM2VuUTMzNzdiZDEyMjIzeWZWK3paOC9XSTQ4OG90dHZ2MTJ6Wjg5V2JtNnVObS9lckVjZWVVUi8rdE9mRkl2RjlNQUREM1RDblFKQXh5RklBUUFBU2RKdHQ5Mm12L3psTDBwUFQxY2lrWkNaNllJTEx0QVJSeHloNTU5L1hvOCsrcWhlZSswMTllblRwL21ZMWF0WDY4RUhIOVJmL3ZJWG5Yenl5YnJqamp2VXIxOC8zWGpqamJya2trczBaY29ValJneFFuUG16Rkd2WHIxMDZhV1g2a3RmK2xLZzl3a0FCd0pCQ2dBQVNKSys5S1V2YWNpUUlhcXZyMWV2WHIzMHFVOTlTcU5IajVZYUExUGZ2bjNWcDA4Zm1abUtpNHYxdTkvOVRxKzg4a3B6c0JvM2JwejY5ZXNuU2VyVHA0L3V2LzkrWFhIRkZabzllN2JPUHZ0c1RaOCtYUmtaR1lIZUl3QWNLQVFwQUFCNmtJeU1ERzNac3FYZGZTTkdqTkNJRVNQYXREYzBOS2kwdEZRbm5IQ0N0bTNicG9rVEoycmp4bzNxMjdldkprK2VyQzkrOFlzNjg4d3ptL3RYVlZYcDczLy91OWF0VzZkWnMyYnBtbXV1MGJ4NTgxUlpXYWtKRXlibzlOTlBWM1oyZG9mZUp3QjBOSUlVQUFBOVNFRkJnVjUvL1hYOTlLYy8xUkZISExIUC9uVjFkWHI5OWRlMWVmTm1UWjA2VmYzNjlkT0VDUk0wWU1BQWpSMDdWdW5wNmRxK2Zic2s2ZlhYWDljTEw3eWdlRHd1ei9NMGF0UW9mZXRiMzlMamp6K3VlZlBtNmY3Nzc5Y1BmL2hEaGNOaEhYLzg4YnI4OHNzMWF0U29UcmhyQURqd0NGSUFBUFFnMTE1N3JlcnE2dlRTU3k5cDU4NmQrK3dmRG9kMTJHR0g2YXFycnRLNGNlTWtTZC84NWpkYjlZbkg0NUtrTjk1NFE0V0ZoYnJpaWlzMGV2VG81cURtbk5NNTU1eWpzODQ2UytYbDVaby9mNzRxS2lxYTE1NENnTzZJSUFVQVFBOHlhTkNnZmE3dmxLcFJvMFpwOHVUSkdqdDI3RjVIdWNMaHNLTFJxS0xSNkFHOVBnQUVnU0FGQUFBK2tWQW9wRW1USmdWZEJnQjBLbGJDQXdBQUFJQVVFYVFBQUFBQUlFVUVLUUFBQUFCSUVVRUtBQUFBQUZKRWtBSUFBQUNBRkJHa0FBQUFBQ0JGQkNrQUFBQUFTQkZCQ2dBQUFBQlNSSkFDQUFBQWdCUVJwQUFBQUFBZ1JRUXBBQUFhZVphc2RsTEM5M3pWMXRZR1hRNjZtZHFkTytWNW5tVHlQRXRXQjEwUGdJNUZrQUlBb0pGWncwYVpkallrRXZxd2NuUFE1YUNiMmJ4NWkrcnE2eVNwM3F4aFk5RDFBT2hZQkNrQUFCcXRXN0ZpazBrMWlVUkN5NWF2VUYxZFhkQWxvWnRJSkpOYThjOEsxZFhWUzdMNmRTdFdiQXE2SmdBZGl5QUZBTUMvSldYK0hEUHo1ejcvb2hhV2xHcG5YWjNNTE9pNjBJVjVucWVLaXBXYSs4Skw4bjNmbDJ5V3BHVFFkUUhvV0M3b0FnQUE2RW9HRHg2Y21aNDc0Q1huZEVadWJvNCtkOFpwR243U2ljby9mTEN5czdPRExnOWRTSDE5dmFxcXE3WHNIeXYweCtkZTBBY2ZiSkp2OWxaaVIrWFpHelpzNENVNzRDQkhrQUlBWURlRGh4VU9TNU43MURuOXAzTXVsSmFXcHF6TVRFVWlrYUJMUXhmaSs3NFNpWVJxYW12bGVaN0o5R1pTM3BSMXk1ZVVCMTBiZ0k1SGtBSUFvQjM5amptbVQyNTZ6bTBocHkrWWxDYTVORW5ob090Q2wrSkpsbkJTd3BlOVhKV292V1pyUmNXT29Jc0MwRGtJVWdBQTdFWC8vZ1habVlkRSt2dm01WVZEYVZsQjF4T2s5TEE3TWlQTkpzaFhwTTV6Y3hvOCsxZlFOUVVwNlZ0dDJGbGw3ZFprWldYbFVxWTdCM29ZZ2hRQUFOZ3YwV2gwbEhQdWFUUExrSFJoUEI1L0kraWFBQ0Fvek5vSEFBQUFBQ2tpU0FFQUFBQkFpZ2hTQUFBQUFKQWlnaFFBQUFBQXBJZ2dCUUFBQUFBcElrZ0JBQUFBUUlvSVVnQUFBQUNRSW9JVUFBQUFBS1NJSUFVQUFBQUFLU0pJQVFBQUFFQ0tDRklBQUFBQWtDS0NGQUFBQUFDa2lDQUZBQUFBQUNraVNBRUFBQUJBaWdoU0FBQUFBSkFpZ2hRQUFBQUFwSWdnQlFBQUFBQXBJa2dCQUFBQVFJb0lVZ0FBQUFDUUlvSVVBQUFBQUtTSUlBVUFBQUFBS1NKSUFRQUFBRUNLQ0ZJQUFBQUFrQ0tDRkFBQUFBQ2tpQ0FGQUFBQUFDa2lTQUVBQUFCQWlnaFNBQUFBQUpBaWdoUUFBQUFBcElnZ0JRQUFBQUFwSWtnQkFBQUFRSW9JVWdBQUFBQ1FJb0lVQUFBQUFLVElCVjBBQUFEb2VtS3gyRkRmOThlM2JIUE9EWFhPZlYxU21wazlabVlWTGZmN3Z2L244dkx5NVoxZUxBQUVJQkowQVFBQW9PdEpKcE5lSkJMNXhaNzJPK2VtT05mNjk3SGhjSGhvWjlRR0FGMEJqL1lCQUlBMnlzdkxWL20rLzlhKytwbVp0R3MwNnQzaTR1S1ZuVkViQUhRRkJDa0FBTkF1NTl5djFCaVdtZ0pUU3kzYm5ITy82ZHpxQUNCWUJDa0FBTkF1ei9OZWs3UmxQN3B1U1NRU3IzZENTUURRWlJDa0FBQkF1MnByYTdlWTJjS21kNkZhamtBMWZYYk95Y3dXcHFXbGJReXNVQUFJQUVFS0FBQzBxNktpb3RvNTk2Nms1RjY2ZWM2NWQrUHgrTlpPTEEwQUFrZVFBZ0FBZStMN3ZyOVEwdmE5OUtsdDdPTjFZbDBBRURpQ0ZBQUEyQ1BuM0FKSm01dTJkNTk0d3N4Mk5QWUJnQjZGSUFVQUFQWW9IbzlYK3I0L2YvYzFvOVQ0ZnBTaytmRjR2REtJMmdBZ1NBUXBBQUN3VjJZMmV5KzdIKzNFVWdDZ3kyajc2eVVBQUlEZEZCVVZyUTJGUXZtN3pkYTNJUjZQSHg1MGJRQVFCRWFrQUFEQVBqbm5acmI0M1BUeDZjQUtBb0NBRWFRQUFNQSttZGtmSmRXMWFLcVQ5R3lBSlFGQW9BaFNBQUJnbnhLSnhML01yTHpGNHJ5TGZkK3ZDTG91QUFnS1FRb0FBT3hUUmtaR2xaa3R0RWJPdVlVZmZmVFJscURyQW9DZ0VLUUFBTUErRlJjWEo1eHpDNXh6MWM2NU90LzNGNnhldmJwdVB3NEZnSU1TUVFvQUFPd1hNM3RiVXFXWlZmbSsvMDdROVFBQUFBQkFkK0Jpc2RqelJVVkY4L2xsTElDZWpuV2tBQURZaS83OUM3SXpENG4wOTgzTEM0ZlNzb0t1SjJoWkVmOHNoVU5wTmZWNktlaGFncGIwclRic3JMSm1TLzNtelp1WFZ3VmRENERPUlpBQ0FLQWQvUXNLc3JQOHlJMU83bnc1bHlHekRIT0tCRjFYOE15WlNjNDVDN3FTb0RsVFVzN1ZtYXhlcG5rMW9jU1BLcGN1clE2NkxnQ2RneUFGQU1CdURoOWFtSjhXY1k5Sk9zczVGNHFFdzBydmxhNXdPQngwYWVoQ1BNOVhRMzI5a3A0bk0vTWx2ZUlsdmUrdnJWaXlNdWphQUhROGdoUUFBQzBNSGp3aU02MVA4dG1RM0ppMHREU05HWDJHVGpsNWhBNC9iSkJ5Y25LQ0xnOWRTSFZOamRhdDM2Q1NlSm5tdmZxYUdob1NNdFBmZG03engyM2FWRjRUZEgwQU9oWkJDZ0NBRm80YVZuU1RjM1pyNzk2OVE3ZmUvTjhhZStibmxKdWJvNmFGYUlHV3pFeFYxZFdhLzliYnV1N0dIMm5uempyZnpPNVlzN3o4aDBIWEJxQmpNZU1PQUFDTkJnOGVuQmx5ZHFsekxqVCszTEU2Nyt5ejFLZFBMaUVLZStTY1UyNU9qc2FNUGtQbmpoMGo1MXdvRkFwTnpNL1A3eDEwYlFBNkZrRUtBSUJHNmJrREJzaTVqRWdrb3VFbm5haXNyQjQvU1IvMlUwWkdob29LVDFKNmVycE1Ta3RMeXhrUWRFMEFPaFpCQ2dDQVJwNmY2Qyt6alBUMGRBMGF5UGRncE9hd1FRUFZ1M2VHWkVyM2VrWHlncTRIUU1jaVNBRUEwQ2djU3NzeXAwZzRIRkoyZG5iUTVhQ2J5Y25KVVZva1RYSUtoeFJtWmhMZ0lFZVFBZ0FBQUlBVUVhUUFBQUFBSUVVRUtRQUFBQUJJRVVFS0FBQUFBRkpFa0FJQUFBQ0FGQkdrQUFBQUFDQkZCQ2tBQUFBQVNCRkJDZ0FBQUFCU1JKQUNBQUFBZ0JRUnBBQUFBQUFnUlFRcEFBQUFBRWdSUVFvQUFBQUFVa1NRQWdDZ0c5dXdZWU1XTDE3Y3ZMMXQyN1pPdS9heVpjdDA2NjIzeXZmOVBmYUp4K09hUFh1Mk5tN2MyQ0UxMU5UVTZObG5uOVhtelpzNzVQd0FzQ2VSb0FzQUFBQWYzOU5QUDYwbm4zeFNpeFl0MHR0dnY2MXJyNzFXMy9uT2QvUzFyMzFOa1VqYi84MHZXclJJR3pac1NPa2FKNXh3Z280NzdyZzI3ZXZYcjlmY3VYTjE0NDAzS2hScSs3dlp1cm82M1hERERhcXNyRlF5bWRTa1NaUGFQZi9zMmJOVlZGU2t3c0pDU2RMYXRXdmxlVjY3ZlFjTkdxU01qSXptN2ExYnQrckhQLzZ4SG5yb0llWGw1YVYwWHdEd1NSQ2tBQURveG5yMTZpVko4bjFmcDU1NnFyNzk3Vy9yZ1FjZTBNc3Z2NnhISDMxVVdWbFpyZnJQbWZaMjllNEFBQnhYU1VSQlZETkhmLzNyWDV1UDI1ZTZ1anBObVRLbDNTQzFMN05telZKbFphV0dEaDJxeHg1N1RPUEhqOWZBZ1FOYjlXbG9hTkJycjcybUJ4NTRRSGZlZWFkR2pScWwvL3F2LzlKSEgzM1U3amtmZXVnaERSczJUUGZmZjc4bVRweVljazA5MFpBaFF6S3lzN09QWHJKa3lYSkpleDQrUkxOb05EcEcwdmVkYzUrUjFGOVNVdEo2TTNzaEhvOVBiZW9YaThXR210bFU1OXhZU1VlWVdaV2tja2wzeGVQeFZ6L0dkVWRKbWlMcFA1eHpnOHhzazNOdXZ1ZDVQeWtySzF0eHdHOFVud2hCQ2dDQWJxeDM3OTZTcEdReXFWNjllbW5TcEVrYU9YS2tpb3VMMjRTb0pvV0ZoWm81YytZK3oxMWJXNnZUVHovOVk5VzFiTmt5elp3NVUrZWVlNjZ1dXVvcWZmR0xYOVJOTjkya0J4OThzTlZJV1hwNnVtYk1tS0hKa3lmcnV1dXUweDEzM0NGSnV2amlpM1htbVdjMjk5dXlaWXR1dnZubTVycWVlZVlaalJzM1RuMzc5djFZOWZVa3VibTVlWkZJNU8xb05GcGhacjhPaFVMUCs3Ni91YlMwdEVwUyswTi9QVmcwR3IzZE9YZURKSm5aUHlVdGx6VFFPWGUwcEVza1RXM1JmWXFrcjVyWk81TGVkTTRkWTJabk9lZkdScVBSYjhYajhYMy9oOWJhTHlYMWtWUXNxY281TjBMUzEwS2gwSVd4V095ekpTVWw1UWYyYnZGSkVLUUFBT2lpS2lzcmRlR0ZGKzYxVHpLWmxLUldvYVBKUXc4OXBBc3V1RURUcGswN1lEVjVucWVsUzVkS2t2NzFyMzlKa3BZc1dhSndPS3k4dkR3ZGR0aGhxcXFxMG8wMzNxaStmZnZxdXV1dVU5KytmWFhERFRmbzVwdHYxajMzM0tNYmJyaWgxVG16czdQMXkxLytVdGRmZjcyT091b29TZEpSUngybGtTTkhhdXZXcmNyTXpOVFdyVnNQMkQzMFVLSEdMK1V4TTV2dW5DdU5ScVB2bXRrNzRYRDQzZUxpNG81NWlhMmJLU3dzSE9tY3U4SE10am5udmhDUHgrYzM3UnMyYkZoT1ZsYld4UzM3bTltdmEydHJiMTYrZkhsVlUxc3NGcnRFMHRQT3Vac2twUnFrcm96SDQyKzJIRG1NUnFQM08rZituNWxObGZTdFQzaUxPSUFJVWdBQWRGRys3NnV1cms2alI0L1c4T0hEMisyemJOa3l6WnMzVDEvNXlsZVVrNVBUWnYvSGVTUnZiMnByYS9XTmIzeWpWZHUzdnJYcnU5MWxsMTJtSzYrOFVsZGZmYlhXcjErdmh4NTZxSG5FYU55NGNmckhQLzZoSjU5OFVxRlFTTmRmZjcyY2M4M242TnUzcng1KytPRTIxenYvL1BNMWVmSmtqUjQ5K29EZVIwOWpaczQ1Sjdmcmg5NVgwbWd6TzhNNXQ5M01LcVBSNkFJemU2S2hvZUdOcFV1WE5nUmRiMURDNGZEbkdqOCtVVkpTTXIvbHZzYXc5S3VXYmZGNGZOSHU1eWdwS2ZsZExCWkxtdGtocVY0L0hvLy9yWjNtcHlYOVArZGN5dWREeHlKSUFRRFF4WjF5eWltNjVKSkwydDAzYjk0OHpaczNUK1BHamRQUlJ4L2Q0YlhrNU9Sby92eGQzeTl2dWVVV3ZmcnFxM3JqalRjVUNvV1VUQ1oxN2JYWHFxU2tSRGZkZEpPaTBXaXJZMy93Z3g5bzU4NmRldWFaWi9UQkJ4L29sbHR1MFp0dnZxbUdoZ1pkZE5GRkhWNTdUK2FjTSswS1ZDMmJRNUlPa1hTSWMyNlljMjVpcjE2OTFrZWowVGxtOW5SZFhkMzdvVkNvcW9jRnE1ckdQei8yekNXeFdPem94dS9ZQ3c5RVFXWjJmT012SFE3SStYRGdFS1FBQU9qR210NkRxcTZ1Ym01TEpwTmF2SGh4bXlEVHBMeThYSi85N0djLzlqVXpNek9WVENiMTdydnZTcEl5TWpJVWlVVDAzZTkrVjRzV0xkSTN2L2xOalIwN1ZsVlZWVzJPdmVLS0s1U1ZsYVVubm5oQ2Q5MTFsN0t5c3ZTSFAveEJhOWFzMFpWWFh0bnU3SC9kamZtbVhoRWJXbFJVRkhRcFRmcTMvTTdYTkJMWU1sUzErSHk0Yys1cTU5ejNNek16bDBsYVdGUlVWTzU1M3Q4V0wxNjhSSksxT2Z2QjVWa3oreDlKbDBhajBYZmo4ZmlNL1p5Z0kxUllXSmdYQ29VK1kyYTNTNnFVZE4zSExhS2dvQ0E5RkFvTlRFdExHKytjdTh2TUZ0WFcxdDczY2MrSGprR1FBZ0NnaTF1d1lJSHE2K3RidFdWbFpXbkNoQW5LemMyVkpHM2Z2cjE1MzZ1dnZxb2JiN3hSMDZkUDF3VVhYTkRtZlBuNStYdWNpcnlsUkNLaDIyKy92ZDE5Q3hjdWJBNXZzMmJOMHZqeDQvWFZyMzVWbi8zc1o3Vng0OGE5UG9yMytPT1A2OFFUVDFRc0ZsTy9mdjJVbnA2dUo1NTRRcHMzYjladHQ5MjJ6N3E2T2ljcEl5MDBNUlFLSFI5MExkb1Zra0ptMXF2bG81UnFFYWphNlM5SkdjNjVxSmtWaFVLaGV1ZmNwcUtpb3VXU250cStmZnVmVnE5ZXZiM2RnN3U1ZUR5K0pocU5YaTdwRWVmY0w2UFI2Q1F6bTE1YVdqcDNUOGZFWXJHbkd5ZWhrSGI5L0g1VFgxOS96ZEtsU3ovNE9EVkVvOUVQbkhNREc4L1ZZR1kvMmJadDIvK3NYcjI2N21QZUZqb0lRUW9BZ0M2cWFTS0p0OTU2UysrODgwNXpleUtSME1DQkF6Vmh3Z1QxNzk5ZmFwelZyc212Zi8xclpXZG5hOHlZTVczT2VmMzExOHZ6UEEwYU5HaWYxemN6alJneFF2MzY5V3V6NzlWWFg5V3h4eDZybFN0WHFxeXNURysrK2FZZWVlUVJuWEhHR1ZxMWF0VmVaL3M3K3VpamRkSkpKelZ2WDNmZGRjckl5TmpqQ0ZwM0ZISXV6Y3d5OXFOcmgzUE9PVE5yUHpYdFJZdFJxb2h6TGx2U0lFazVXVmxaM1gvWWNDL2k4Zmpzd3NMQ2tuQTRmSzl6N2l6bjNKK2kwZWdpMy9jbmw1V1ZMV2pua0pmTmJHdmpkT1VuT2VlK2twR1JjZEx3NGNNdkt5c3JlNitwMDZjLy9lbERldlhxMWVZOXA1S1NrbFc3elo0NHMvSFJ3c0hPdVpHU2Z0S3ZYNzlvVGs3T3R4Y3ZYdHg1SzI1am53aFNBQUIwVWJXMXRaS2ttMisrV2VQSGoyOXVuelp0bXQ1Ly8zMUpVbDVlbnB4ejJyaHgxNlJyQ3hjdTFOS2xTL1hkNzM2MzFmVG5hOWFzMGZyMTY1dTNtNDVYNHdqVmtVY2UyWHg4SXBGb1ZVZlRBcjdISDMrODh2THl0R1hMRnIzNDRvdWFPSEdpVnE1Y3FSLzk2RWY2OHBlL3JELzg0US82d2hlK29KeWNIQjE5OU5GYXUzYXRwa3lab2wvKzhwY2FNbVNJMVBoTzE1Ly8vR2RkZE5GRkNvZkR6ZGU0NG9vcjJ2MFoxTmZYdDd1d2NGZG1rbW9idkptWmFhR0tvR3ZScmtEVTN6bjN1S1RNM2RxbGRrYW1HcmVUWmxaaFpvdDgzNCtiMlZ2bDVlWEZqZXNwSGZUS3k4dVhTQm9iaThWT043TmJuWE9qdytId1c0MVRtczl1MmJla3BPUlhMU2FoY0VWRlJaYzU1NTRJaDhNdkZoWVdGcFNYbDlkSVVscGEydFdTYnRyOVdnVUZCWWUxSEwyS3grTTNObjBlTW1SSXhpR0hISEtuYzI1cTQzOEhFenIweHBHUzd2VTNFd0FBUFVoVGtOcDlyYVNkTzNjcU0zUFhkK0pJSktMRER6OWNhOWFzVVRLWjFOMTMzNjFERHoyMHpXSzFjK2ZPMWF4WnM5cTl6cVJKa3pSNThtU3BNYVR0YVRIY24vemtKeG8zYnB4bXpacWxJNDQ0b25sR3dMNTkrK3IvL3UvL2ROeHh4K255eXkvWG9FR0RkTWNkZDJqZ3dJSGF0R21UNHZGNGM1QjY1cGxuOU9HSEgrcmlpMXZOSXEwUFB2aEEvZnYzYnhXdXFxdXJaV2JLenM1TytXY1hKQmR5YXZCY3hZcjNTbDhQdWhidG10STdQeHdPTjcvbnM5dUVFMUxyOTZhMm1kbnpaamJIOS8ybDlmWDFtMXRPN2QzVE5NN2M5N2xvTlBwMTU5eE01OXlEUlVWRmZ5c3RMVjI5aDBPc3RMVDBON0ZZYkp5a3I0WkNvWEdTZnF0ZFA5dW56S3gwOXdNYUdocjJPTXEwZXZYcXV0V3JWMThkaThVdWNzNTlNUnFOOW8vSDQ1VUg4aDd4OFJHa0FBRG9vajc0WU5jdnFYY1BVclcxdGExR200NC8vbmd0V2JKRXMyYk4wdnZ2djYvYmI3KzllYUhlbG5KemMvWHNzOCsyYW12dkhhcUpFeWMyVDJrdVNSOTk5SkcrOElVdlNKSzJiZHVtMy8vKzk3cnl5aXRiSFhQQ0NTZElqVE1NUHYzMDAwb21rMHBQVDllSko1Nm9zckl5WFhUUlJkcTVjNmNXTDE3YzdneUV2L2pGTDFSUlVhSGYvdmEzelcxcjE2NlZHa2ZkOE1rNDUvd1duNlZkWCt4TlVxMmtIYjd2THphenh5b3JLNS9mc0dGRGJaQzFka1h4ZUh4Mk5Cb2Q1WnliNUp3N1g5SmVKMzR3c3lXTlArZWptdG9hSC9ON2IyL0g3WUV2YVpta0l4dlBSNURxSWc3cVoxd0JBT2pPVnE1Y0tUVXVUdHZTamgwN1dxMFpOV0xFQ0czY3VGRVBQL3l3Um8wYXBYUE9PYWZkOHpubmxKT1QwK3FmOWlZY1NFdExhOVduNVloUU9CeFdibTV1dXdGTWtrNDc3VFJWVjFlcnZMeGMydlhZa2twTGQvMFNmdEdpUlVvbWsrMHVIbHhTVXFJQkF3YklPYWR3T0N6bm5FcEtTaVJKeHg1N3JKeHpDb1ZDZTV3Z0Fmdms5TzhRdFVQUzN5VDlYTkkzek93enBhV2w1NVNWbFQxRGlOcXJwcEdqUHZ2cTZKd2JwbDJCNmw4SDRMck96STQzTTBza0Vtc1B3UGx3Z0RBaUJRQkFGN1YwNlZJZGRkUlJyWUtNbWVuRER6OXNOVEhEaVNlZUtFbnExNitmcGsrZjN0dytjK1pNYmR5NFVUZmQxT2Exakk4dE56ZFg5OTEzWDdzalhtb2NtY3JJeU5DQ0JRc1VpOFYwM0hISDZja25uOVRXclZ2MTk3Ly9YWGw1ZVNvc0xHeDF6T3JWcTdWbHl4WjkvZXRmbHlUOTVTOS9rZWQ1dXVTU1N4U0pSTFJzMlRLZGR0cHBXcmh3MXpJNm16WnRPbUQzMDRPWW1aVkwrbDBpa1hqSjkvMTF2WHYzM2xKY1hKellqMk43akZnczlnUGY5NnZDNGZCdmlvdUxhMXUwbnlEcHE5cjFnM3hUa29ZUEgzNTRPQncrdTZTa1pGYkxLZEtMaW9yR1MvcWFwTTAxTlRWLzN0OXJSNlBSTWI3djE1ZVZsYjNab2psY1ZGVDBZK2ZjMFpMbUxWbXloSC81dXhDQ0ZBQUFYVkJWVlpVV0xseW84ZVBIYThPR0RTb3VMbGJmdm4xVlVsS2lxcW9xZmZyVG41WWFROGkwYWRPa3huZW5HaHIrdlhacWVYbDU4MFFSQjlMUW9VUDN1QzhTaWFpd3NGQUxGaXpROTc3M1BaMTQ0b202NElJTDFORFFvRGZlZUVOanhveHBzMVpVMDNwVXA1NTZhblBiNDQ4L3JsV3JWaWthaldycTFLbTY5TkpMTlhYcVZLV25wMnZBZ0FHYVAzKytNakl5V2syZ2dmWnQzYnAxeTZHSEh2cWZaV1ZseS9aelRhUWV5OHdHaGtLaG4vdStQeU1halM1MnptMDFzNEZtVnRnNCsrSE0wdEpkNzc2RncrSGVrbVpHbzlGYkpjMTN6dFZKT2tIU3FaSjJTcHBZVVZHeEk0VnJIeDBPaHgrSlJxTmx6cmtTU2VsbWRvcHo3amd6V3gwS2hTN3YwSnRIeWdoU0FBQjBRYzg5OTV5U3lhVE9QLzk4SlJJSjNYTExMYzM3VGo3NVpKMTMzbm1hUDM5Kzh3alV0R25UOUxPZi9VelhYWGVkWnN5WW9jek1UQzFmdmx5bm5ISktxL00yVFdDeEwwMVRyMHVTNTNsNzdidTd5Wk1uTno5NmVQVFJSMnY2OU9sNjc3MzN0R25UcG5ZZk8zejExVmVWbDVmWEhOQis5N3ZmNmY3Nzc5ZG5Qdk1aM1hmZmZYcmhoUmYwMDUvK1ZDVWxKYnI3N3J0MXhCRkhORSsyMFZRbmovenQyYnAxNjNhdVc3ZnU0N3liMCtNNDV4NXRYRVByRERQN2xLUU1TVnNrdldSbXY0ckg0NzlyNnJ0MTY5WjFoeHh5eURUbjNKY2xuUzBwVjlKR1NiOUtKcE4zbFplWEwwL2wycjd2L3prVUN2M1NPWGVPbVgzSk9SZVJ0RkxTN1daMlQzRng4VUc1ZGxkM1JwQUNBS0NMK2VpamovVElJNDlvNk5DaGlrYWpNalBOblR0WE8zZnVWRTVPamdZTkdxUjc3cmxIVHovOXRJNC8vbmpkYzg4OXlzL1BWMVpXbG43ODR4L3Jvb3N1VW41K3ZqNzg4RU9kZlBMSnJjNjd0L1dkbXN5Y09WTXpaODVNdWU3bm4zOWVkWFgvWGpPMDZWRThTZnI3My8rdTlQUjByVml4UXYvODV6K2xYWTlHS1M4dlQvRjRYT1BHalZOMWRiVisvdk9mYSs3Y3VZcEdvN3I3N3J2bG5OUG5QLzk1SFhQTU1icnFxcXYwN1c5L1d6Tm16TkFycjd5aTNyMTdOMStqYVQwdDRKTW9LU21wa0hUVi92UnRuRkh2YmtsM0g0aHJsNWVYcjl2ZmE2TnJJRWdCQU5ERlpHWm02c2dqajlTMTExNHJOWTYyNU9mbnQrcHoybW1uS1RzN1c1ZGZmbm56T2t2ang0L1g0TUdEOWNBREQyakZpaFU2N2JUVE5IYnMyT1pqc3JLeTlQT2YvN3pWZWE2Kyt1bzIxeDgvZnJ3dXV1aWk1dTNxNm1wZGRkVyt2OTg5OXRoajJycDE2eDczcDZlbmE4YU1HYzNiVTZaTTBjaVJJM1hDQ1NkbzVNaVJldXFwcC9Uc3M4L3FLMS81aXFaT25kcHEvYWlDZ2dMTm5qMWI2OWV2VjI1dXJtYk9uQ25mOTVXUmthSExMcnVzZVIwc0FPZ3NqSU1EQU5Cb3lLZUtSc3ZaVTdrNU9ZTWV1dTllblhyS2Z3UldTMTFkblRJeU1nSzdmbWZ6UEU5bXBsV3JWald2VDdVdnZ1KzNlZDhxU084c1dLUXJyL2x2Vlc3WnNsMm1pMWIvbzJ1c0l3V2dZekFpQlFCQUY5U1RRcFFhcDFXWHROOGhTbEtYQ2xFQWVoNytCZ0lBQUFDQUZCR2tBQUFBQUNCRkJDa0FBQUFBU0JGQkNnQUFBQUJTUkpBQ0FBQUFnQlFScEFBQUFBQWdSUVFwQUFBQUFFZ1JRUW9BQUFBQVVrU1FBZ0FBQUlBVUVhUUFBQUFBSUVVRUtRQUFBQUJJRVVFS0FJQkduaVdyblpUd1BWKzF0YlZCbDROdXBuYm5Ubm1lSjVrOHo1TFZRZGNEb0dNUnBBQUFhR1RXc0ZHbW5RMkpoRDZzM0J4ME9laG1ObS9lb3JyNk9rbXFOMnZZR0hROUFEb1dRUW9BZ0ViclZxellaRkpOSXBIUXN1VXJWRmRYRjNSSjZDWVN5YVJXL0xOQ2RYWDFrcXgrM1lvVm00S3VDVURISWtnQkFQQnZTWmsveDh6OHVjKy9xSVVscGRwWlZ5Y3pDN291ZEdHZTU2bWlZcVhtdnZDU2ZOLzNKWnNsS1JsMFhRQTZsZ3U2QUFBQXVwTEJnd2RucHVjT2VNazVuWkdibTZQUG5YR2FocDkwb3ZJUEg2enM3T3lneTBNWFVsOWZyNnJxYWkzN3h3cjk4YmtYOU1FSG0rU2J2WlhZVVhuMmhnMGJlTWtPT01nUnBBQUEyTTNnWVlYRDB1UWVkVTcvNlp3THBhV2xLU3N6VTVGSUpPalMwSVg0dnE5RUlxR2EybHA1bm1jeXZabVVOMlhkOGlYbFFkY0dvT01ScEFBQWFFZS9ZNDdwazV1ZWMxdkk2UXNtcFVrdVRWSTQ2TG9DNVp1Y2MwNHltY2tVNnZGZkl6ekpFazVLK0xLWHF4SzExMnl0cU5nUmRGRUFPa2VQL3hzUUFJQzk2ZCsvSUR2emtFaC8zN3k4Y0NndEsraDZncFNSWnNmM0NvVys0MEpLcTB2Ni8xZVhjQ3VDcmlsSVNkOXF3ODRxYTdjbUt5c3JsekxkT2REREVLUUFBTUIraVVham81eHpUNXRaaHFRTDQvSDRHMEhYQkFCQllkWStBQUFBQUVnUlFRb0FBQUFBVWtTUUFnQUFBSUFVRWFRQUFBQUFJRVVFS1FBQUFBQklFVUVLQUFBQUFGSkVrQUlBQUFDQUZCR2tBQUFBQUNCRkJDa0FBQUFBU0JGQkNnQUFBQUJTUkpBQ0FBQUFnQlFScEFBQUFBQWdSUVFwQUFBQUFFZ1JRUW9BQUFBQVVrU1FBZ0FBQUlBVUVhUUFBQUFBSUVVRUtRQUFBQUJJRVVFS0FBQUFBRkpFa0FJQUFBQ0FGQkdrQUFBQUFDQkZCQ2tBQUFBQVNCRkJDZ0FBQUFCU1JKQUNBQUFBZ0JRUnBBQUFBQUFnUlFRcEFBQUFBRWdSUVFvQUFBQUFVa1NRQWdBQUFJQVVFYVFBQUFBQUlFVUVLUUFBQUFCSUVVRUtBQUFBQUZKRWtBSUFBQUNBRkJHa0FBQUFBQ0JGTHVnQ0FBQkExek44K1BCend1SHduMU01eHZmOXo1ZVdscjdRY1ZVQlFOZkJpQlFBQUdpanBxYm1kVE5iazhJaGE2dXJxMS9wd0pJQW9Fc2hTQUVBZ0RZcUtpcnF6V3pPdnZxWldkT2ZmNnlvcUtqdmpOb0FvQ3NnU0FFQWdIWjVudmRyTTZzM3MrYkExRktMRUZWdlpzOEVVQ0lBQklZZ0JRQUEycFZJSkRZNDU1WTR0K2RYcXAxemNzNHQ4WDAvbGNjQUFhRGJJMGdCQUlCMlpXVmw3WkQwVHROMnkxR3AzVWFvM3FtdHJhM3M1UElBSUZBRUtRQUEwSzdpNHVLRW1iMHJxV292M1hhYTJidThId1dncHlGSUFRQ0FQZkk4YjRHazV0R20zZCtYTXJPcXhqNEEwS01RcEFBQXdCNlZsNWV2TUxQMzl0SmxXWGw1K1lwT0xBa0F1Z1NDRkFBQTJCc3pzNmZibTNDaXNlMEpTVzJuOUFPQWd4eEJDZ0FBN0ZWMWRmWHpaclp0OTNZejIyNW12dyttS2dBSUZrRUtBQURzVlVWRnhRNUpmMnc1S3RYNCthWFMwdEx0UWRZR0FFRWhTQUVBZ0gweXN5Y2tKZlh2RUpVMHN6bEIxd1VBUVNGSUFRQ0FmZko5ZjZta2xVMmpVbWIydnVkNWk0T3VDd0NDUXBBQ0FBRDd0R1BIamgyUzNtN1I5STduZVI4R1dCSUFCSW9nQlFBQTltbjE2dFYxbnVjVlM2b3pzNFR2KzR1V0xsMWFIWFJkQUJDVVNOQUZBQUNBN2lFVUNzMlg5S0Z6TGxQU20wSFhBd0FBQUFEZGdZdEdvMjlHbzlFbGtzSkJGd01BUVdKRUNnQUE3Qzh6czk5S3lwVGtCVjBNQUFTSklBVUFBUGFiYys2M05UVTFiais2QWdBQUFBQUFBQUFBQUFBQUFBQUFBQUFBQUFBQUFBQUFBQUFBQUFBQUFBQUFBQUFBQUFBQUFBQUFBQUFBQUFBQUFBQUFBQUFBQUFBQUFBQUFBQUFBQUFBQUFBQUFBQUFBQUFBQUFBQUFBQUFBQUFBQUFBQUFBQUFBQUFBQUFBQUFBQUFBQUFBQUFBQUFBQUFBb0x1S3hHS3hVd3NMQy9NbDZWT2YrdFNoa2tKQkZ3VUFYVkVrNkFJQUFFRFhNR3pZc042UzNnNkh3N2RLbXA2Wm1mbENOQnIxZmQrL3ZLeXM3TDNkK3hjVkZmV1ZkR0VxMTNET2VmRjQvSWtEV2pnQUJJQWdCUUFBSkVuTGx5K3ZqY1ZpYWhxRlNpYVQveFdKUko0S2g4UHhhRFQ2dlhnOFByTmxmOS8zOHlPUnlLOGsxWm1adDYvek8rZlN6Y3lYUkpBQzBPMFJwQUFBUUJOUFVrSlNtaVNWbDVjdkx5Z29PRFU5UGYxSGtsN2IwMEZtZG40OEhuOWxYeWVQUnFQL0kybktnUzRhQUlKQWtBSUFvSWVJeFdJenpPd2IrK2lXNXB5N09ocU43aDU0cm9wR281SjBmRHdlMzlCeFZRSkE5MENRQWdDZ2h6Q3pET2VjODMxLytsNjYzU2hwcFpuTmFXOW5RMFBEam82ckVBQzZENElVQUFBOXk4N1MwdEwvMmRQT2FEUTZ5VG4zZmp3ZTMyTWZBQUJCQ2dBQXRGWmxacmt0RzRxS2lvbzh6MXV6ZVBIaWJlMGQ0Sng3TGhxTnBqTFpCQUIwZXdRcEFBQjZsdDVGUlVYWDd0N29lZDdMaXhjdlh1eWMyMlptZVMxMk9lZmNieUtSU0c5SngwcHFMd2pkWjJaTDkrUGFsMGo2M0Njckh3QzZCb0lVQUFBOVI1cVo5WGJPM2RMVTRKeHpraktkY3g5S1dpeHBnNlJQTiswdktpbzZ6emwzZ3BuOWFQY1FsVXdtVjZTbHBaMGc2VitscGFXMSs3cDROQnA5d2ZmOWZoMXdYd0RRNlFoU0FBRDBFTTY1SEVtclNrcEtqbTFxaTBhakJjNjU5eVRWYXRlRUZHdWRjNGNWRkJTa0wxMjZ0TUU1ZDcyWmJUV3orMXFjS2hTTHhjNXU3QzlKUXhyWG41SWtsWlNVdkN6SlJvd1ljYVNaRmJTc0lSd09LeGFMSFNPcHBxU2taSDVuM0RjQWRBU0NGQUFBUFlTWlpVdmF2RnRibG5OT3pybnF4dTBWenJsd1JrYkdzVVZGUlZIbjNDZ3p1N2EwdEhSNzB6RkRoZ3hKbC9UU1hpNlZKaWxwWmhkSXVtOFBmVlpLR25xZzdnMEFPbHNvNkFJQUFFRG5jTTRkMlU2UXlwWWszL2QzTlA1WjFyanJIT2ZjdlpLV2hFS2gvOTNES2EvM2ZiOWYweitTcm0rdlUyMXRiZDV1L1I0NXdMY0dBSjJPRVNrQUFIcUFnb0tDOU1iSklsNW8yUjRLaFE3UnJwQzFYWkxLeTh1WFJxUFJTa2wzT2VkQ251ZWRYMVpXbHRqRGFYZTJIS21LeFdJNzIrdjBqMy84NHlOSnlSYjlHZzdZalFGQVFBaFNBQUQwQUpGSUpOcjQvLzJGTGR2TkxOODVKOC96bWthcWZFbUxuSFBuU1pwV1ZsYTJRSkpHakJpUjZmditHNUt1MmJadDI0SkFiZ0lBdWhDQ0ZBQUFQVUFrRXJuWXpDeVJTTHdWalVZbmFOY29sSm5aRkVuL0tpOHYvMUM3SnArNG96RkVTVkx6Tk9obWRvSno3ai9Nckg5UTl3QUFYUWxCQ2dDQWcxeCtmbjV2TTd2TU9mZlhKVXVXckkxR28zYzU1eTVyM0YzaisvN1hSb3dZMGNmTUhwYjBaVW0vTnJQZWtxNHBLaW9xTFMwdC9ZMmtFZG9WcUlxYnptdG02UVVGQmRrdHQzZk5wdDdhMEtGRHd4VVZGUzJiMm5ZQ2dHNkdJQVVBd0VGdXdJQUIweVFkYm1aVHRXdjlwOG5wNmVtM0pwUEpjQ1FTV2VYNy9uRm10bGpTSURQNzczZzhmdGVJRVNQNitMNS9SQ2dVZWpJV2kzMVBVb0daclNvdExWMDlaTWlRRE8wYTBmcFpSa2JHei9aMS9kemMzTHFXMDZNM1d0bEJ0d3NBbllJZ0JRREF3YS9jekY2TXgrTy9sNlRGaXhkdms3U3RhZWVRSVVPV0gzTElJYzk2bnZkWVdWbFpYSktLaTRzL3lzL1BIOTIvZi8rYm5YTmZsZFJnWmxlM1BLbVovYStaL2JGcDJ6bDNrWFB1eXQwdmJtYWpmZC8zbXJaRG9kQVBuSFBETy9LR0FRQUFBT0FUeTgvUDd4MTBEU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E5SFQvSHhETEZjK1ZVaFF6QUFBQUFFbEZUa1N1UW1DQyIsCgkiVGhlbWUiIDogIiIsCgkiVHlwZSIgOiAiZmxvdyIsCgkiVXNlcklkIiA6ICIxMjU2ODU3NzMzIiwKCSJWZXJzaW9uIiA6ICIxNCIKfQo="/>
    </extobj>
    <extobj name="ECB019B1-382A-4266-B25C-5B523AA43C14-5">
      <extobjdata type="ECB019B1-382A-4266-B25C-5B523AA43C14" data="ewoJIkZpbGVJZCIgOiAiNTAzMTU4NjE1NzQ5IiwKCSJHcm91cElkIiA6ICIxNTAwNTM0MzA2IiwKCSJJbWFnZSIgOiAiaVZCT1J3MEtHZ29BQUFBTlNVaEVVZ0FBQktVQUFBSFJDQVlBQUFDN05nbzdBQUFBQVhOU1IwSUFyczRjNlFBQUlBQkpSRUZVZUp6czNYZDRVMlg3Qi9EdmMwNjZCd1VMRktndktFV2dRcHVrSUZ1VzhDb3FJaWdxTWh3dktpb3ZDSUtLVEJtS2dpd0JGUkFFbENXZ0xGOFFjQ0JMYkpLMkNESmt5Q3pVVXJyb1NNN3orNk5wZmswWEtiUk5LZC9QZFhuUm5QT2NKL2RwdmR2a3pqTUF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2x1VWNIY0FSRVFFR0kzR0NDbmxld0RhQ1NHOEFjUnBtdmFCeFdMNTluclhHZ3lHOWdCZUI5Qk1DQkVpcFl3WFF1eXkyV3dUWTJKaWpwYlBIUkFSRVJFUkVaVU1pMUpFUkc1bU5CcGJBdmhSU2lrQWJBS1FMWVRvRHNCWDA3VG5MUmJMa3VLdU54Z01GZ0JWQUVRTElWSUFSQUZvS3FWTUZVSzBNWmxNc2VWM04wUkVSRVJFUks3UnVUc0FJcUxibkNxbC9GSUlvWk5TdHJkWUxIdVFVMmhxSm9UWUk0VDR1R0hEaG11UEhEbVNVa3dmL3pXYnpiOEMwSElQR0F5R2VVS0lRVkxLSVFCZUxKYzdJU0lpSWlJaUtnSEYzUUVRRWQzT0RBWkRWeUhFUFZMS3IzSUxVZ0JnTnB0L2wxS3VFRUpVOWZIeGViUzRQc3htOHk5NUMxSjJLd0ZBQ0ZHdHJHSW5JaUlpSWlLNkdTeEtFUkc1MTRQSUtSNXRLT1RjOS9aejdVcmFxWlR5SHZ1WEIyNDJRQ0lpSWlJaW9yTEE2WHRFUk81MUx3Qm9taGFYLzRTVThrOGhCQUEwY0tXajhQQndUMFZSYW5wNGVEd3NoSmdxcGZ3OVBUMTlUaG5FVEVSRVJFUkVkTk5ZbENJaWNxL2FBSkNhbWhxZi80UVE0cEw5MzZyWDY4UmdNRndVUXRSRVRqRXJTMG81OGNxVks5Tk9uVHFWVVRaaEV4RVJFUkVSM1J4TzN5TWljaTlmQVBEMDlDeFFQTXJLeXNwQVRwSEp5NFYrdmdDd0FNQm1JVVN5RUdKaTFhcFZ2MnJhdE9sMUMxcEVSRVJFUkVUdXdKRlNSRVJ1SklTd0FvQ1BqNDhPUUZiZWMxSktUL3VYNmRmcngydzJqOHI5dWw2OWV0N1ZxbFg3UUFneFJLZlRBVUN2MG8rY2lJaUlpSWpvNW5Da0ZCR1JHMGtwcndCQWRuWjJnVjN5ZERwZE1ISUtWd1dtOWhYbjFLbFRHU2FUYVJpQXY0VVFQUTBHUS9WU0RKbUlpSWlJaUtoVXNDaEZST1JlUndGQVVaVEcrVStvcXRvSU9ZV3JQMjZnWHczQVlmdlhkVzgyU0NJaUlpSWlvdExHb2hRUmtSdEpLWDlDVGxIcTRVSk9QMlQvOS9zYjZGcElLZStSVXNyczdPd3pOeGNsRVJFUkVSRlI2V05SaW9qSXZkWklLWk1BREl5SWlHaVNlOUJnTURRRDBGZEthVEdiemIva09mNkEwV2pzbStkeDU4akl5TGI1K2xUMWV2MUVJY1JkUW9nZkRoNDhXS0xwZjBSRVJFUkVST1ZCdURzQUlxTGJuY0ZnNkNlRVdDcWxUQU93UVFpaEFPZ3VwYlJKS2R0WkxCWUxBRFJzMkREQXo4OHZFWUJPU3ZtQTJXemVvZGZyLzZNb3lnSXBaWXdRd2dUQVUwcDVueENpZ1pUeWxLSW83YU9qby85Mjl6MFNFUkVSRVJIbHA3bzdBQ0tpMjkzRml4ZGphOVdxWlJKQ05CSkN0SmRTL2d2QWRrVlJuamFielFkejIvM3p6ei9XV3JWcWRRRWdiRGJiaC9IeDhjazFhdFM0cENpS0tvUm9LS1ZzSllSb0FpQkJDTEZRU3RuZmJEWnpsQl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nBhY2FESWE2QUJSM0IwSkVSRVJFUkhTeitNYUdpT2pXb09yMSt0ZWxsSDJqb3FKVWR3ZERSRVJFUkVSMHMzVHVEb0NJaUlwWHUzWnQzeG8xYXN4VkZPVnhLZVd3Nk9qb2JIZkhSRVJFUkVSRWRMTllsQ0lpcXNBYU5teFkyOGZINTBNaHhETlN5blFwNVQvdWpvbUlpSWlJaUtnMHNDaEZSRlJCUlVSRXRGQlZkYklRb29OOXVyWFVOTTNtN3JpSWlJaUlpSWhLQTR0U1JFUVZqNGlJaVBpM3FxcHpBTlFISUFCQTA3UnNSVkV5M0IwY0VSRVJFUkZSYVdCUmlvaW9ZdEUxYmRyMFlWVlZQeE5DMUpSU1Frb0pJUVNFRUdrQWt0d2RJQkVSRVJFUlVXbGdVWXFJcUlKbzFLalJIZDdlM3E4TElVWUE4Sk5TNW05eUJjQjU5MFJIUkVSRVJFUlV1bGlVSWlLcUFNTER3LzI5dkx3K0ZrTDBsbEo2NXo5dkh6SDFtOFZpdWVpZUNJbUlpSWlJaUVvWGkxSkVSTzRsN3Jubm50cGVYbDVMaFJDZDhvNk9Fa0k0cHU1SkthMEFsZ0RRM0JvdEVSRVJFUkZSS1dGUmlvaklmVlNEd2RCUkNQRXhnS1o1VCtRV3BISnBtcll3SmlabXR6dUNKQ0lpSWlJaUtnc3NTaEVSdVVsa1pPUmpBR1pKS2V2a1BTNkVjR29ucGN4VUZHVmllY2RIUkVSRVJFUlVsbGlVSWlJcVo2R2hvVDdCd2NFdktZb3lNLzkwdmZ6c0k2Yk1seTlmdmxMT1lSSVJFUkVSRVpVcHhkMEJFQkhkWnNRZGQ5elJUMUdVQ2NVMXlyZnozdTluejU3Tkx2UElpSWlJaUlpSXloR0xVa1JFNVVzcWlySkpTamxIU25uZFJjdWxsRmtBL2dCZ0xaL3dpSWlJaUlpSXlnZUxVa1JFNWN4c05wODNtODFqTkUxckJTQW1kMGU5M05GUitVWkpYYmJaYkVmZEZDb1JFUkVSRVZHWllWR0tpTWhOTkUxTGtGTEc1WTZDS21KTnFVdXFxdjdwanZpSWlJaUlpSWpLRWhjNkp5SnlnOGpJeUk2cXFuNE9vSjZVVWllbDNDU2xUQmRDOUFEZ21kdE8wN1JqRm92bG9udWpKU0lpSWlJaUtuMGNLVVZFVkw0OERBWkRmMVZWVjBzcDZ3TzRLb1FZWnJGWUhyVllMSDFzTnR0QUFHZUZFRlloQklRUXYrWk83eU1pSWlJaUlxcE1DczRWSVNLaU1xSFg2NE1BakZJVTVSVUFBVkxLdlFER21zM21Id0hZOHJTckIyQ1FvaWd2Wm1abTN2L0hIMzhjY20va1JFUkVSRVJFcFk5RktTS2ljdEMwYWRPcU9wM3VFeUZFYnltbEFtQzFwbWx2eHNURW5DdXNmV2hvcUUrMWF0VWF4OGJHeHVRdFdCRVJFUkVSRVZVV0xFb1JFWlU5SlRJeWNyS2lLQ09GRUpxVWN1SFZxMWZmUG5IaXhGVjNCMFpFUkVSMHU2aDY5OTFWL09CVlErZzhRbFFCUDNmSFExUldiSnBNMTlUc2kya1pHWmVTVHAxS2NuYzh4V0ZSaW9pb2pCa01oaGVFRUo4QThKUlN6cEpTVHJSWUxCWDZqd01SRVJGUlpSSGNzR0dBdi9DZUpnUWVrb0FISUR3QXFPNk9pNmpzU0ExQWxnQ3lOVTMrbEp5ZE92aEtCZjFBbkVVcElxSXlwTmZyV3l1S3NnVkFGU25sSi9IeDhXK2RQMzgrM2QxeEVSRVJFZVdoR0F5R2w0UVFIeWNtSmxZN2RlcFVoaXNYUlVaR3RsVlY5VzBwWlNzQS9rS0lNd0RXcGFXbFRUeHk1RWhLMllkOWZYWERJb3p3RUxPRVJHc2hoT0x0NVlXQXdBQjRlbmk0T3pTaU1wT2RuWTNrbEZSa1pHUkFTaWtoY0VCS2JlanBQK1AydWp1Mi9GaVVJaUlxSS9aMXBGWUxJUjRBWUxaYXJiMWlZMk5QdWpzdUlpSWlJanRoTUJnZUZVS01BMkFFZ01URVJCOVhpbEo2dmY1SkljUktBRWtBZGdvaGJGTEt0a0tJT2dCaXJWWnI2OWpZMkxSeXVZc2lWSzhlN3U5M2g4ZDJJVVFMVDA5UGRILzRRZHpYTEFxMVFtckExOGZYbmFFUmxhbHJHUm00R0IrUHczOGV4ZWF0UCtEaXhYaG9Va2FuV05NNkpSNC9udXp1K1BMU3VUc0FJcUxLU2xHVU5rS0lGZ0NnYWRvMEZxU0lpSWlvb29pS2ltcWthZG9QUW9oUUFIOUxLUzhMSWFxN2VyMFFJZ0xBUjFldVhCbWZXOFFLRFEzMXFWR2p4cmNBdXFxcStqS0FqOHYwSnE3RFA5aHpxcFR5UGg4Zkh5eitiQTRNa1JIUTZYUVFnbU16NlBaZ2U4U0dnUzhNd09OUDljUDVDeGVNZ1lyZnJFVGdlWGZIbFpmaTdnQ0lpQ29yUlZGNlN5bjlwWlNIVTFOVDE3bzdIaUlpSXFKY1ZxczFHSUFYZ0FrWkdSbjNBcmhVd2k1bW04M210L09PcWpwNzl1dzFBSlBzRDl1VWJzUWxVNzE2dUQ4Z0h4VkNpTWNlZVFpUkVVM2g0ZUhCZ2hUZFZsUlZSZkFkMWRDNzUyTlFWVlVJUlR3ZUhOd3d3TjF4NWNXUlVrUkVaVU1GOENnQUthVWNjdno0OFV4M0IwUkVSRVNVNityVnE3K2ZPbldxRmdBYmNqWm1LZEgxWnJQNWNsRmQyLzkxNjJzZm55QzFoZ1E4Zkx5ODBDUzhNYnc4UGQwWkRwSGJLSXFDQmczcXc4L1hGeW1wS2FwM29CS0NCRlNJTmQvQWtWSkVSR1VqSWlLaXRSQWlTQWh4em1LeC9PRHVlSWlJaUlqeXNvOXdzcFZCMSsyUU03M3ZqekxvMjJVYVJIVUFuajQrM2dpcFdjT2RvUkM1WGRVcVZlRHI2d01Kb1NnNno1cnVqaWN2anBRaUtuczN0SnVKMFdqOEc4Q2RoWjNMeU1nSU9IVG9VR3FwUjBxbFJsR1V0c2daSm5YQTNiRlFrU3J0VGtORXR6am1KdEV0S2lvcXFwYW1hYU1BWkdtYXRzU2RzZWhVeFFlQW9xbzYrUHB5VVhPNnZYbDdlME9uMHdGU0tvcVEvdTZPSnk4V3BZaktUb0hkVEVvb1dFb1pEK0RYL0NmUzA5T3RwUk1pbFJVaFJHM2tGS1ZPdXpzV0t1Q0djek4zcHlFcFpmNmRoa2I0K2ZuOU95SWl3dTA3RFJIZHdwaWJSTGN3bzlIWVdOTzBEZmJYUUMvSHhNU2NjM2RNUkZUeHNTaEZWQVp1ZGplVDBOQlFId0ErUW9pTkpwUHBxYktOdG5SVXJ4N3U3MXROVjEyVHRtQlY4ZkJ6ZHp6dVp0TlFTMVhrUmFzbWZlbzEwbmR3ZHp6dVpOVmt1aXJrNWJSL01oTVNFdHc3V3VGMjJHa0l6RWNxUmtYS3g3d3FjMjR5SDZrb0ZUVWZiNFJlcng4Z3Bad3JoRkExVFh2T1lyRjg2ZTZZaU9qV3dLSVVVUm13V3EzQmlxTGs3bVl5emN2TGF4OEFsMTljQndVRkJkdS9MR29CeVFxamVuaTR2NSttR3lVZ0hvVVEzb29VM2xMSTIvNTNTMHFtcGdBUVV1QnhDUFJ3ZHp6dTVLSEFDcUZrK0ZmM3p2UVBqdHlXcG1TUHZleW02YWMzbTV2Mm5ZYWM4dkxzMmJQWGF0U29NUWxBVi90T1EyNHJTakVmNlhvcVVqN21WUmx6ay9sSTExTlI4N0dFZEFhRFliNFE0ajhBNHJLenM1K05pNHVMYzNkUVJIVHI0QjlHb2pKd3M3dVpxS29hakp5cFh5WGRtcmRjMVFtTENQWFF4Q0lBRDBBSVJhZXE4UFR5aEtxcTdnNk5LaENiVFVOV1ppYXNOaHNrWkdNL3plTmU3N0FtcjU0NWZ2Q3Y4bzZsTXU4MHhId2tWMVNrZk15cnN1VW04NUZjVVZIenNRUVVvOUc0R3NEakFPWWxKeWNQNDI3RFJGUlNMRW9SbFFGWEYyVXRpcUlvZHlCbk9zSkRCb1BoVGlsbGloRGlvSlJ5bmNWaVNTcTFRRzlDN2RwUnZqb1A2eElCMGRuRHd3T2RPOXlQKzVwSG9VNnRFQVFFQkxnN1BLcEFVdFBTY1BiY2Vaak1NZGkyWTZlU2xaWGRWZFhwdnFoWk02SmJmSHo1cnZGeXM3bFpETGZ1Tk1SOEpGZFZwSHpNcXpMbEp2T1JYRlZSODlGVlJxUHh2d0FlbDFKT01wdk5ZOXdkRHhIZG1saVVJcXFZY3FmdnRSUkN0QlJDQURrdnFqODJHQXo5eldiekJyZEdCOEFqd1BhR2tPam83ZU9OOThhOGpTNmRPaUl3TUFDNXNSTGxKYVZFejhjZXdiKzdkTUtJVVdOeDdWcEdXKzhndklONGpIWjNiRGVySXV3MHhIeWtrcWpNK1ppWHUzS1QrVWdsY2F2a1kxUlVWQlZOMC9vcmlySWxPam82ZHlUWFlDbGxabVptNWtRM2gwZEV0ekRGM1FFUVVVRTJtMjFqY25KeUZaUEo1SkdXbGhab3RWcWpBQ3dHVUFYQW1xaW9xRWJ1aks5MjdkcStpcEJQQ3lHVWh4L3Nnb2U2UG9BcVZRTDVncHVLSklSQVlFQUFPbmU0SHc5MjZRd2hoS0lvU2ovN292NjNMUHRPUTc4SUlXb0xJUWE3WTZjaDVpT1ZWR1hOeDd6Y2xadk1SeXFwV3lVZmJUYmJLQ0hFYkNubEVnQm8yTEJoQUlDN0FWaTl2THhXR3d5R2J3djdMekl5c282N1l5ZWlpbzFGS2FJS0tEWTJOdTM0OGVQSkFLeEhqaHhKaVkyTk5abE1waGNBZkM2RThKUlN2dUxPK0R3RGE5U0FFTjQ2blE2UlRadkF6NCtiQ1pGcnZMMjlvWTlvQ2s5UFQwakF3OE1qb0lhN1k3cFI5cDJHRGdnaFFqVk5lODVrTW4zdWpqaVlqM1NqS2xNKzV1WE8zR1ErMG8yNkJmSnhMNEFVS2VWUHlJazNFRGxGTlQ4aHhHTkYvYWZUNlRobmxZaUt4ZWw3WlNnOFBOelR5OHNyMkd3Mm43K1pmcUtpb2p5c1ZtdVRtSmlZR0FCYS92TU5HellNT0hMRWVSdlpKazJhMUR4NDhPRGx3dG9YeFdBd2RCWkNCSnBNcHZVM0V5K1ZIVTNUdmxRVTVTVUFUZDBaaDAzTHJxNVRkTjZlbnA0SXFWblJYak5SUlZjcnBDWjhmTHlSbVpubGFmUFNCUU00N2U2WVNxaEM3VFRFZktTYlVRbnlNUyszNXliemtXNkd1L1BSYkRZM0tlcWN4V0w1RmtCZzdtUDc2RU1PQVN5RzFXckZ0V3ZYYm1ndHVULysrQVBKeWNsbzFhcVY0MWg4ZkR3c0ZndGF0V3FGd01EQVlxOHZMNy85OWh2UzB0TFFzV1BIRWwxbnRWcWgwN0VVUVRrNFVxb01lWGw1ZlNtRVdPZnFMK3lJaUlnYUJvUGgvb2lJQ0tjL0NKcW12YWlxcXNsb05CYllpc1pvTkg3bzUrZTN4ejZFTnBmdzlQVDh6bUF3N0N6SnoxZ0k4UWFBOTExdFQrWFBack9sSUdmOUFlbk9PRlRGdzA4SzZGUlZnYisvdnp0RG9WdFFRRUFBUEhRZWdJQ3FRTDNWUGtGVmpFYmphdnViM25uSnljbk4zYjMxTmZPUmJzWXRubzk1VllqY1pEN1N6YWhFK1ZqcFRaMDZGUXNXTElETlppdjB2SlFTTDcvOE1rYU1HQUZOYzNtTWdNT1NKVXN3YWRJa3AyTnhjWEVZTldvVXpwNDlXK1IxbVptWkdESmtDSDc2NmFjU1ArZU4rT3FycnpCbnpwd1NYemQ5K25SMDd0d1pHUm1GNzNHeGZmdDJSRVZGNGZmZmZ5OXgzMUpLcEtTa3VQU2YxV290Y2Y5VStsaWVMR1hoNGVHT1Z5Q2FwbjJ1cXVvUGtaR1JIYkt6c3c4QWdJK1BqeFlkSFoxdU1CaVdBS2dLSUZBSVVVVktXVmNJVVEwQVZGWGREcUFMQUlTRmhYa0JlRmRLYWRFMHpTY3lNckl0QUdSbloxc09IVHFVbXAyZHZjekR3K04xWDEvZkpRQjZJYWRROVJ5QUZsTEtnU1VaS1VVVm4wNm42MkQvMGkwN2ZCSGQ3cmpURUZIRnhOd2tvdkppdFZxUmtwS0MxYXRYWTkrK2ZmamdndzlRdlhwMXB6WkNDUFRxMVF0anhvekJ3b1VMOGRKTEw1VkxiTW5KeWJoMDZSS0dEeCtPM3IxN1k5aXdZZkR3OEVEZnZuMXg1TWdSbC9wbzJyUXB2dmppaXpLTk15WW1CclZxMVlLM3QvY05YWC91M0RsRVIwY1hlczVvTk9LeHh4NXpxWjk1OCthaFJZc1dqc2QvL3Zrblhuenh4UnVLQ1FBNmRlcUVpUk81N245SnNTaFZpdlI2ZlpDaUtGZnlIMWRWZGFlcXFrQk81ZllJZ0VaQ2lMNEFZZ0VjQW1BUlFselFOTzJjb2loLzIyeTJrN25YK3Z2N0R4TkNoQUtvcGFycVQxSktJWVJRVkZWdEJpQTZMaTR1VHEvWHZ5bUUrTkJnTUlScm1uWlZTdmt4Z0dVV2kyVmhTZTlCU2xub3FLN1EwRkNmczJmUFpyTElWZm9LMjgwa01qS3lveERDYkxGWWtuTGJHUXlHVmtLSWlWSktUUWl4eUsxQkU5MEd1Tk1RVWNYRTNDUWlkOUxwZEpnMGFSTEN3OE14WThZTTlPblRCN05uejBianhvMmQyblhyMWcwN2R1ekE4dVhMOGNRVFQ2QmF0V3BsSGx2MTZ0V3hlUEZpdlBmZWUxaTllalhPblR1SDJiTm40K21ubjBaaVlxTExmWlJFVVJNNE1qSXk0T25wQ1VWeG5yaVRtcHFLWThlT29XL2Z2aVY2bnJ6Ky9QTlBUSjA2RmJDUERsTVVCUjRlSGdDQW1UTm5BZ0FHRFJxRXFLZ29BTUQ4K2ZPUm5wNk80Y09IQXdBdVg3Nk1kOTU1cDBDL21xWWhJeU1EOTl4elQ0R2ZweXZDdzhOditKNXVaeXhLbFNLTHhaSWNFUkhSVkZYVmYwc3BvelZOUzhnOXA2cXFBWUMvbEhKN25rcytOcGxNeTR2cVQ2L1h0MUVVNVQwcDVVU3oyVHdXT1lXSnpRRCtsWkdSRVdjd0dNS0ZFSjNzaGFSUGhCQ2RGRVY1QW9DdkVPS2cwV2g4SFRtL0tGYVp6ZWJMTHQ1R21NRmdxR3MybXgxejJLT2lvancwVFZ0WG8wYU5aQ0ZFMytqbzZPd2IrdzVSWVd3MjJ5aEZVVVpLS1hzRGFBY0FpcUk4SllUWVpEQVlmZ0p3V1FoUlgwclp4djVMZjRqSlpJcDFkOXhFbFYzKzNNeXowMUNhZmFlaFFxL1ROTzAxZCt6Q1IzUzdZRzRTVVVYUXAwOGYxSzFiRjNQbXpFSHQyclh4eXkrL0ZKak8xN0psUzBSRlJTRm5hV0JuL3Y3K2FONjgrVTNIY2ZyMGFmajQrS0JHalp4MTdMeTl2VEZseWhUY2RkZGRhTklrWjFXWVJ4NTU1S2FmcHlobnpwekJoUXNYVUt0V0xjY3hxOVdLTjk5OEUvNysvcGcwYVpMVCtsRjc5KzZGcG1sUVZSVzdkdTF5NnF0eDQ4WUlEZzYrN25OMjd0d1puVHQzQmdBTUdEQUE5ZXJWdzRRSkV3QUFLU2s1U3kzWHExY1B1WDhQcWxTcEFrVlJISS9QbkRsVGJQOXQyN2JGYTYrOVZvTHZBdDBNRnFWS2x4WWJHL3VuMFdqOFdnalJ6V0t4ZEFHZ2hZV0ZlUVVFQkt3RzRLR3E2cGV1ZE5Td1ljTUFJY1JxS2FYSmJEYS9oNXloaU05TEtUdHJtdGJ5MEtGRFdRYURJUnpBNjNtMkdRNFVRdFNTVWg0SDhJSWpLRTM3RWNCbHZWNy9xcUlvQlZiZGxGS2VNSnZOUzVFejFGUUI4QktBZCsybmhaUnlzUkRpUVFDcm9xT2ozYnFXVVNYbHRKc0pjbjRPbXdEb2hSRHRBUGhLS1JNQmJCQkNURGVaVEx1Szc0NklTa21ST3cwQktISmN1RTZuZTdzOGd5UzZEVEUzaWNodHBKVElmZi9WcGswYnRHclZDb3FpWU9USWtjak9kdjJ6Kzd2dnZodHIxcXk1cVRqV3JGbURXYk5tb1huejVvNFJRcmtHRGh4NHczM25XcjE2TmE1Y0tUQVJDSFhxMUhFVXVxU1VXTGR1bmFPSUk2WEUrUEhqc1hmdlhuVHQyclhBdFQvLy9ETUFZUEhpeFFYT1RaMDZGUTg4OE1CTnh3MEFSNDRjZ2Erdkx3QWdNVEVSNmVucDJMTm5Ed0FnSVNIaE9sZFRlV0pScXZSWmJUYmJNNnFxSGpBYWpSMU1KdFBPZ0lDQUNVS0kyZ0JhUlVkSHA3dlN5WkVqUjFJTUJzTWVBTjBOQmtNU2NoTGNCemt2dW40MUdBeFFGQ1U4T2pxNlVlNDFScU94TDRCbG1abVo3UTRkT25ReGY1OUNpT2VrbFBuSEZQb0EyQWxnYVo1akwwZEVSRXlKalkzTk1CcU5Dd0E4QzJDNXlXUjZEa0RocS9sUnNVcXltd2tBbUV5bVRRQTJsVXR3UkxjeDdqUkVWREV4TjRtb29ucjc3YmNSR0JpSW9VT0h3cy9QenpFOTdadHZ2bkdheXZiRER6OWc3dHk1bURwMUtobzJiRmlnSHc4UEQxeTllaFhmZmZkZGdYTi8vLzEzc1RFY08zWU1IMzc0SVV3bUUwSkNRdkRZWTQ5QlNvbmh3NGVqU1pNbTZOKy9QM1E2SGFTVTJMaHhZNG52TVRBd0VCMDZkTURHalJ0eDRzUUpwM09abVpsbzNyeTUwK2lydFd2WDRvVVhYb0NucHljbVRacUU3Ny8vSHQyNmRjUDQ4ZU9SdTR3TjdGUDZkdTNhaGZ2dnZ4OURoZ3h4SERlYnpaZzBhVktCWFFVdlg3Nk1YYnQyb1YyN2RpVytoNlZMbDJMWnNtV0FmZVFXQUF3Yk5nd29ac29odVFlTFVxWElhRFMrbXp2OVNrcDVWQWd4MG1nMGpnVHdnSlR5ckJCaWh0Rm9oSlRTcFIzdWJEYmJHenFkN2dsTjA1NUh6cFN1cndEMDFEVE5SMUdVcjJ3Mlc0bDJUelNiemZmbGZSd2VIdTdwN2UxOVNVcVpkNVc0WkNsbFZWVlYzekFhalViN29xR2ZtTTNtSVZ4UGlvaUlpSWlJYmxkV3F4VlZxbFRCMnJWcnNYdjNib3dlUFJxdFc3Y0djdGJnZFdwYnRXcFZBRURObWpWeDU1MTNGdHJmNmRPbjhkbG5ueFU0bnBXVjVaaU9sOS84K2ZPeGI5OCsrUGo0NExYWFhzT3p6ejRMTHk4dnBLYW1JalUxRlhQbnpzVzJiZHN3YWRJa3AybHRKWEgzM1hlalE0Y09qcUpPcnV6c2JEend3QU5PNnkzNStma2hPVGtaWDMzMUZmNzg4MC84K09PUDZOMjdOMGFNR0ZGZ1BhbHQyN1loTlRVVjdkcTFRNzE2OVJ6SGMzZlp1K3V1dTV6YUwxaXdBS2RQbjBiUG5qMHhiTmd3K1BqNHVId1BreWRQZG95NkdqRmlCRkpTVXZEcHA1OEM5dWw3UFhyMEtOSDNoTW9PaTFLbFNOTzBQNFFRdGp5UGhSQkNCZkFUOGxSa2hSQ1g3SThYR2d5R1R3dnJTd2d4eFdxMUxyWDNFNHVjb2hRMFRUTnJtdWFmbStDTkdqVzZ3OC9QVDlqYitRc2g0T1hsVlMwcUtzcUtuRjlvdHJpNHVJSmpMZ0Y0ZVhrOUNLQ0tFQ0x2dU5FTFFvZ0RBQ1pLS1RVQWI1ck41dW1sOTEwaUlpSWlJaUs2OWVoME9vd2FOUW9kTzNiRTJMRmpNWGp3WUV5Yk5nMGRPM1lzOHBxVEowOGlKQ1NrMEFYRTY5YXRpOTI3ZHhjNFBtTEVDQnc2ZEtqUS9xS2pvOUduVHg4OC8venpDQW9LY2h6MzkvZkhwNTkraW9VTEYyTEJnZ1VZTUdBQU5tN2NpQjA3ZGdBQUxseTRnTDU5KytLRkYxN0FzODgrVyt4OTVoM2RsTmVlUFh1UW1wcUtMbDI2T0k0RkJ3ZmozbnZ2eGZ6NTh5R0V3TkNoUTlHdlg3OUNyMSszYmgwQTRPalJvMDdIang0OWlzREF3QUxmb3hFalJ1RFhYMy9GeXBVcjhmdnZ2K09qano1Q1dGZ1lVbEpTc0hYclZzQStOVThJZ1crKytRWUFTbVg2WDFIM1QyV0RSYWxTWkI5TzdxRFg2enNJSVg2MFdxMTN4c2JHbnMxN3ptZzBRZ2l4VUVyNXEvM1FCd0NPQVZpRW5Dcjh3ZHkyOXFsL1FFNGhLMVFJNFp2NzJNZkg1NXlVMHN2ZUxyZjlIN2tGTUE4UGo3OEFoQlVXcjMwNjMwbXoyUnlkNy9oNEtlWFRRb2lkSnBPSkJTa2lJaUlpSWlLN1ZxMWFZZVhLbFZpOWVqWGF0MjlmYk52WnMyZmpvNDgrd2l1dnZJS25ubnJLYWRIdkd6Rm56aHpIcm5MNUtZcUNsMTU2Q2MyYU5jT0pFeWVjZHZ6YnQyOGZrTE9KbFZNeHF5UTJidHlJMnJWckY5aVo3dVdYWDhiV3JWdlJ2SG56SWd0UysvZnZSMXhjSEtwVXFZSzllL2M2bll1T2ppNTAwWGNQRHcrTUdERUN6Wm8xdzlpeFl6Rmd3QUM4Kys2N2FOS2tDZWJNbVFNQVNFOVB4NlZMbDNEeVpNNEc5dmZmZnorUU03WGJzZkQ4cFV1WGNPM2FOVWNoNjU5Ly9pazB4dHcxd1hKMzhxUHl3YUpVNlZMMGVyMWpJcXlpS1A3SXFiUUc2dlg2SUFDNGR1MmE3Y2lSSTJsU1NrVUlzY3RzTnE5Q3pxNTZid1A0eTJ3MnI4eTlQaUlpSXRSKy9kYmNZNnFxNWwvaytuRUFLbklLVmgyRUVNTUI5QU9RaEp3cGdHbUZCV293R0NLbGxEM3M3WjFFUjBmL1pUQVlaZ2toaGhzTWhxZnp4a1JFUkVSRVJIUzd1K09PT3pCbzBLRHJ0bnYvL2ZleGUvZHV6Sm8xQ3hzM2JzU29VYU1RRVJGeHc4L3J5aFEybzlHSW5KVlkvbDlzYk03bTNZMGFOWEtzc1ZSR0xaTUpBQUFnQUVsRVFWUVlWVldSWnlNdGg2TkhqK0xISDM5MHJNdVVWMmhvS0o1NTVoa3NYNzRjVzdkdXhiLy8vZThDYlpZc1dZS0FnQUJNbURBQlE0Y094ZEdqUjNIUFBmZmd4SWtUT0hYcVZMR2p0enAyN0lqRml4ZGo2TkNoT0hqd0lMcDE2K1pZTUwybzNmZSsrZVlieDhpc3JLd3NBTUI3NzcxWDVIUGtiZWZ0N1Yxc095cGRMRXFWSXFQUmVMZDl0Sk1USWNRZnVZbnQ1K2QzcEduVHBxMkVFTUptc3hVNnJTNC9LYVhlM285RkNCRm1uNlpuUWM0NlVkL25lZjRnNUN3Z3Q3MndoYzd6ZVU4SThZL1ZhdjI4c0pOWHJsd1pYYlZxMVllRUVKOUdSa2JHeGNURS9PRktyRVJFUkVSRVJKV2QxV3JGeXBVcjBhdFhyMklMUmQ3ZTNoZzZkQ2dlZXVnaHZQdnV1M2orK2VmUnExY3ZEQjgrSEY1ZVhtVVNXMEpDQXZ6OC9Keml5aTFLZGU3Y3VkaHI1ODJiaHhZdFdoUTRQbi8rZkFRRkJhRm56NTZGWHZmcXE2OWk5KzdkbURKbENzTEN3bEMvZm4ybjgzMzY5TUd4WThmUXRtMWJWSzllSGV2V3JjUGJiNytOYjcvOUZsNWVYazVUQWdzVEZoYUc1Y3VYdzkvZnY5aDJIaDRlZU9TUlIvRFVVMDhoUER4bmo2LzhhMG9sSmlaaTFxeFpCYVlMSmljbkF3QUNBZ0tLZlE0cVhTeEtsU0loeEdrQWpyR01tcWJkSjRUNFVrclpRVkdVZU9RTUNjd0VVTlhlM3FXaWxNMCs3bENuMDhGbXM5azBUYlBkekxCUG85SDRGSUR1VXNxM1kyTmpDeDFKZGVyVXFZekF3TUIrcXFydVVWWDErOGpJeUZiMjNXMklpSWlJaUlodWE3Lzk5aHRtekppQlM1Y3VGVHA2S0wrR0RSdGkrZkxsbURadEdsSlNVc3FzSUFVQUsxYXN3UHIxNjdGdzRVTGNmZmZkQUlDZVBYczZwcWNWSmpvNkdqdDI3SEFzMEo3WHRtM2I4TXN2djJEdzRNRkZGdUM4dkx3d2NlSkVQUC84OHhnOGVEQ1dMRm5pdEZoN3UzYnQwTFp0V3dnaDhPaWpqK0xycjc5R3o1NDlzWGJ0V25UdDJ0V2xRcEFyMHc2OXZiMnZ1N2g3dFdyVkNtMXo4V0xPdUk2UWtKRHJQZytWSGhhbFNsRjBkSFIyV0ZqWXljREF3TjBBSmtncC94WkNRRXA1VlVvNUJjQzdzYkd4Si9WNmZROHBwVlJWOWFnTDNVSlZWVVB1MTBLSVpxcXEraUJuZXVDZEJvUEJzVjZVbFBKZUlRUThQVDNiR1F3R1I4RkxVWlNUMGRIUmZ5Rm5EbkV0VGRQbUNTSGlGRVg1dUxqbmpZMk5OVVZHUnZaWEZHV2xxcW8vUjBSRWRJbU5qVDE1bzk4ZkluZElTRWpBMGFOSEVSNGU3dElmc3V6czdGdDJIdm1XTFZzUUdocDZVMFBDaWNvUzg1R0l5b0xOWmtObVppYTh2YjBMN1BaRlZGWjI3dHdKbEhCaGJXOXZiNHdlUFJxYVZucWJtaDgrZkJqTGx5L0h3SUVESFR2YTdkNjlHMWxaV1U0N0FoWTF3aWxYU2tvS2R1elk0YlFPRmV4L3U5OS8vMzJFaFlXaGI5Kyt4ZmJSdUhGanZQZmVlM2publhjd2NPQkF6SnMzRDNYcTFIR2N6NTA5MUw5L2Y2eFpzd1lEQnc2RTFXckZmLzd6bnh1Njk4SWNPM1lNQnc4ZWREcDI0Y0lGWEx0MkRldlhyM2M2WHFkT0hkeDMzLzl2VUorN0FIdmVuUUZ2VmxwYUdyS3pzeEVZR01qZlQwVmdVYXFVQlFZR0RwUlNHb1FReHdIVVJFNVJLVVhUdElaQ2lKVmhZV0gzQ1NGYUFqZ1VIUjE5MVpVK2hSQ2ZTU2sxS1dVYWdDVkNpTnovbTNzSklZYmtiNjhveXVxOGoyMDIyMlFBbzBORFEzMDBUVnNyaEtnaXBmeTN5V1FxdWxSdUZ4TVRzOXBvTk5ZR01FT24wKzNXNi9WUFdDeVdQYTUvUjRqS1QxcGFHdUxqNHgyZkNNSCtLZGFZTVdPS0hJcWNsODFtdzlDaFExRzFhbFdNR2pVS3ZyNitoYmE1ZHUwYXJsMjdoclMwTkNRbUp1TEtsU3RPL3o3enpET29XN2V1NDVxa3BLUWJ2aWR2YjIrWDU3VlBuandaM2JwMTQ1dGdxaEFxV2o2ZU9YTUdreWRQeHNpUkk1MWlLaXZNUjdwVnZmUE9PN0JhclhqLy9mY2RDekx2Mzc4ZnExYXR3cXV2dm9xd3NFTDN6eWxnNXN5WnVQLysrNTNXdFRsOCtERDY5KytQcFV1WE9pMlVmT0xFQ1N4Y3VCQ2pSbzF5bXBxVG1wcUtSWXNXWWVEQWdZWCtEc2kxZi85K0RCNDhHTXVXTFhOTTF5RXFTemFiRFQvOTlCTnExNjU5UTcvbkN5dE9XSzFXL1BMTEwxaTNiaDMyN2R1SG1qVnJ1dFJYUWtJQy92ZS8vNkY5Ky9hb1Y2OGVMbCsrakdQSGpxRlRwMDd3OVBSME9hWXJWM0xHTk9UOTBDZ2pJd052dnZrbVVsTlRNWGZ1WEpjV2FlL2F0U3NTRWhJd2ZmcDB2UERDQy9qd3d3OFJHUm5wMUNZZ0lBQTlldlRBc21YTDBLVkxGNmZpMmMyNGV2VXE5dS9mai9uejV6c2R6MTByYXRxMGFVN0hPM1hxNUNoS2FacUd2WHYzSWlRa3hHbUUxODE2N2JYWGNQTGtTZXpZc1lORnFTS3dLRldLd3NMQ0FnRzhDMkM1eVdRNnJOZnJhK0wvcCt5OW9LcnFub0NBZ05jQVBDMmxYSGU5L3F4V2E1S2lLQ015TWpJVy8vbm5uNDR0QXNMRHd6Mjl2YjMvWmJWYUx5aUtNajczdUtJb3ZRRjhaclBaR2dvaEx1VWVUMHBLeWdDZ1ZLOWVmYmtRb2hXQVlXYXorWGRYNzh0a01zMDBHQXcyQURNVlJmblphRFQyTnBsTTYxMjRsQ3FRZXZYcWVmdjcrOTkxOE9EQkl3Qks3K09aQ3VTNzc3N0Q5T25UOGNrbm42QlZxMVlsdmw1UkZPajFlbno2NmFmNDQ0OC9NSFhxVkRSbzBBQlBQUEVFRWhNVGNlM2F0V0tIUFFPQXI2OHZqRWFqVTFIcXdRY2Z2TzUxUmVuYnR5L2VlT09ORzdxV0tpN200L1dWZGo1ZXZud1pSNDhlUmQrK2ZURnk1RWowNk5FRHFhbXB4VzdqbmQ5enp6MkgxMTU3cmNUM1FoWGI3WkNQcmtwTVRNU09IVHZRb2tVTHB6ZWY1OCtmeDg4Ly80dytmZnE0MUU5U1VoSk1KaE9XTFZ1R2J0MjY0WTAzM2tDMWF0VWdwWVNtYWNqZEpScjJMZUtuVDU4T0h4OGZuRHg1RWsyYk5uV2NNNXZOK09xcnIvRHJyNzlpeG93WnBmYkdsU3F1V3lVZmQrM2FoU3RYcnVEeHh4Ky82YjZPSGoyS3paczNZOHVXTFVoTVRFU3RXclVRRWhMaWxDZkZ1WFFwNTIxZnJWcTFBQUEvL2ZRVEFLQkRodzRsaXVQOCtmTUlDZ3B5NUw2bWFSZzllalRpNHVJd2JOaXdFaFY4Ky9UcEEwVlJNRzNhTkF3Y09CQlRwMDUxK252NzU1OS9ZdTNhdFJCQ1lQdjI3Vml6WmcyZWZQTEpFc1VMZXlFdkt5c0xjWEZ4ZU82NTUzRHc0RUdzV3JXcXdJaXUvR3RLRldiNzl1MzQ1NTkvaWwxd3ZhUXlNek54K1BCaGRPM2E5YVozWGF6TStKMHBSWUdCZ1M4Q3FHS3oyZDVGemdnbk5mZGNiR3pzL3NqSXlBY1VSUWtCOEM4QTg0dnRETUNoUTRkU0FVeUxpb3J5TUJnTTFXMDJXelZWVmF0SkthdHBtaGFzMCttUzh4YUhqRVpqT25LS1lNbUhEaDF5R3BwaG43WVhCV0NleVdTYVVkanpTU25yQ0NGU0N6dG5OcHZuR0F5RzAxTEsveXFLc3JXd05sU3hCUVlHQnV0MHVyMEdnK0c0bEhLNW9paWJORTFMc0Znc0tRQnM3bzd2WmtrcHNYYnRXdFNxVmV1Nkl6Q0tJb1RBd0lFREVSWVdodEdqUitPbGwxN0NwazJiOE1namorRHExYXZ3OGZHQmo0OFB2TDI5c1dIREJzVEh4MlBxMUtrSUNBaEFZR0FnZ29LQ2lsd2ZvSFhyMW5qa2tVZWNqcVdtcG1MS2xDbDQrT0dIMGFaTm13TFhqQjA3OW9idW96RHA2ZW5GZnNwTTVZdjVlSDJsblk5R294SExseS9Ic0dIRE1ISGlSQ1FuSitQcHA1L0c0TUdEWFk0cDc1dmxtOEY4ckZncWV6Nld4T2JObTJHejJWeCtjeWlseE1hTkcvSFFRdzg1VGJVTkNnckNraVZMc0hMbFNzeWJOdy8xNjlmSGM4ODlWK0Q2bjMvK0daTW5UMGI3OXUweGV2VG9BdE9HMnJWcmgxbXpabUhFaUJIbzM3OC9waytmanNhTkc2TmZ2MzU0L3ZubjBhMWJ0MUs0YTZwSWJwVjhYTE5tRFdELzRQRm1iTml3QVJNbVRJQ2lLR2pUcGcyZWZQSkp0R3JWQ20rOTlSWU9IVHJrMURiM2IxcHFxdlBidGVQSGp3TUE3cnJyTGdEQXBrMmJvS29xMnJWcjUzSWNLU2twc0Znc1RvdVRKeVltNHZEaHczanl5U2VMTE5SY3VuU3B5TDluVHovOU5HclZxb1VWSzFZNGZUajE5OTkvWS9EZ3dWQlZGY3VXTGNPQ0JRdnd3UWNmWU1lT0hSZ3dZQUNpb3FKUXQyNWQ5TzNidDhpMW5YYnYzbzFseTVZaExpNE9HUmtaOFBEd1FFaElDTjU0NDQwQ2k1ZTdJaU1qQTNQbXpJR2lLT2pkdTNlSnJ5L0tvVU9IWUxWYVMvUUIyTzJJUmFsU1pCOVJ0RlZWMVhaR28xRUY4SlRNS1hGZlFjNHd6ME9Lb3F3QXNNSmlzUlRZcFM4dmc4RlFGOEFlQUZXa2xINUNDT2gwT2tncHBSRGlLb0RMVXNxTkFGd2FzUlFkSFgzQllEQzBOcGxNOFhtZVl4Q0FWZ0RTQURRUVF1aWxsRVdXajgxbTh3WUFHMHIyWGFFS1JoRkNSQUV3U2luSENTRXNCb05odjVSeW42cXErNk9qb3krNE84QWJ0V1BIRHB3NmRRb1BQL3d3WW1KaUhNZFBuejROQVBqcnI3K0tITUpjczJaTjFLNWQyL0c0WThlTytQenp6M0htekJuNCsvdmorZWVmTDNETmdRTUhjT1hLbFFMYjdSYWxidDI2QmJiSFRVaEl3SlFwVTlDb1VhTkN0ODRkTjI2Y1MzM245ZHR2djBGSzZiU1Y3NlZMbC9EQ0N5K2dUNTgrTG4vS1RlV0MrVmlJc3N6SDJyVnI0NHN2dnNCSEgzMkVCeDk4RUo2ZW51amZ2LzlOM0dueG1JKzNsRXFiajY2eVdxMVlzV0lGNnRhdGk3WnQyN3AwemZ6NTg3Rm8wU0ljUDM0Y3c0WU53N0ZqeDdCdDJ6YW5OZzg4OEFCU1VsSXdkKzVjSkNRa0FQWTM5TUhCd1FDQWlJZ0kxSzlmSHl0V3JIQmMwN1ZyVnpSbzBBQUEwS3BWSzh5ZlB4K2pSbzJDajQ4UE5FM0RpUk1ucmpzMS91elpzNGlKaVVHTEZpMGN6MFczakFxZGoyZlBuc1crZmZ2UW9FR0RBanZNbFZUNzl1M3g0b3N2b21mUG50ZGRYTHRCZ3daUVZSWHZ2LzgrdW5idENnOFBEMXkrZkJuZmZ2c3RJaU1qNGUvdmoxT25UdUhnd1lObzBhSUZBZ01EQysxbjNyeDVPSHIwS0FJQ0F1RHA2WW1NakF5WVRDWWtKeWM3clk4VkhCeU1KVXVXT0JXTDE2eFpnOWpZV1BqNCtPRHZ2Ly9HMGFOSDBhdFhyMkx2cjMzNzlvN0hlL2Z1eFR2dnZJUE16RXpNbXpjUGpSczN4dlRwMDdGKy9YcDgvdm5uZVAzMTErSHA2WWs2ZGVvZ0pDUUVjK2ZPaFkrUER4UkZnUkRDTVRLcVM1Y3VPSC8rUExwMzc0N1dyVnVqZWZQbThQYjJSbHhjSEhiczJGRWdqcUxXbEFLQVJvMGFZZTNhdFRoLy9qeWVldXFwVWgyUkdSTVRBeTh2TDdSdTNiclUrcXlNV0pRcVhkSnNOaDh5R0F5ekFEd2dwVXdGTURsM2h6dWRUaGNvaERpWm5aMzkrdlU2VWhUbHZIMHRxTXVhcGlWSUtTOXJtbmI1NE1HRC93Q3cza2h3WnJQNWZMNURIZ0Q2aXB4WHl5bFN5dThBbE43UURLcHdjbXFhQXZhZmVSQ0FEbExLKzRVUVNWTEt5d2FENFRjcDViS3NyS3lmRHgwNmxPWHVlRjFsczlrY3czRTNiOTZNelpzM0YyZ3pmZnIwSXE4dmJJcmN2ZmZlaTN2dnZiY01vcjB4R1JrWitQTExMd3M5MTd4NWM4ZWI4Yk5uejJMLy92MW8yYklsWU4vYTlyWFhYc09GQ3hjNGo3MkNZVDRXcnF6ejBkZlg5NFlLdm5reEh5dWZ5cHFQSmJGbHl4YkV4OGRqN05peEx2My8rZjMzMzJQUm9rWDQxNy8raFpkZWVnbXdqNno0N2JmZkNyUTllZklrcmx5NWduUG5jalp5M3JCaEErclZxK2RZUHlyL05jMmFOWE42M0xScFU2eGZ2eDQ2blE3cDZla0YrcytkNXJSeDQwWXNYcndZTVRFeCtPZWZuSlV2VnE5ZXphTFVMYWFpNTJQMTZ0VXhhdFNvVXRrOXIwcVZLbmoxMVZkZGFoc1NFb0p4NDhiaGl5Kyt3TmRmZncxTjArRGw1WVdvcUNpODg4NDdnRDNYdkx5ODBLbFRweUw3Q1FnSXdKNDllMkRmNEIyd0Y2QUdEQmhRWUpSay9sRkhWcXNWVzdac0FleC9UOXUzYjQ5Qmd3YTVGUC9PblRzeGN1UklCQVVGWWViTW1kRHI5WUI5WkhUUG5qM1J2WHQzL1A3Nzd6Q1pURGh4NGdRdVhyeUkwNmRQSXowOUhkbloyWkJTUWxWVmhJZUhvME9IRG9WT1Q5eTVjeWRXcjE1ZHlMUG55TCttRkFDOCtPS0wwT3YxTUp2TnBUNUYzMkt4b0dYTGxpNnZEM3U3WWxHcURKak41aTZGSGJlUGppcDBZUTJ6MmF6UCt6ZzZPam9id0x5U1BLL0paRm9PWUhrSjRwd05ZSFpKbm9OdWJVSUlpVHd2M3V3VUFOVUFWQk5DTkJSQzlQUHk4anBuTUJoV1NTbFhabVJrbkZBVUphVWl2d2hmdm53NVRwNDhpUmRmZkxIQTJqWDc5dTNEd29VTE1YejRjS2RGVmZQS1hVaHl3WUlGT0h2MkxONTQ0dzNISW85Ly9mV1hZK0hIdks1Y3VZS3NyQ3o4L252aHk3UHA5WHFudWVOcGFXazRmOTY1THB6Yjc5V3JWd3VjUTc2ZlUwWkdCcFl1WFZxZ1RVWkdCblE2bmRNSWtlWExsNk5seTVaSVNrckM2NisvamhNblR1Q2RkOTdCRTA4OFVXaXM1QjdNeC9MTHg3cDE2MkxZc0dGNDRZVVhIRVBvRXhJU3NHZFB5ZmZ0dU91dXUzRG5uWGN5SHl1WnlwcVByc3JJeU1Cbm4zMEcySXZBMTdONzkyNU1tREFCVmF0V3hjeVpNeDNGcFJZdFdoU1lzbnZseWhXc1dMRUNLMWFzUUxObXpmRDc3Ny9qbm52dXdhVkxsOUNyVnkvMDZOR2owT2svMTY1ZHc1UXBVL0R5eXk4ak5EUzB3SG9zaHc4ZnhxeFpzeEFURStPWTV2VHR0OS9pM252dlJZOGVQWER0MmpWOC9mWFhwVkk0b1BKVjBmUFJ5OHVyMk5GQnVSNS8vUEViWG5QcW80OCtLdlQ0d3c4L2pJY2ZmcmpJNnpwMjdJak5temNYdTM1UnYzNzkwSzlmUDJpYUJwdk5Ca1ZSb0twcWtlM3pldWFaWi9ETU04KzQxRGEvZHUzYW9WKy9mbmpxcWFjS0hSV20wK25Rc21WTHh3YzVOMkxJa0NFWU1xVEFQbUF1NmRxMWE0a1dobmZGekprelM3Vy95b3BGS2JyZGVFVkdSdllRUXRSeWR5REZrVkplRUVMRXU5QzBKS3JuemZuYzZTUjUvK0RuK2JxT0VHS1lFT0pWWDEvZnd3QU82UFg2V0p2TjlrdGNYTnpCQWoyNzBjbVRKL0haWjUraFVhTkdlUG5sbHd2OFViMXdJV2VFZC8zNjlXRXdHSXJ0NityVnE5aTBhUk4yNzk2TmNlUEdvVjI3ZHZqMDAwOGRXLzRXNXVXWFh5NzArSTRkTzV4Mkw5bXdZUU0yYkNoODl1dkNoUXV4Y09IQ1ltTUxDZ3JDN3QyN25ZN2xMdXFZOTgxOVFFQUE5dTdkaXgwN2RtRHUzTGs0ZCs0Y0prNmNXQ0hYM1pDYWhKZE9odVYrVW5hYllUNldZejUrL3ZublNFeE14SnR2dm9rSEhuZ0FvMGFOd2w5Ly9ZVUpFeWFVK0I1NzkrNk50OTU2aS9sWXVWVEtmQ3lKcFV1WDR1TEZpeTYxL2QvLy9vZHg0OGJCeDhjSDgrZlBkOXJZSTFkMmRqYjI3OStQLy8zdmY5aStmVHNpSXlNeGI5NDhxS3FLZnYzNlljeVlNWWlQajhmOCtmTXhkKzVjZE83Y0dhMWJ0MGF6WnMwY281cisvdnR2N042OUc3dDI3Y0trU1pQUXRtMWJ6SjA3RnovODhBTmdIOWxWdFdwVlJFUkVvRXVYTHRpeVpRc1dMRmlBSmsyYUFQWjFkUUNVK3B2TThzQjh2TDN6OFdaVnJWclZwWGFLb3BUcnFGMFBENDhiTGhpVmgxdnhkMFZsd2FJVTNWWkNRME9EaFJBZkN5R0tuN1R0WmtJSUc0QWsrNytsUWtxcFNDbTk4cTV0Z2p4LzdBdHBEd0RlUWdpRGxGS3ZLRXFtRUNKZXI5Y2Z5YlpKYzFxMkxQekNjcFNhbW9yaHc0ZERTb214WThlNi9DbFBVZDU4ODAwMGI5NGNZOGFNd2RDaFF6Rjc5bXk4OGNZYitNOS8vbE9nN2N5Wk0zSGl4QW5NbmwzNFlNT0FnQUNueDEyNmRDa3dNaUk1T1JralJveEE3OTY5MGJsejV3SjlYRzhJOGJadDJ4QVFFT0RZeWhiMlQ4aWlvNk14Y3VSSStQdjdZKzdjdVFXbVFWUVVBb0MzaDlKUFVaUjczQjFMZVdNK1hsOXA1bU5ZV0JoV3JseUpDUk1tWVB2MjdUaC8vandXTDE3c1dIZmkrKysveDdScDB6Qjc5dXpyamhJcGF0UUY4L0hXVlJuenNTUk9uejZOTDcvOEVvcWlRTk9LMyt4czNicDEyTHAxSzRLRGcvSEpKNTg0MW4zS3RXblRKbXpidGcxbXN4bWFwcUZUcDA1WXNHQ0JZNU9BdkFzM2QrellFUjA3ZHNUZXZYdXhlZk5tVEpreUJXbHBhUWdLQ2tMNzl1MHhkdXhZTEYyNkZQLzk3Mzh4Wk1nUXZQWFdXN0RaYklpSWlNQ1pNMmZ3eWl1dllPREFnUUNBUFh2MllNdVdMVTV2c0hOMzU3d1ZSMG94SDBzeEg3TndTK1VqMGUySVJTbTZyV2lhcHRoM1JheW9mNkJ5NHhKU1NwOGJYVCtzMEk2RkVGS1cvSVZ5bmsramRFSUlmd0FoUWtpZml2QWR0RnF0dUhidEdrYU5Hb1dHRFJ1V1NwL3QyN2ZIMHFWTHNYVHBVclJxMWFySVQ1RDgvZjJoMCtsY2VsNmJ6WVk2ZGVvVWVET2F1K0RyblhmZVdlZ2IxYUplZ0FGQVZsWVd0bTNiaG80ZE96b04wZGJwZEJnNGNDREdqeCtQQVFNR1ZOZzN3TGtVSVR5a2xMZmRSSHZtbzJ0S014OERBZ0l3YmRvMHJGNjlHZzBhTklCT3AzT01aanh4NGdSVVZVVlVWTlFOcmZ2QWZMeTFWY1o4ZEpYVmFzV1lNV09nS0FxZWZQSkpyRnExcXRqMlc3ZHVSVmhZR0diTW1PRzBJVUd1Z0lBQUJBUUVZUFRvMFdqYnRpMzgvUHl3ZCs5ZWJOaXdBZDI3ZDBkQVFBRGF0bTNyK09CbTQ4YU5xRmF0R2laTm1vU3NyQ3djUEhnUUZvdkZNZUl3TkRRVVgzenhCY2FQSDQ4V0xWcWdidDI2U0U5UHgrYk5tK0huNTFkc3JKbVptUUJ3eTY3bHdud3NtY3FRajBTM0t4YWw2TFp5L3Z6NVM5V3JWeDlTVWFmdlNTbkRGRVhwSjZWVUFJeVJVbHBLc2UvcVFvZ2xBSHp6SFFjS0tZRFlIMXVsbE1lbGxMOXJtbWFXVXU2T2pZMk5ydGRJM3hZQ3BiZGY2ZzBLQ2dyQ3NtWEw0Ty92WCtUVXVMaTRPTUMrbGsxOGZPRXpJaDk5OUZHbis2OVhyeDdHamkyZE5mODFUWU9tYWFVK0pIanQyclZJU0VqQVUwODlWZUJjdDI3ZHNHYk5Hbnp4eFJmbzBxVUw3cnp6emxKOTd0SWlBYVJuMmI3dzlWQ091enVXOHNaOGRFOCt3ajc5THIvWTJGalVyMThmT3AwT1ZtdlJud1VVdFVZSDgvSFdWaG56MFZVSERoekFIMy84Z1hIanhoWFlaajV2bTl5Ri9idDA2WUx4NDhjWFdlakp2OU1XN0FzUHg4WEZvWHYzN3Jqenpqc3hhOVlzeDdsVnExYmhubnZ1UVpzMmJlRHA2UW1qMFZoZ0Y4M2NSWkZMNnVyVnEvRDA5THdsUjBveEgwczFIOHR1aTFVaUtoVXNTdEh0SmpNbUpxYjRqd0hkU0svWGR4QkM5QUxnTGFXMFdDeVduMHFyNzRpSWlGQlZWUjNqOHZNdEhnazR6OXUvSXFYY0pLVmNwV25hb2N6TXpJUWpSNDZrbEZZc3BTazRPQmp4OGZIWFhSdW1zRVdKYzNYcjFzM3B6YWJOWm9PVTBuSHN4SWtUT0hEZ2dOTTFaOCtlUlhwNmVvRlBsZXZYcis4MEdpSjNsNkNrcENRY09YTEVxZTNWcTFjQit4YngrYytoaUo4UjdJdS9MbG15QksxYnQwYWpSbzBLbkZkVkZlKzk5eDc2OU9tRGtTTkhZdEdpUllVdUl1dHVRaEhJc29ualIvOG92Zi9QYnhYTVIvZmtZMjdiMnJWck8wWmRwYVdsNGErLy9vS1Vzc0FDemZudDM3Ky9RR0dLK1hqcnE2ejU2SXJtelp1amQrL2U2TjY5Tzc3KyttdW5jN2xyUG0zY3VORng3SWtubnJqdXlLTUhIM3dRS1NuLy95M0p6czZHcG1sbzA2Wk5nYmFabVprNGV2UW90bTdkNmpoV3IxNDlmUFhWVjA3dExseTRnRnExcnY5NVlsWldGcjcvL252NCsvdGo2OWF0RmJZSWZEM014NHFmajBVVnlmS3kyV3c0ZnZ3NGF0U280ZEk2VHovODhBT1NrcElLN0lEbmJxbXBxZmp2Zi8rTGdRTUhGdGpBNU96WnM1ZzBhUkplZSswMU5HM2FGREV4TVpnL2Z6N0dqaDFiNkdqSzBpYWxMUFpuY0NNV0wxNE1iMi92SWhkMFAzWHFGSDc0NFFmSDlHRzZlU3hLRWQxR2hCQmFucStCbkYvbUVrQTZnR1JOMCtLa2xJc3VYNzY4NmZ6NTh3WDNYSzZncWxldjd2U0NOcStkTzNkaTZ0U3ArT0NERDRwY1dEbi9tMHl6Mll4eDQ4Wmh6Smd4YU5teUpXSmlZdkRoaHg4VytrSTg3eG8yR1JrWjZObXpwOU9iNEtTa0pNQytKWFZSVzlRdVc3WU15NVl0Yy9GdWdSa3paaUFoSWFISW5WbGdmMUUvZE9oUVRKMDZGU05IanNUTW1UT0wzWW1GeWgvenNmenpFUUJHang2TnRMUTByRnExQ29xaUlDc3JDeU5HakNqMm50YXZYNDhMRnk0VW1rUE14OHFoc3ViajllaDBPcnoxMWxzRmpzK1lNUU9yVnEyQ3Btbm8zYnMzYXRhc2lUbHo1cmpVNStUSms1MUdISzVZc1FJblQ1N0VxRkdqQ3JUOTRJTVBFQm9haXI1OSt6cU8rZmo0T0xXeFdxMTQrdW1uMGFGRGgrc1d2RDA4UFBEKysrOGpMUzBOaXFKZzlPalJMc1ZNRlV0Rno4ZU1qQXdNSHo0Y1RaczJ4U3V2dkZKa3U1U1VGUFRwMHdkRGhneEIvLzdYSDdEMTIyKy80Y3laTTA1RnFkd1BacTduUnY2bVpHVmxJVEV4RVltSmlZaVBqOGVGQ3hkdzRjSUZQUHZzczA2NzQxbXRWc1RFeEJTNisyMWFXaG9PSERqZ2VMMmJtSmlJQXdjT09ENlV6U3MxTmRXeGRNWE5DQTRPaHIrL3YyT0gzbEdqUmptOXBzakl5RUJHUm9aTGZRVUdCaFpZR2lBNk9ob0JBUUZGRnFXT0hUdUdUei85RkE4OTlCQkNRME1MYldPMVdyRnUzVHIwN05uVDhiTng5V2VabDZxcXBWNTBxNGo0aXFnY0dBeUc5Z0JlQjlCTUNCRWlwWXdYUXV5eTJXd1RZMkppanJyUWhkRHI5UU1VUlhsWlN0bEVDS0VEY0VoS3VjQnNObjltSCtWYkdNVmdNTHdraFBnNE1UR3gycWxUcDY2Ym5YcTl2cDRRNG9nUXd0TnF0ZDRaR3h0N3R1UjNUQldZd1AvL2dVOEdZQUZ3QU1BK0tlVUJpOFZ5MnQwQjNnaEZVUnk3OWVTWHUwMTFZR0Jna1czeTI3VnJGeTVldkZoZ3lQOTMzMzFYYkI4UFB2aGdnV081dTQyOStlYWJCYVlrWEwxNkZZTUdEVUsvZnYzdzBFTVBGYmkyc0Jjd2UvZnV4ZHExYTlHclZ5OUVSRVFVZXgrOWUvZkd5Wk1uc1hyMWFnd2JOcXpJTi9Ma05zeEhGNVJtUGlZbEplSGd3WU5vM3J5NTQwVm8xYXBWQzUxMmw5ZVBQLzdvV0o4bUwrWmpwVklwOC9GR2VYbDVvWFhyMWhneVpBanExcTJMOWV2WEY5azJJU0VCcTFldlJ2ZnUzUkVhR29xb3FDaW44OXUzYjhmRml4Y0xIWW5vNStlSDZ0V3JGenRLTVM0dURxbXBxUWdNREx4dTNFSUlMRjI2RkJrWkdRZ0pDVUZTVWhMbXpadUhKNTU0QWpWcTFManU5VlJoVk9oODlQYjJocmUzTnhZc1dJQzc3NzRiWGJ0MkxiUG5ldkxKSjNINjlQVnZkKzNhdGFoWHI1N2o4YnAxNjNEbXpCbEhnU1k5UFIzSnljbElTVWxCU2tvS2twS1NpcHl5bTV5Y2ZFTzcwMTdQenAwN1M2WGYwYU5INC9ISEgwZHdjREEwVGNQYmI3K05yNzc2eXZHYVlQNzgrVmkrZkxsTGZXM1pzZ1UxYTlaRVhGd2NUcHc0Z2NjZWU4enAvSmRmZm9sbXpacWhRWU1Ham9KU3ExYXQ0T2ZuaC9YcjErT2xsMTV5dEZVVUJSNGVIb0I5MnZPSEgzNklEUnMyNE1NUFAwVHQyclV4Y09CQXhNVEVsT2hlQncwYVZPZ0dMNVVOaTFMbFl4YUFLZ0NpQWFRSUlhSUE5RlVVcFlmUmFHeGpNcGxpaTd2WVlERE1Ga0s4RHVBdkljUzNVc3BBQUoyRkVQTU5Ca056czluOFlyNUxoTUZnZUZRSU1RNkFzWWh1QzZVb3lpUUEzQSt6OHBKU3lsZ0EzMlJuWjMrdmFkcFpIeCtmZjZLam83UGRIVmhGOHNzdnY2QkdqUm9vamEyWUR4OCtEQUM0Nzc3N1VMOStmYWR6dVo4VzFhaFJvOUFGbXZOL01uTG16Qm1NSGowYU5XdldkSGxMM1JFalJ1RHk1Y3Y0OGNjZk1XalFJRXlkT3BVdnpDc081cU1MU2pNZjkrN2RDeWtsT25Ub1VLTHJrcEtTY01jZGR6Z2RZejVXT3N6SFBGNTk5VldYMjE2NmRBbUxGaTJDcDZjbklpTWpIVlBUYzUwN2R3NnBxYW5Zdm4xN2dXdVRrNU54L3Z6NUF1ZXFWS21DNXMyYkF3QjI3OTROMk5lcmNrWGVOK1ptc3htTEZpMUM0OGFObVd1M2xncWZqMlBHak1IQmd3Y3hZY0lFaElXRjRlNjc3eTZUNTNuNzdiZVJscFoyM1hiNS8vOWV0MjRkRGg4K0RCOGZIL2o2K3NMWDF4Zisvdjd3OS9kSDdkcTFVYVZLRlFRRkJTRW9LQWhWcTFaRnRXclZjTWNkZCtDT08rNXdhYXJoaldqWHJoMldMRmxTNFBqeDQ4Y3hlZkpraElTRVlQejQ4Zi9IM3AzSHgzanRmM2p1QUpBQUFDQUFTVVJCVkFEL25HZG1za2xpRFdwTk5hUlNpWGttMVZ0VnFyVmV1dEdybDI2SzduUkRXM3B2aTFMS1JaV3F0dHFpcUorcXRsUXBYU3d0V3BxWk1ZaWQyRXRDZ3V3ejg1emZIeWJUVERKSkpvdEp4T2Y5ZW5reHozS2U4NHg4TXpQZk9lZDdTcXdEbHpjNktTZ29DQk1uVHNSamp6MkdVYU5HNGNNUFA0UmVyMGVQSGowS3ZlY3VTczJhTlFIWGEvb0hIM3lBZSsrOTE3M1A0WERnbzQ4K1F0T21UZkhVVTA4VkduMDFmLzU4ai90cDBhSUZsaTFiQnJnU1Y3Tm16Y0xycjcrT2h4OStHQk1uVHNTZ1FZTjhHaW4yOXR0dm8xMjdkdWpldlR0aVltSjh1bytySFpOUy92R0N4V0w1RFlCN0tLcXFxaDhJSVo2VlVyNElvR0JTcWFBb0FJK2F6V1ozeXJkTm16Wk5EUWJENzBLSXdTYVQ2UU96Mlp3QUFQSHg4VGRxbXZhakVLSUpnR05TeW1RaFJJUXZuVFNaVFBGU3lvZUVFRTRBNVZ2TG02cWM4K2ZQbjZ0YnQrNXRPM2JzMkpQL1o1RThIVDU4R01lT0hjTWpqenhTSWNObE4yellnTkRRVURSdjNyeGM3YVNscFdIWXNHSEl6TXpFOU9uVFMxeDFLSStpS0pnMGFSTGVldXN0ckY2OUdnTUdETUNDQlF1S0hHNU0vc0Y0OUUxRngrUEdqUnVCVW55NGhhdGV4ZW5UcDNIcnJiZTZ0ekVlcXhmR1kvbWNQSGtTQU5Db1VTTXNYTGdRKy9kN253UXdkZXBVcjl1VGtwSUs3V3ZWcXBVN0tiVmh3d2FFaFlVVm01aHUxS2dSQmd3WWdEcDE2bmhzUDM3OE9BRGcrdXV2TCtWZFVXVzVXdUt4VnExYUdEZHVISVlPSFlySmt5ZmpvNDgrS2xNN2h3OGZ4b0VEQndCWGZhYno1OCs3cDhBYmpVYmNjc3N0WmU2anlXVEMzTGx6eTN6K2dRTUhzRzdkT3ZkSTRaOSsrZ2xIamh4QjU4NmQ4ZHR2dndINXZtQXRhTm15WlI3eGVQLzk5Nk5CZ3dhRkVsNW56cHpCcTYrK2lycDE2K0xERHovMGVEMWNzMllOMnJWclYreW82T2pvYUF3Yk5nd3pac3pBOTk5L2ovdnV1dzh4TVRHbFR1YTBhOWNPS1NrcEhyKy85dXpaZzl6Y1hQZm96d2NlZUtESVVYRkxsaXpCc1dQSFBMYTFiOThlOCtmUHg4aVJJeEVRRUZDb0hsZFJKazZjaUJ0dXVBRjkrdlFwMVQxY3paaVU4Z09MeGJMSnkrYi9BL0NzRUtLT2wzMEZQV1kybTVQemI5aTFhOWR4VlZVL0JQQ1dsUEkyMXlnc09CeU9lb3FpQkFJWWw1MmRQVFV3TVBCM0FMNGtwWFFBUGhaQzdBTndETUNWRzRkS2xlTEVpUk5aSjA2YzJGM1ovYWhJVHFmVDY1ejEvUEsrMWNqS3l2SW92RnFRd1dCQVVGQVFWcXhZQVJReDlhZTBqaDQ5Q3B2TmhtN2R1cFY2cm4vZXFuMTVIOFFQSERpQTVPUmtqQnMzRG0zYnRpMTAvTVdMRjVHZG5lMjFnTExCWU1ENDhlUFJzR0ZEWkdabThnTndGY0I0OUg4OFhycDBDUnMzYmtUcjFxMDlhbVdVeEdxMUlqMDkzZU5ETGVPeGVxbU84VmpSOGxhUTlUWmlJekV4RVhDTkVzaGYxeTNQZ1FNSDhOVlhYK0h1dSs5R2JHeXNlL3YyN2R1eGZmdDIzSG5ubldqZHVyWFg2Kzdac3dkSGpoenhXQUFoSUNBQVFnaWNQMy9lZlZ4a1pDUkdqaHhaNlB3ZE8zWWdKQ1FFelpvMUs5TjlrLzlkVGZGNDY2MjNZdno0OGVqUW9RUDI3dDJMNWN1WGUrelB6YzBGWE5QVzhoS2srZlh1M1JzN2R1ekF4eDkvN0hIOFcyKzlCUUNZTUdFQ0dqUm80SWM3OFM0bEpRVy8vdm9yTk8xeWJuRGZ2bjA0ZGVvVVdyUm80VjZ3cEtnYVNkOTk5NTNIbDBtMzMzNTdvWHM1Zi80OGhnMGJCcnZkanJsejUzcThIbDY0Y0FIdnZ2c3VEQVlEWnMyYVZleEl0RWNlZVFSTm1qVEJuWGZlV2VaN2pZaUlRSk1tVGZESEgzKzR0MjNac2dWdDJyUnhqNlpxMHFSSm9UcVZlWDcrK2VkQ1NTa0FhTjY4dWJ1R0pSV05TYWxLSXFWczVRclU3U1VkYTdGWWtvdllkUUdYcC9pNEMxMWN1SERoejZTa3BPc0FPSEY1UkpaUC9WRlY5U1VBSmlsbE55SEVTNzdlQjFGbDJyZHZIeDU5OUZHZmpoMHhZa1N4K3g5ODhFR01HREVDMzMvL1BabzBhZUwxRFhMQmVlWUZGUnpXKys2NzcwSks2WFVKZW04V0xWcUV0TFEwQkFRRTRNQ0JBM0E2bmU3aDJPM2F0Y1BYWDMvdDhXRjY4dVRKeU1yS2dzRmdnTlZxQlFEY2ROTk5SYlkvZE9oUW4vcEJWQlpWUFI3WHJWdUgzTnhjM0hYWFhVV2U4L0xMTDBPbjA2RkdqUm93R0F4SVMwdkQxcTFiQWNEalBNWWpYV3RhdG13SkFKZytmVG9TRXhQZGRWUE9uVHVIYjc3NUJoRVJFV2pWcXBYNytMUzBOR3pZc0FIZmZ2c3RkdTdjaVhyMTZxRlZxMVllU2FtREJ3L2krKysveDZlZmZvcUdEUnVpUzVjdTZONjlPOXEwYWVNK1p2WHExUUNBVHAwNnViZnA5WHEwYXRVS1M1WXNRV1ptcHZzRFkwRkpTVW5Zc0dFRDdyMzNYbjRncEN1bVY2OWVnQ3VCbXZlN1AwOWV3Zi9UcDA5N1RlaTJiOThlQXdjT3hNQ0JBOTF0Tld2V0RCOSsrR0dGOU8zMDZkUDQ1Sk5QeW5SdW5UcDEwTGR2WDdSdjN4NXBhV25vMHFVTGhnNGQ2cjdmdkZxbysvYnR3ME1QUFZUby9NOC8veHhSVVZGRnR2L1hYMy9obVdlZVFVNU9Eajc1NUJPUGFiZHdUYXY3NUpOUDhPeXp6MkxRb0VHWVBuMTZvWHAxZVlRUTdvUlVSa2FHTzRubXE1Q1FFT2gwT2p6d3dBT0lpUGg3TEVmZHVuWFJ0MjlmOStPalI0OWl5NVl0WHR2SXF5RUwxeGZMWDN6eEJSNTQ0QUVFQndlN2YvOWtaV1doYTlldVhzOGZNbVFJQmc4ZVhLcCtWeWRNU3ZsUlRFeE1nS0lvRFF3R1EyOGh4R1FwNVorWm1abStMV1hpWFVkYy9zRjNmNXZnU3pIemdveEdZMHNBNHdBc3MxZ3NQNWxNSmlhbDZLclF1SEZqakI4L3ZrTGFhdDY4T1ZKU1VtQTBHb3NzV0R4a3lKQmlwK2w4OE1FSDduOUxLWkdkblkyT0hUc1dtUnhXRkFXaG9hSHVOL2NIRHg1MEw3MHRoRURidG0xeDk5MTN1NDh2T0xvanJ6WU5YTVdhSDM3NFlYVHIxcTFVOTAxVVVhcHlQTUkxTFFJRmtrdmViTnk0MGYyR1ZnaUI1czJiWThpUUlSNGZ1TUY0cEd0TXExYXQ4TW9ycjJESmtpVll2SGl4ZTNTRXdXREFUVGZkaE9IRGgwTlJGQnc0Y0FBelpzekE5dTNiNFhRNkVSOGZqMG1USnVHdXUrNHFOR0o0d0lBQkdEQmdBSGJ1M0lrZmZ2Z0JQL3p3QXhZdlhveEdqUnJoalRmZXdDMjMzSUs5ZS9kQ3I5Zmp0dHR1OHpoMzNMaHhtREpsQ3Rhc1dlTWVYVkpRU0VnSXVuZnZqdUhEaDEvQlo0YXVSWnMzYjNiWFRnc0pDVUhuenAxeDY2MjN1dXNKNWRtelp3OGVlZVFSakI0OXVzUmFob2NQSDhhWk0yYzhSdlZ0Mzc3ZEk5bFJrdDY5ZTBPbis3c0N5NWt6WnpCdjNyeFMzTm5mV3JSbzRaR1FxU2hTU216Y3VCR1RKazJDWHEvSHpKa3pFUllXaHBNblR5STdPeHM1T1RudVA3bTV1ZWpmdno5bXpacUZZY09HWWNxVUtlallzU1BnU21xdFc3Zk8zVzZ6WnMzUXVYTm5QUDc0NHpoOCtIQ3AralIvL256VXJWc1hqUm8xQWx6Sjlzek1UTlNxVlF2SWwzRDY5dHR2OGUyMzN4YlpUdDVvcnQyN2QyUFdyRmxZc1dJRnBrMmI1djQvemZ0czBMTm5UNC9QQnRPblQ0ZmRYbVhLcFZVS0pxWDhSRlhWdjRRUURYRDVCekpYU2prK05UVjFhbG1TU0xnOFIvZ3VLV1ZmS2VWdXE5VzZ1YXo5aW8rUE4yaWE5Z1VBdThQaDRLczJYVlZxMXF6cC9zYW1vbmlyZWRHblR4K2Y1blhuWDhGTENJSC8vZTkvWGxmc3lsT25UaDEzalJzQUdEdDJMTjU4ODAwNG5VNElJVXFjOGxkVWZRNml5bENWNHhFQVhuenhSZlRwMDZmWWFUenZ2dnN1NEpxSzZIUTZZVEFZZks1bHhYaWtxOTFERHoza2RjUkRudjc5KzZOLy8vN0Z0dEd3WVVQazVPUmcyTEJoNk5HamgwOVRqMkpqWXhFYkc0dmh3NGZqOTk5L3gvZmZmKzlPQW4vODhjZllzMmRQb1FSMHk1WXR5MVVyaDZnODVzeVo0MTdJcGttVEprVW1uUEtTSTAyYk5pMnh6VFZyMXJqL3ZXblRKblRvMEFGZmYvMDFObTN5ckFLVG01c0xLYVhYWXVBOWUvYjBTRXJGeDhkWDJLZ3J1RVorclZ5NUV2SHg4V2pjdUhHWjJ2anV1Kzg4VnVBcjZYY0tYS01qcFpRWU9YSWt4bzhmais3ZHUrUEVpUlB1T2w0NU9Ubm8xS2tUT25mdWpDZWZmQklYTDE0RVhFbWdtVE5uUXEvWEZ6czZ1WEhqeHRpNmRTdW1USmtDS1NVeU1qS2cxK3ZkWDdTTkdqVUtBUERDQ3kvZzRZY2Y5dHJHMUtsVGtaQ1FBTGgrcDMzNDRZY1lPWElrSG4zMFVVeVlNTUdkVElOckp0Ty8vdlV2OStOWnM4b3pScVY2WUZMS2Z6NERVQTlBSXlIRVB3Q01yMTI3dGhvV0Z2YkV6cDA3VTB2VGtORm92RjlLdVVnSWtlRndPQXF2R1Y4S21xYTlKWVM0V2RPMFIydzIyNG55dEVWRW5zTEN3aEFXRmxhcWN4UkY0VFFEb2l2RTE3b3lPcDNPNDQwOUVma21MQ3lzek5PRmREb2RPblRvZ0E0ZE9yaTNDU0d1bWRXbjZPb3hiOTQ4YUpxR0NSTW13R1lyZWhIMXZQcEVKZFZidE52dCtPNjc3OUN3WVVNa0p5Zmo5ZGRmeDgwMzM0ekpreWNYU2o2OThzb3JPSGZ1SEQ3NzdMTmkyM1E2blJYMk9wWTNlbmpTcEVuSXpjM0ZLNis4NGs2a0ZGVlQ2ckhISG5OL3FhT3FLdDUvLzMwQVFJOGVQYkJwMHlaRVJrYWlUcDA2Q0FzTFEzaDRPRUpDUWlDbHhObXpaOUdxVlNzMGFOQUFRVUZCN2hweUtTa3BHREprQ05hc1dZUHUzYnZqNXB0dmRxL00yYTlmUC9kMTh4Y2kvK21ubjVDWm1ZbVJJMGU2azBDblQ1L0dkZGRkVjZpL3ZYdjNSdS9ldmJGbHl4WTgvL3p6dU91dXV6eFdBcHd3WVVLeFh4Z1gvQUpMVlZYTW16Y1BMNzc0WW9VczFGTGRNU25sSnhhTDVmVzhmMGRHUmdiVnFWUG5IU0hFaTY0ZjdBZDhhU00rUHQ0Z3Bad0M0Q1VwNVFrQTk5dHNObk5aKzJRMEd1OEQ4QnFBUlZhcmRYRloyeUVpSWlJaUlyb1c1SlZkS081THhQVDBkUHo4ODg4d0dBeDQ5dGxuOGZiYmJ4ZTU4dXQzMzMwSHU5Mk8yMjY3RGFkT25jTHJyNytPRjE1NEFjdVdMVVAvL3YzeDExOS9lVjBVdytsMElqVTExZXZxZEE2SHc5MVBwOU5aN01qOWdvS0NncUFvQ2pJek0vSHR0OTlpOGVMTEh4UGJ0R21ERVNOR29HN2R1dTdwaXlrcEtmajY2NjhMdFhIUFBmZTRWOS9MbndRS0RBd3NjbVR4bGkxYk1HYk1HRXllUExuUWxQbDY5ZXJoMDA4L2RVK3BLNG1tYWZqb280L1FyRmt6ZDlMcWp6LytjSy9VbHovNW5WL2VBaXQvL3Zrbit2VHBnODgvLzl6OS9NNmVQYnZJVlJZZERrZWhMNzZhTld1R1pjdVdsWHF4bzJzUm42RktrSlNVbEoyVWxEVGNaREwxRVVMMFZWVTFvcGhpNXNEbFh3SU5wSlFyQVB4RFNyazhOemYzcWQyN2Q1OHY3cHppcUtvYUk0UllLS1hjNjNBNG5pbHJPMFJFUkVSRVJQUzN6ejc3RE5uWjJaZzVjeWJXckZtREVTTkc0UG5ubjNjWE5jK1RsWldGdVhQbjRyNzc3bk92U2hzZkg0LzU4K2ZqaGh0dXdMcDE2L0RmLy80WG4zLytlYUZSZzBPSERrVkdSZ1lXTGx4WTZQcVptWm51YWEvcjE2L0hhNis5NW5QZnYvamlDMFJIUjJQbHlwV1lObTBhWW1KaThOZGZmNkZQbno2NDhjWWJBUUJQUC8wMDRDcDA3aTBwMWE5ZnYySUxuWmVGdCtSYlViNysrbXNjUG53WU0yYk1jQ2VGNHVQajBiSmxTNHdaTXdaTGx5NUYzYnAxUGM1SlMwdkRwazJiMEtKRkN6UnUzQmhKU1VsNDlkVlgzYXNqOXVqUkE1MDZkY0s4ZWZOUXUzWnQzSC8vL2U1emYvcnBKNlNrcEVCSzZURXk2dGl4WTJqUW9FR3hOVENKU2FuS3BBSFlBNkFaZ09ZQWlreEtxYW9hQWVBM0tXVlRLZVZUVnF1MUlpYlJQdzhnVEFqUldxL1hwNXRNcGtJSDZQWDY0eWFUQ1pxbTliRmFyVVZYZFNNaUlpSWlJaUtZeldZc1dyUUlxcXFpUTRjT3VPMjIyeEFhR29xWk0yZmkxS2xUR0RWcWxEdHhzWFRwVWx5NGNBRVBQZlNReHlpY3ZCVXZGeTFhaEtpb0tLL1RXSHYyN0lueDQ4ZmpsMTkrS2JTSVIycHFhcUdWS1ljT0hWcHNMYWhkdTNiaGl5KytjRDl1MjdZdDNuLy9mYlJ1M1JwZHVuUXB4elB5TjdQWmpBTUhEbmpkZCtUSUVjQTFZdXJjdVhOZWo3bnBwcHM4VnVqMEppMHREYk5uejhaZGQ5M2xVY3RKcjlkajdOaXhlUFRSUnpGMjdOaEN0WnlXTFZ1RzZPaG9oSWFHSWpnNEdCTW5Uc1FMTDd6ZzdtOVVWQlM2ZHUwS25VNkhNV1BHWU1LRUNlNlJXMjNhdE1GYmI3MkZ6ejc3REVPR0RIRzNPWDM2ZE96ZHU5ZWpLUHVKRXlkZ3NWamNqNTFPWjdIM2N5MWdVcXJ5Q0NsbEt3RFNicmNmTCtIWXVRQmFhSnIyengwN2Rxd3I0VmpmTGk3RUJnQmVJMEJLMlZzSUVRbGdQb0FNUlZGS3Q0UUJFUkVSRVJIUk5XYjM3dDBZUG53NFFrSkMzSVd5aFJBWU5Xb1Vnb09EOGZubm55TXpNeE5qeDQ2RlRxZERkSFEwQmc0YzZIVVUwTmF0VzdGbnp4NU1uRGpSNjdYdXZ2dHVmUGJaWjVnOWV6WTZkKzdzbms2WWtwS0NuSnljUXJXVGJyMzExbUpydE9sME9vK2tWT3ZXclFGWGtpZVAzVzczV04zdTZOR2pYdHM2ZXZTb1I3S2xidDI2cUZldkhqWnMySURseTVkN1BTZXZkdFdhTld1d2R1MWFyOGNNR1RLazJLU1V3K0hBMkxGamtaNmVqaDQ5ZW1EejVzMUlUMC9IcFV1WDNIL3ExNitQTFZ1MllPWEtsYmozM252ZDk3aHc0VUlNSHo0Y1AvMzBFd0FnSmlZRzMzLy9mYUc2WHAwN2QwWkVSQVFtVDU2TUNSTW00TXN2djhTY09YTlFwMDRkUFBiWTMrV2VjM056WVRhYmNjc3R0M2hNOVZ5NGNLSFgwVzNYTWlhbHJqQlZWYnRvbXBhelk4ZU8zL0p0MWhtTnhuRkNpT3NCck51MWE5ZVpmTWQzRlVJME5Kdk5pM0I1bUdFektlVjlBTlpYVkVJS2w3UFVTd0VzOWJiUFpESkZBb2gwT0J4dnNQZzVFUkVSRVJGUjBhU1UrT2FiYnpCMTZsUVlEQWJNbURHalVGTG94UmRmUkhaMk5yNzg4a3RrWldWaDBxUkorTWMvL29HYmI3N1phNXNmZnZnaG1qWnRpcTVkdTNyZHI5ZnJNWGp3WUl3ZlB4NC8vUENEZXdYY3ZPTHJWMktSZ09UazVHSlg2Y3p6NnF1dmVqd2VPSEFnWG5qaEJRd2ZQaHpEaDN0ZjhEMnZ5UGo0OGVPTHZPZVNyRjY5R3IvKytpc0FlRXhaREEwTlJjMmFOUkVlSG81bXpackI0WEJnMnJScGFOKytQU0lpSWpCMzdsd0VCQVNnWjgrZTdxUVVYRFd3Q2hKQ1lPellzWGppaVNkd3p6MzNJQ01qQTBPR0RNR0FBUU1RRUJEZ1BzNWlzU0FuSndlMzNYYWJ4L25EaGcwcnRGcnh0VDY5ajBtcEsweEtlYjFPcDV1cnF1b09JWVFaUUlDVThoWWhSRXNwWlpLaUtFL21IUnNkSFIwbWhGZ0RRSytxNm1tTHhmS3psTEt0cTUwV3FxcDZuVUluaEVnMW04MkQvSGxmUkVSRVJFUkUxeUlwSlpLVGs5MmpnZDUvLzMzTW56OGZ6Wm8xdzVRcFU5elQ3d3A2OWRWWGtabVo2UjVKWkRBWXZCWk0vK21ubjdCcjF5NU1talNwMkZYMGV2ZnVqVGx6NXVEVFR6OUZ6NTQ5b1NnSzFxeFpnMXExYXFGdDI3WVZlTWVYMWExYjEyT2E0ZkhqeHpGaHdvUkN4NDBaTXdhTkdqVnlQMjdZc0dHRjl3VUFMbDI2aElzWEw4SnV0d091dWsvSGp4OUhkSFEwR2pWcWhIcjE2cUZPblRxRmlvMWJMQlpNblRyVnZUSmlSa1lHQmc4ZWpLQ2dvQkt2S2FXRXcrSEFpQkVqTUhueVpQVHUzUnY5Ky9mM1NFZ0J3RysvWFI2VGtwZVUwdWwwYU4rK1BWcTJiSWtHRFJwVTJITlFIVEFwZFlWcG12YURvaWp2Q1NGNlNDbjdDU0gwQUE0Qm1DaWwvRjlDUW9KN1BPUytmZnN5VENiVDd3Q2FPNTNPZmE3end4VkZnUkNpdWF2MlZDRlN5alBldGhNUkVSRVJFVkhGeWNuSndSdHZ2SUh0MjdkRHA5Tmg4dVRKR0RKa0NHclhybzErL2ZwNUhWMlRSd2lCTjk5OEUxbFpXY1VtUUZhdVhJa2JiN3dSM2JwMTg5aWVsWlhsa2NReUdBd1lNR0FBRml4WWdFT0hEaUVzTEF5Ly92b3JCZzBhVkNnUmMrYk1HWVNGaFJWNXphTHFPRGtjRHZlL0F3TURQVVoyRmRWZVRFeE1oUmM2THlncEtRa3Z2L3d5MHRQVHNXWExGc3lkT3hlREJnM0MwS0ZEU3p4WFZWVXNXclRJWGR0cjZOQ2hxRjI3ZHJIbjVJMXkrK0tMTDVDZG5ZMGZmdmdCZXIwZVU2Wk13ZTdkdS9IMDAwK2pVNmRPQ0FvS2dwUVNQLzc0SXlJakk5MHJKd1lHQnVMOTk5OHY5aHJwNmVuUU5NMmpXUHExZ0VtcEs4dzEvZTBsSHcvWHpHWnp4L3dickZicllnQ0x5M3A5aThWU2ZDVTRMOHhtODkxbHZSNFJFUkVSRVZGMTlkSkxMMkhidG0wWVAzNDh3c0xDTUdyVUtLeGJ0dzYzMzM0N2xpeFpnckN3TUs5SkJVM1Q0SFE2NFhRNjRYQTQ0SFE2OGU5Ly94c2hJU0dGam4zdnZmZHc0Y0lGNU9ibTRzTVBQMFJZV0JpeXNyS3dmZnQyZE8vZTNlUFkvdjM3bzMvLy9nZ0tDc0pycjcyR3NMQXdQUHp3dzRYYUhEbHlaS251Yzl1MmJmampqejl3Nk5BaG9KZ0VsSy82OWV2blVZK3FLQ1d0Rk5peVpVdTg4ODQ3R0Rod0lBd0dBK2JObTRmZmYvOGRNMmZPeFBMbHkzSDc3YmVqVWFOR0NBb0tnc0ZnZ01GZ2dGNnZoOEZnZ0JBQzJkblo3ajlaV1ZtNDVaWmJvS3Bxa2RleldDekl6czdHUng5OTVKN2kxNzkvZndCQTM3NTljZU9OTjJMS2xDa1lQWG8wYXRldWphKysrZ3FIRGgxQ2NuSXlldmJzV2V5OXBLZW5ZK3pZc1FnTEM0UEJZRUJpWWlJQUZKcjZXZDB4S1VWRVJFUkVSRVRrZytqb2FMUnYzOTVkRjJqNTh1VllzbVFKZnYvOWQyellzQUhaMmRsZXo1TlNldng5MDAwM1lkQWc3eFZZaEJEdWxkMVdybHlKdExRMENDRVFGUldGd1lNSGV4eWJOK0pLMHpUazVPVGd0ZGRlUTJob2FLRTJ4NHdaZyt1dnY3N0krOXErZlR0bXo1N3RmcHlhbW9yNTgrY2pJQ0FBblRwMXdqLys4WThTbjV2aXZQRENDN2gwNlZLNTJnQ0E4UEJ3OTlTOFNaTW1vVldyVm1qVnFoVk1KaE9XTGwyS2JkdTJJU1VsQlE2SEE1cW11Wjl2YnhSRktURnhwTmZyVWFkT0hmenJYLy9DZ3c4K1dHaEVWVXhNRE9iUG40OWR1M2JoekprenFGV3JGbmJzMkFFQTZOU3BVN0Z0aDRhR0lpRWhBUmN2WGdRQUJBUUVvR1BIanJqLy92dEw4WXhjL1ppVUlxSlNjMHBIdWw3bzdKcFRjOC9GSnZKVlptWW1IRTRISU9GMFNrZDZaZmZuYXNkNHBQSmdQRllzeGlPVkIrUHg2dkRNTTg5NFRMMXIyTEFoWG43NTVYSzMrNS8vL01mcjlwOS8vdG1uOHhWRndZd1pNd3B0NzlxMUt4SVNFa284UHpZMjFpUGgxYU5IRDNUdjNyM1lxV1RSMGRFZWJkOTU1NTFGWHF0ang0NWV0NWZWb2tXTEVCd2M3SDdjcGsyYklsZm15MHRPQ1NIY2Y0cFNjSXBkYkd3czFxeFpVMmc2WkVINXJ6OTQ4R0IwNzk3ZHB4RlA2OWV2aDZacDBEU3R4R3RVVjlmbVhSTlJ1VWlaZXhveU9Ddlhic2ZaNUpUSzdnNWRaYzRtcHlBN093Y0FjcVRNUFYzWi9ibmFNUjZwUEJpUEZZdnhTT1hCZUx3NitGSU11N3FveXJXTjhpZWtTdUt0bUh4cGxDVlpsRmRMeWhlS29wUzdqMWV6YS9mT2lhak1UdXpmZjBZQ0dYYTdIYnNUOXlJcnkvc3daYUtDY25QdFNOeTdEems1T1FCa3pvbjkrN2xRUXpreEhxbXNHSThWai9GSVpjVjRKS0pyRlpOU1JGUVdEa2h0cVpSU1c3RnFOZjQwVzVDVm5WM3NuRzI2dGtrcGtaMmRqWjI3RS9ITmlsWFFORTBENUFJQURoOU9wK0l4SHFsVUdJOVhGT09SU29YeFNFVFhPazdmSTZJeXliMTBibFpBZVAxZTZSa1puWjRmL2hydXZLTWoyc2ExUWVORzF5SE1TM0ZGdW5aZFNrL0h5Wk9uc0hOM0luN2U4Q3N5TWpNaGdhMzJpeW4vcSt5K1ZSZU1SL0lWNC9IS1l6eVNyeGlQUkVSTVNoRlJHWjA2ZFNxelVWaTlwd3hTZkhMaDRzWGJWcXhhcmF4Wit5TkNRa0t1MlNKOTVKM2RZVWRtWmhic2RqdWtsQklTdnpuaEhIYnExQ2xXQWE0Z2pFZnlGZVB4eW1NOGtxOFlqMFJFVEVvUlVUbWMybWZiVjd0Rmk3dkRBOEltQ01qN2N1eTVocHdMZGdNQVhXWDNqYW9VSnlEdEFyQkxJZGRlY21TT09IL3c0TVhLN2xSMXczZ2tIekVlL1lEeFNENWlQQkxSTlk5SktTSXFsOVREaHkra0FzOUhSTVNNRHFtamo5Q2tvNTVPTWRTbzdINVIxZUhRWktaT3lPU004NDdrNU9SRUxuRjlCVEVlcVNTTVIvOWhQRkpKR0k5RVJFeEtFVkVGU1U1T1RFY3kwZ0VjcWV5K0VGM3JHSTlFVlFmamtZaUlxR2hjZlkrSWlJaUlpSWlxRlFsSExpQTFUV3F3TzdpWUlWM2JIRTRuTkUwRElLU0VNNmV5KzVNZmsxSkVSRVJFUkVSVXJXZ09uQUdRbTVPZGc1U1VsTXJ1RGxHbE9uOCtGWm1aV1JCQ09wMTI3VVJsOXljL0pxV0lpSWlJaUlpb1dqbWVuWFpLUU9SbVpXZmp3TUhEY0RpY2xkMGxva3FoYVJvT0hEcUU5UFIwU0luY0U0cjlXR1gzS1Q4bXBZaUlpSWlJaUtoNk9YRWlTNVBhV2szVDhOM3FINUNhbWxyWlBTS3FGSmxaV1ZqeTVYSTROUTBRK0JJSEQxYXA2WHNzZEU1RVJFUkVSRVRWamwzTGZqMUFDZTUyOHRUcHlBY2ZIWVNCRHc5QWJKc1lSRVRVUTNCZ1VHVjNqK2lLeWNyT1JrcktPZXpldXcrZkxWaUUwMytkZ1pSeTkwVkh4bXVWM2JlQ21KUWlJaUlpSWlLaWF1ZlUvdjBwMTBmSHZRZ2hwaDQ5ZHFMbDIxT21vMkdEK3FoVHV6WUNBZ01xdTN0RVYweE9UZzVTVTlOd05qa1pkcnNEVXNvalV0TmVPWC93NE1YSzdsdEJURW9SRVJFUkVSRlJ0WFJrbjIxbDgraTRuUUMrbEVEcmt5ZFA2VTZlT3Eyd2xBMVZiMUtURUE0aDRaQ1FQK2RxV1UrZDJyKy9TbGI4WjFLS2lJaUlpSWlJcXEyaisyeEhJaUppN3F4UlU5OUdFNklSZExLUjBCQmEyZjBpdWxJMEJhblM2ZHlUYlhmdVQwNUsvS3V5KzFNY0pxV0lpSWlJaUlpb1drdE9Ua3hQVHNidmxkMFBJdkxFSVl0RVJFUkVSRVJFUk9SM1RFb1JFUkVSRVJFUkVaSGZNU2xGUkVSRVJFUkVSRVIreDZRVUVSRVJFUkVSRVJINUhaTlNSRVJFUkVSRVJFVGtkMHhLRVJFUkVSRVJFUkdSM3pFcFJVUkVSRVJFUkVSRWZzZWtGQkVSRVJFUkVSRVIrUjJUVWtSRVJFUkVSRVJFNUhkTVNoRVJFUkVSRVJFUmtkOHhLVVZFUkVSRVJFUkVSSDdIcEJRUkVSRVJFUkVSRWZrZGsxSkVSRVJFUkVSRVJPUjNURW9SRVJFUkVSRVJFWkhmTVNsRlJFUkVSRVJFUkVSK3g2UVVFUkVSRVJFUkVSSDVIWk5TUkVSRVJFUkVSRVRrZDB4S0VSRVJFUkVSRVJHUjN6RXBSVVJFUkVSRVJFUkVmc2VrRkJFUkVSRVJFUkVSK1IyVFVrUkVSRVJFUkVSRTVIZE1TaEVSRVJFUkVSRVJrZDh4S1VWRVJFUkVSRVJFUkg3SHBCUVJFUkVSRVJFUkVma2RrMUpFUkVSRVJFUkVST1IzVEVvUkVSRVJFUkVSRVpIZk1TbEZSRVJFUkVSRVJFUit4NlFVRVJFUkVSRVJFUkg1SFpOU1JFUkVSRVJFUkVUa2QweEtFUkVSRVJFUkVSR1IzekVwUlVSRVJFUkVSRVJFZnNla0ZCRVJFUkVSRVJFUitSMlRVa1JFUkVSRVJFUkU1SGRNU2hFUkVSRVJFUkVSa2Q4eEtVVkVSRVJFUkVSRVJIN0hwQlFSRVJFUkVSRVJFZmtkazFKRVJFUkVSRVJFUk9SM1RFb1JFUkVSRVJFUkVaSGZNU2xGUkVSRVJFUkVSRVIreDZRVUVSRVJFUkVSRVJINUhaTlNSRVJFUkVSRVJFVGtkMHhLRVJFUkVSRVJFUkdSM3pFcFJVUkVSRVJFUkVSRWZzZWtGQkVSRVJFUkVSRVIrUjJUVWtSRVJFUkVSRVJFNUhkTVNoRVJFUkVSRVJFUmtkOHhLVVZFUkVSRVJFUkVSSDdIcEJRUkVSRVJFUkVSRWZrZGsxSkVSRVJFUkVSRVJPUjNURW9SRVJFUkVSRVJFWkhmTVNsRlJFUkVSRVJFUkVSK3g2UVVFUkVSRVJFUkVSSDVIWk5TUkVSRVJFUkVSRVRrZDB4S0VSRVJFUkVSRVJHUjN6RXBSVVJFUkVSRVJFUkVmc2VrRkJFUkVSRVJFUkVSK1IyVFVrUkVSRVJFUkVSRTVIZE1TaEVSRVJFUkVSRVJrZDh4S1VWRVJFUkVSRVJFUkg3SHBCUVJFUkVSRVJFUkVma2RrMUpFUkVSRVJFUkVST1IzVEVvUkVSRVJFUkVSRVpIZk1TbEZSRVJFUkVSRVJFUit4NlFVRVJFUkVSRVJFUkg1SFpOU21MUURIQUFBSUFCSlJFRlVSRVJFUkVSRVJFVGtkL3JLN2dBUkVWRWxVVlJWZlVvSU1mMzgrZk4xa3BLU3NuMDVxVzNidHJmcmRMcFJVc3IyQUVLRkVNY0JmSjJSa1RGKzM3NTlsNjU4dDRtcVBjWW1FUkhSTllJanBZaUk2Rm9qVkZXOTEyUXliUmRDekFFUTdPdUpScU94bjZJb0cxMGZlbjhSUW53anBRd0M4RXFOR2pWK2k0dUxxM0ZsdTA1VXJURTJpWWlJcmpFY0tVVkVGU0lpSWlZMHBJNCtRcFBPZWpyRndEZi81T2JRWktaT3lPU01jemtwS1NtVk8xb2hQajcrUmszVGZoUkNOQUZ3VEVxWkxJU0k4UFY4SVVRY2dQK2xwcWFPelJ1OTBhUkprK0Q2OWV0L0M2QzdUcWQ3R3NEMEszb1RQb2lJaUFuVjFkWHFHVFJkQk9PUjhxdEs4WmpmdFJLYlJFUkU1SWxKS1NJcWw0aVltTkFhbXY1MUFYRVBoQWhTcEFpU1F2SjNDN2taRkRnZ2xPelFpS0NjMEhwdDEyVW85amVURXhQVEs2TXZEb2VqbnFJb2dRREdaV2RuVHcwTURQd2RnTThmZkFITXRGZ3N5ZmszbkRoeElxdCsvZm9UQUhRSDBLRXlQL2cyYUJCWEk3ZzIvcE1YajFBazQ1RThWS1Y0eksrNnh5WVJFUkY1eHplcVJGUm1qYVBpbWhnMDhTbUFyaEJDMGV0MENBZ01nRTZucSt5dVVSWGlkR3JJemNtQncrbUVoR3hkUXpQY0ZCVFY1cm5qQjNjZDhuZGZMbHk0OEdkU1V0SjFBSndBb0twcXFjNHYrS0UzZjlPdXYzUEsyOGV5YWh3VjE4U2dWMllEOG00SW9laDBPZ1F5SHFtQXFoU1ArVlhuMkNRaUlxS2lNU2xGUkdYU3FGRjhpTjdnbUM4Z3VoZ01CblRwM0FtM3RJdEg0K3NhSWl3c3JMSzdSMVZJZWtZR1RwdzhCYk5sQjliOS9JdVNtMnZ2cnRQclAydlFJSzdYbVRPMkRILzJ4ZGVDeVdYUUVaZW5FTzIrUXUwWDYrOTRSQmVESVFCZE9uZEN1M2dWVFJvM1lqeVNoNm9Vai9sVjE5Z2tJaUtpNGpFcFJlUUhScU14VWdneEg4RHZGb3RsbEErbkJDcUtzdDVrTWhWM3pEbXoyVnpQeS9aU3Ixcms2dDgrSVVTQXcrRm9hclBaVHBSMGppSE0rYktRdURNb09BaHZ2VEVLM2U2NkUrSGhZUkJDbEhRcVhZT2tsT2g3MzkzbzBlMHV2UEw2bThqS3lyNDlxQlpHNHd6K1c5bDlLNi80K1Bqck5FMTdIVUN1cG1ueks2TVBlZkVZR0JTSThXK09aanhTc2FwelBPWlhGV0tUaUlpSWlzZlY5NGl1SUZWVkc2bXFPbFZSbEQxQ2lEdDhQVTlLNmRRMGJaT1Vjbm5CUHdCK2NSMW1LM0JhbVZjdFVoUmxnaEFpd05makd6VnFGS0lJMlY4SW9mVHUyUTMvN040Vk5XdUc4d013RlVrSWdmQ3dNSFRwM0FrOXUzV0JFRUpSRk9YUkprMmErUHh6V2hXWlRLYldtcVp0RWtJMEVrSTh2MlBIanBQKzdrT1RKazJDOCtMeHJqczZNaDZwUk5VMUh2T3JDckZKUkVSRUplTklLYUlyeEdReXpRQXcxQlZuQ1FEaWZUMVhDT0dRVW82eFdDd2JpbWozTGszVDNzamJWcDVWaTB3bVU3eVU4aUVoaEJPQVQ4Vm5Bc0xyMTRkQWtGNnZSOXZZTnFoUmc0dDdrVytDZ29KZ2pJdkY2clUvSVNjMzEyQXdoTlVIY0xTeSsxVVdScU54b0pSeXRoQkNwMm5hNDFhcmRVRmw5RU1HMWFrTElZTDBlajFpMjhRd0hzbG4xU2tlODZzcXNVbEVSRVFsNDBncG9pdEVTaGtqcGR3QW9KT1U4cDJLYUxOTm16Wk5wWlRQU0NsWFc2M1d6WG5iSFE1SFBRQjVxeGJkQk9Dc2owM3FBSHdzaE5nSDRHZGYrK0hVN0JHUU1pZ2dJQUFORzlRdjA3MlVSbnA2T3B4T1o1SDc3WFk3MHRMU0lLVXM4elcyYmR1RzlldlhsL244Yjc3NUJ1Kzk5NTVQeDM3MDBVZjQ5Tk5QaTl5ZmxaV0YxTlRVTXZlbHFydXVZUU1FQndjQkVnSE9RTDIzS2FoVm5WNVYxYm1Lb3N3WFFoeTIyKzIzVk9hSFhxSFQ2dVRGWTVORzExM3g2ekVlSzlhcFU2ZXVXTnUrcUFieG1GK1ZpazBpSWlJcUdaTlNSRmVJMCtuc1k3Rll1cG5ONWw4cnFrMkR3VEFHUUlDbWFSNTFQeTVjdVBDbnhXSzV6bXcyajAwc3hkTGVxcXErQk1Ba3BYd2VnTjNYODNTS29ZWVUwT3QwQ2tKRFEwdDdHNlUyYWRJazlPdlhEdzZIdyt2K1gzNzVCVjI2ZE1HNWMrZktmSTNGaXhkajFxeFpwVHJuaXkrK1FGSlNFZ0RBYXJYaWwxOStLZkVjQU5peVpRdCsvLzMzSXZlLy8vNzc2TldyRjA2Y0tMRzBWNUhTMDlPUmxwWldwai9wNlZkMmRmaXdzREFZOUFaQVFLZEFkN1ZWNFZaTUp0T1hRb2duQUh4dzhlTEZkanQzN3R4Wm1SM1NPNVdRdkhqMFIxRnp4bVBGbVQxN052cjI3WXVUSnl0dlp0bFZIby81VmJuWUpDSWlvcEp4K2g3UkZXS3pWZXdxUnJHeHNTMkVFQU1Cck42eFk0Y2wvNzZ5ckZwa05CcGJBaGdIWUpuRll2bkpaREs5VkpIOXJTaW5UcDNDanovK2lNY2ZmeHg2ZmRYNWxYWHUzRGxNbXpZTjZlbnBlT3FwcDRvOTF1RndJRGMzRnlFaElTVzJtNUNRZ0tWTGw2SjE2OVk0Y09BQURodzRVT3p4Tld2V2hMZUMrS05HamNMV3JWdDl1SlBDV3JkdWpVV0xGcFhwM09yT1pESzlBS0NQbEhLQ3hXSjV3NGRUcWhYR1k5bmlzU2k5ZS9mRzU1OS9qamx6NW1EQ2hBaytuMGVGWGV1eFNVUkVkTFdxT3U4b2lhaFllcjMrUlFCNnA5TTVzN3h0eGNmSEd6Uk4rd0tBM2VGd0RLK1lIbDRaYytmT1JjMmFOVEZ3NEVBQXdGOS8vWVdOR3pkNkhMTjM3MTRBd01xVkt3dlYwekVhallpT2p2YnBXa1ZOTjhyT3prWkFRQUFVNWUvQnBaczNYNTQ5R1I5ZmNxbXdMNy84RXRPbVRjT1dMVnNRR0JoWTVIRm56cHpCcUZHaklLWEVvVU9IOE4vL0ZyMFFscVpweU0zTlJXeHNMT2JQOTc2b1ZNT0dEZkhDQ3k4VTJqNTkrblJFUkVUZzBVY2ZMYlJ2M3J4NUpkN1B0U0krUHI2bXBtbVBLWXF5T2lFaDRaQnI4L05TeXB5Y25KenhsZHk5U3NGNDlLNm9lSHozM1hkOVN2Q3VXYk1HYTlhc0tYSi95NVl0OFgvLzkzOGx0bk90WUd3U0VSRlZIMHhLRVYwRm9xT2p3NFFRZ3dEczNiRmp4NC9sYlUvVHRMZUVFRGRybXZhSXpXYXIrRGtwRlNRcEtRbXJWcTNDNk5HajNSOXVqeDQ5aXBrelBmTnllZlZ0dk5XRkdUWnNtTThmZ284ZlA0N1RwMC9qdXV2K3JzdmpjRGd3Y3VSSWhJYUdZc0tFQ2U3UklhdFdyUUlBdlB6eXl4QkNJRHM3RzA2bkUzZmM4ZmNpaXpxZHp1Y3BSS21wcVhqdXVlZWdhUnBxMWFxRlZxMWFZZnIwNlFnT0xyd1kxb2tUSnpCeTVFZ2NQbndZZ3dZTktyTE5zTEF3OU9qUm85RDJqejc2Q1BYcjEvZTY3N3Z2dmtOYVdwcFBmYTd1bkU3bjY0cWl2Q3FsZkJCQXgram82REFBTFFCa0JBWUdmcW1xcXRmek5FMGJXaDFYK21JOGxqNGVlL1hxaFppWUdJOXRodzhmUm9zV0xZcThka3BLQ3VyVjh5enRGQjRlN2xPL3J4V01UU0lpb3VxRFNTbWlxMEJ3Y1BCZ0FHR2FwczBDVVBicXdaZEhLdHdINERVQWk2eFc2K0tLNjJYRis5Ly8vb2ZvNkdqY2YvLzl5TTdPeGhOUFBJRi8vdk9mN2xFUmVkYXVYWXZYWDM4ZEsxYXNLUFJoTHMrWFgzN3B0Vmh4NDhhTmNmZmRkd091a1JsZmYvMDFoZzRkNm40OGR1eFliTjI2RmQyN2QzZWZZN0ZZa0pDUWdONjlleVB2dzgvS2xTdHg3Tmd4REJzMnpIMWMvcEVjeFVsT1RzYXdZY09Ra3BLQ2p6LytHSGE3SFU4Ly9UU2VlKzQ1VEpreUJSRVJmeStrdUg3OWVvd2JOdzUydXgzVHBrMUR4NDRkZmJvR2xjbFdBSmRjQ3hZZ0tDZ29ISmRYeDZ3QjRMNmlUdExyOWFQODJVbC9ZVHlXUGg2am82TTlrbkFiTjI3RUo1OThnb2tUSjNwTkNoODdkZ3ovL3ZlLzhmenp6K09oaHg3eXFiL1hLTVltRVJGUk5jR2tGTkZWUUZHVUlRQWNkcnU5WFBNM1ZGV05FVUlzbEZMdWRUZ2N6MVJjRHl2ZXFsV3JzRzNiTml4WXNBQ0tvdURqanovR25qMTdNSExrU0V5Wk1nV25UcDNDakJremlqeS9UNTgrR0RCZ0FCNTg4RUhBTlFMbzhPSERIc2ZrNU9TZ1hidDI3Zy9CQUxCOCtYSU1IandZQVFFQm1EQmhBdGFzV1lOZXZYcGg3Tml4ME9sMEFJQmx5NWFoZHUzYUdEVnFsTHN1amRWcXhmbno1OUduVDU5UzNXZDZlam9lZi94eFpHZG40NE1QUG5CL2dIMy8vZmN4ZXZSbzlPblRCMDg5OVJUYXRXdUg5OTU3RDl1M2IwZDBkRFRlZnZ0dFhILzk5Y1cyYmJmYnZhN3M1WEE0a0oyZDdYVmZkbmFweTVOZDFTd1dTNXVpOWxtdDFtOEJ1SWVvdUVaWUNMOTFyZ3BoUEpZL0hnR2dmZnYyYU5HaUJkNSsrMjIwYmRzV0RSczI5TmcvYytaTU9KMU94TVhGbGFyZjFSRmprNGlJNk5yQXBCUlJGUmNYRnhjTklGWksrZVB1M2J2UGw3TzU1d0dFQ1NGYTYvWDZkRzhGZWZWNi9YR1R5UVJOMC9xNDN2aFhpbm56NWtHbjAySDA2TkhJemMxRmNuSXlIbmpnQVJpTlJuejExVmNsTHRGKzl1eFpaR1Q4WFd0KzRjS0ZIdnZ0ZGp1NmR1MksxcTFidTdmVnFGRURGeTlleE9MRmk3RjM3MTZzWDc4ZUR6NzRJRjU1NVJYM0tBc3BKVjUrK1dVY09uUUlUcWNUbHk1ZGNyZW5hWnI3Y1o2U1JtZUVob2JpeVNlZmhORm9SR1JrcEh1N3FxcFl2SGd4bm5qaUNZK2w3Ujk0NEFHOCt1cXJQaFdaVGtwS3dqMzMzT04xMzhtVEo0dmNsLzg1SVFManNVTGlFUUFDQWdJd2R1eFlEQnc0RUV1WExzV0xMNzdvM3JkNTgyYXNYNzhlUTRjT1JaczJSZVpqaUlpSWlLb1ZKcVdJcWppZFR2ZHZYSjZXc0x5OGJRa2hOZ0J3ZXRzbnBld3RoSWdFTUI5QWhxSW9oNzBkNXk5RGhnekJ5Wk1uRVI0ZWpybHo1NkorL2ZvZUgrREthOHVXTFVoUFQwZTNidDNjMityVnE0ZWJicm9KYytiTWdSQUNMNzMwVXFGaTRPZk9uVVBQbmoyTGJMZHo1ODRlajF1MGFGSGlhSTM3NzcvZi9lOExGeTVnKy9idDJMSmxDelp1M0lpMHREUkVSa1lpTWpJU216ZHZ4dkxseTdGNTgyYkV4Y1doZGV2V2FOcTBLUm8zYm93NmRlcWdWcTFhSGgrT216VnJodi84NXorRnJ2Zm1tMitpWWNPR2VPNjU1d3J0ZSsrOTk0b3NNRTNYTHNaaitlSngxYXBWMERUTjNXNlBIajBRR1JtSmxTdFh1cmZsRlpHdlc3ZXV4M1lBdU9XV1d3cU5xaUlpSWlLcURwaVVJcW9DVkZYdEtvUm9xR2xhb2FMalFvaGV1RnlnZFcxNXIyTTJtNWNDV09wdG44bGtpZ1FRNlhBNDNxZ0t4Yzk3OWVvRkFGaXhZZ1ZTVTFNeGE5YXNRaXQ1bGNkMzMzMkhSbzBhRlJvVjlQVFRUMlB0MnJWbzE2NmQxOVhwYXRhc2lWbXpaaFhhdm5EaFFodytmQmhqeG96eDJCNFNFb0xFeE1RaSs3Rm56eDVzMjdZTkJ3OGV4TzdkdTNIMDZGSEFWVnVuVjY5ZTZOYXRtM3NxejhXTEY3RnAweVpzMmJJRkNRa0pXTGR1bmJzZElRUSsvZlJUdEczYkZuQk4wYXRac3ladXZ2bm1RdGNNQ2dwQ3JWcTF2TzZyV2JNbUM1MVRJWXpIOHNYanVISGpvQ2lLUjlKNHc0WU5YdnN3WmNxVVF0dmVlZWNkSnFXSWlJaW9XbUpTaXFpU3VWYldXd05BTDZVY2tYOWZURXhNZ0pUU0tJUTRaN1Zha3lxdmw1WGo5T25UbURadEd2cjI3WXZiYnJ1dHd0cmR2MzgvMXE5ZmorSERoeGZhMTZSSkV3d1lNQUNMRmkzQzJyVnJDeFVqTmhnTVh2dXlkdTFhbkRwMXl1dSs0ajRFWjJWbFlmYnMyWWlNakVUTm1qWHg0SU1QSWo0K0hrMmJOblVmczIvZlB2ZS9XN1pzaVpZdFcyTGd3SUU0ZS9Zc2poOC9EcmltSGVWOUFJWXJLV1V3R0h4NlBvaDh3WGk4ckN6eENBRDkrdlhEeUpFalMzdytpSWlJaUs0bFRFb1JWYko5Ky9abG1FeW0zd0UwMXpUdGVGN3hYbHl1UDlKV0NCRUlZR09sZHJJUzVPYm1ZdFNvVWFoYnR5NmVmUEpKN05xMUMwZU9IRUZvYUNqZytpRGJ0MjlmQUhEWHFoa3laSWk3K0hGeEJidm56Sm1EV3JWcXVjOHY2TG5ubnNQbXpac3hjZUpFUkVWRjRZWWJiaWgwek5kZmY0MDllL2E0SDl0c05xU21wdUx0dDkvMk9PNjExMTRyOWo1TkpoTTJiOTRNZzhHQWdRTUhZdm55NVlXbTd1VG01Z0t1ZWpUNTJlMTJ0RzdkR2dzV0xDalVibVptSmdJQ0FqdytRT2R2THowOTNldSsvSFYvaVBJd0hqMmZDNVF5SHFXVUVJSjF1SW1JaUlnS1lsS0t5QThzRnN0WHhhd01wSm5ONW80QVlEUWFQUXFnV0szVzdXVlpVYWk0Vll1S1lqYWI3L2JoTUw5WnZIZ3hkdTNhQmIxZWozLys4NS91N1VPR0RFSFhybDA5aWhBZlBIZ1FQLzc0STdwMDZlSmVmV3Z1M0xsZTIxMjNiaDAyYmRxRTU1OS9Ic0hCd1Y2UENRd014UGp4NHpGbzBDQTgvL3p6bUQ5L1B1clhyKzl4ek5hdFcvSG5uMys2cC9Ka1oyZkQ2WFRpN05tekFJQXpaODdnd0lFRFBvMk15RCtpNmI3NzdpdFVCeXB2Qk1uMDZkTTl0ci85OXR2WXYzKy8xelpUVTFOeDl1elpJcGVWUDMzNmRKSDdXT2ljQ21JOC9xMjA4ZWgwT2lHbDVNaEZJaUlpSWkrWWxDS2lLaWtxS2dvZE9uUkFaR1FrcnIvK2V2ZmZ0V3JWQWdvVU1GNjdkaTErL1BGSFBQVFFRNmhYcng0QW9HL2Z2Z2dNRFBSb015VWxCWk1tVFVKVVZCUWVlZVNSWXEvZnVuVnJ2UFhXV3hnOWVqU2VmUEpKZlBEQkIyamN1SEdoUHVhdHhEVm16QmhZclZiMzQ1VXJWMkxjdUhFVjlHeVVqdDF1eDdsejU5Q3JWeSt2OXpsaXhBZzBhdFFJSTBhTUtMVHZuWGZlZ2QxdTkxTlA2V3JCZUN5N3ZCVUFLN0lHRjVFL3hjZkhOMHRJU0RoWjFFSXBKWW1LaWdvTUR3Ky9VOU8wUTFhcjlVQUY5S2RtYm02dXNuUG56dUtYL1N3Z0xpN09CTUJnczluK0tMalBaRExkQThCdU5wdC9BQ0RpNHVJYVY0WDZta1JFMXdJbXBZaW9TdXJZc1NNNmR1eFk1dlByMUttRHhZc1h3MmF6WWRLa1Njak56Y1hJa1NPUm5wNk8yYk5uKzdTRWUvZnUzWkdTa29KcDA2Wmg4T0RCbURKbFNxRTZNYjVvMHFRSjdyampEdVNmbWxtVUZTdFdZUFhxMVI3YjhxWUxkZWpRd1dONzNuU2hndmJ2M3crbjA0blkyRmhFUjBjWDJoOFFFSURRMEZDdisyclVxTUZDNTFRSTQvRnZwWTNIdi83NkMzQTlCMFFWUlZYVlp3QmNaN0ZZeG5qWlhWeEFPVngvaThqSXlNQ0NPNU9Ta25JQXVKZGdqWXVMcXkrbDNLV3E2c2NXaThXbm9tZ21reW5lYkRidnlMdFdTRWhJQklBMUFONEc4RjlmMmloS1hGeGNmVTNUOWhvTWhxOEFQRldhYzNVNjNYUUFOMFJGUlVVZFBIZ3dwOER1LzBncG5RQitNQnFOUTRRUU00eEc0NnRXcS9XRDh2U1hpSWhLeHFRVTBUVWlNakl5S0RRMDlQcGR1M2J0QTZENWNFcVZvV2thVHB3NGdYMzc5dUhNbVRNbGpxckljL2JzV1NRa0pBQUEvdnZmLzJMbnpwMFlQbnc0WW1KaWZMNzJRdzg5QkVWUk1IWHFWRHo1NUpPWVBIa3k3cnp6VHAvNkROY3FYSjA2ZFVLblRwMTh1bDdYcmwzeDdMUFBlbXliT0hFaUFPRDExMS8zMkQ1bnpoeWNQSG15VUJ0NXEzcTFhVlBxV1p6a0o1R1JrVUhoNGVGUk5wc3RrZkZZdmVNeHI5WlYvaW1PVkRtdTV0ZEJWVlc3Q0NIdU5wdk5MK1B5ejNJYkFGRUE5S3FxZGdEd2J5SEVYVTZuczR0T3B5dHloSS9ENFdocXM5bE9HSTNHNW9xaUhDbTRQenc4UE5abXMrM0tlMnl6MmM2cXFqcERDUEdHeVdUYVlEYWJWeFhYVDVQSkZBZmdUMVZWMzdGWUxLUExmK2VlYkRiYldaUEo5RDJBd2ZIeDhkTVRFaEwyK25LZTBXaHNKNFM0QThBelhoSlNrRkptQVFqRjVkSUpuNWxNcGlZQTNqZVpUSjNOWnZPREZYMGZSRVQwTnlhbGlLNFI0ZUhoOWZSNi9WWlZWUTlLS1JjcGlySkswN1FVcTlWNnFheEQ4cStrQlFzVzRPREJnemh5NUFpT0hEbmlMcFRjdW5YclFoK0NGVVVCWEN2TzVYZnMyREZFUmtiaS9QbnoyTE5uRC9yMTY0ZUhIMzdZNi9YT25qM3JybjlUVVAvKy9YSGRkZGRoeVpJbGFOKytmYkg5M3JadEc4NmNPWU1WSzFZZ05EUzBVREZrdUtielhIZmRkVjdQcjFHamhzZEtYd0RjdFhZS2J2YzJIY2poY09DSEgzNUF2WHIxeWxRYmlsUDMvQ004UEx5ZVRxZjdWVlhWUTFMS1JWTEsxVUtJczR6SHk2cExQQUxBcWxXckVCWVdocHR1dXFuWXZ0S1ZkN1c5RHVZbnBXd3FoSGpKYURRdXNGcXRWdGUyVzFSVlRRWVFEdUEzVGRObTZ2WDZkRTNUdW5scFlxd1FJdHJoY0tRVmFQY3hBSHNBTkJkQ2ZJWExDYkN1UW9pZ2ZJZFpwWlRKQUl3bWs4bWpVU0hFcndrSkNSZnl0ZmNzQUNtRStMUXM5eGtURXhNYUZCUjB5WmRqcFpSN0N2WW5QMDNUK2xpdDFtOXgrZmZTR0NubEFZdkY0clZmUW9nTUFIWHpUaldieldOTkpwTU5RRVJaN29PSWlIekhwQlRSdFVVUlFzUURNRWtweHdnaHJLcXEvaUdsL0YybjAvMlJrSkJ3dXJJN21HZjE2dFZJVGs1R1RFd01Ibm5rRWJScTFRcFJVVkdGUGdqQ05SMEhBR2JQbm8xMjdkb0JBTkxTMHJCMTYxWTg4c2dqcUZldkh1YlBuKzh4ZldiWnNtV3cyV3dJRGc3R3NXUEhzSC8vZmp6d3dBTkY5dWVPTys3QUhYZmNVV0svclZZckZpeFlnTkRRVUx6NDRvc0FnTDE3OTJMbHlwVUlEZzdHNmRPbmNmVG9VYTlMMWNNMTFlZlhYMy8xMkhiKy9Ia0FLTFE5YjFwUWZrdVdMTUdwVTZmdzdMUFArclRhMThhTkcyRzFXaEVjSEl5TEZ5L0NZckdVYTVvVytVNElvUUNJQjJCU0ZHV2NsTktzcXVvZlFvaHRRb2l0ak1lclB4NjNiTmtDcTlXS3h4NTd6R3RDakNyRlZmTTZtRjk2ZXZxU3NMQ3dkeFJGR1EzZzM3ajhPeVJWU3ZtZnJLeXNIL2Z1M1h0T1ZkVVhzckt5Z2hNVEUzODJHbzFQNkhTNitRa0pDWGFqMGRoYkNIR2JsUEwreE1URTlBSk43N0ZZTEgvR3g4ZW5TK21ldGJjSVFJUDhCN2xlVDhZWDdKZW1hZTBBL0FrQWJkdTJiU3lFZUJ6QUxxZlQyYkJ0MjdZTmNYbmFYSVNyamFadDI3YTkzZHY5S1lweXlXS3g3RWhNVE14V1ZYVkEvbjFTeWxCRlVlcElLWTk1TzFkS1dRZEFoaEFpcDhEMjdiaWNaR3NQb0RlQWZnQWNScU94VzI1dTd0WUN6MFdHbERJNE5qYTJ0c0ZnYUtwcFdsTXBaWDBoUkZOVlZUOTNPcDB6YkRhYnVlai9JU0lpS2lzbXBZaXVJVkpLSVlTQXVQenVzaGFBemxMS1RrS0lOQ2xsc3FxcTI2U1VDM056Y3pjbUppYm1WbVpmUC83NFk5U3NXZE9uWTF1M2JvMS8vZXRmV0xWcWxiditpMTZ2aDZxcWVQVFJSd0VBRVJHZVgzWTZIQTczc1NFaEliampqanNLVGRNcHpxdXZ2Z3Fucy9BWDYwODk5UlNlZXNxenpJWEJZTURTcFVzQjF5aVMyTmhZUFBiWVkxN2J0ZGxzWHFjQUFjQzc3NzdyOGZqY3VYT0ZwZ1JsWjJlamZ2MzY2TisvZjVGOXIxR2pobnUweDhXTEYvSDU1NSs3OXpWcTFBaURCdzh1OGx5cWVLNTREQmRDZEpaU2RwSlNYZ0J3VmxYVmJRQ1c1T1RrL014NExGNVZqY2RaczJhaFhyMTY3dnVteW5jMXZRN21kL0Rnd1J4VlZlY0JlRVZWMWVieWNnYnBzTVZpK2I5OGgvMG5JQ0RBWmpRYWd4UkZtYVJwMnQxeGNYRkRoUkNmQWZqUVlyR3M5T1ZhbHk1ZGF1NXdPRVRkdW5WckE3Q2ZPM2ZPbmJ5cFhidDJpOVRVMU1ONWoxMDFxSURMOGZRR2dDQUFzVHFkN3RlQzdRb2hIdFBwZE42RERVZ0FjRE1BUjRGN0VpYVRhYnVVVXArYW1ucHJVbEpTZHNFVFZWV2REK0FXcDlQWjJXYXpuUzE0V1FBekFQeG1zVmkrVWxXMU9ZQlZnWUdCUDduYWJRcWdxWlF5WGdoUngyQXduTWZmSXo0enBaUW5BQnpUNi9WY3FZQ0k2QW9wOVZMelJIVGxHSTNHem9xaUxKRlNCa2twKzFpdDFnMFYxWFpjWEZ3VHZWNmZDQ0FzMzdlaGJ2bEgxVWdwVHdKWUtxWDh2K3pzN01PS29seksvK1k4OGtaalp3aTVKRHdzck9GSHM5N0ZyYmZjWEZIZHJMYWtsTkEwRFVJSTkvU21LeVVwS2FsVTlXdWtsTzRQOUw0VW5DNnYzN2Y5aVJkR2pFTHl1WE5wa09pVHRMZmlmczZ2RnE1NDNBMGczTmQ0ZERxZHkzSnpjdzhVaXNlb3VGdGhFTitFaDRVMW5EbjFIZHpSc1VPaDlzaVR2K0p4NTg2ZHlNbkp3YzAzVjkzZmtkZFNQRmJrNjJCbGlJK1B2MUZLdVVkS09WSUlvWk5TdmlHRUdDV2x2Q2lFNkFqZ1lZZkRVZDltczJXNGFqdjlEQ0JRU25raU9UazUvc1NKRTFsNWJSbU54a2hGVVk1b21qWklVWlM5QUpvRCtEK0h3K0d1S2FXcTZnb0FOMWdzRmlNQWg4bGs2Z0ZnbGRQcGZIakhqaDFmNXU5YlhGemNQM1E2M1JZaHhCcW4wL2xPL24ydWtWSmZTeWsvMXpSdHJyZDd5eHNwNVcyZnFxcVBDaUUrQi9DZTJXeCtLZjgrbzlGb0ZFSWtBUGpPWXJIY1gvQmNrOGswRE1BTUtXVzh4V0xab2FycUFpRkVQNGZEY2J0ZXIvOVdTbmxjQ0hIY1ZaL3JKazNUK211YWR0eGdNQnhMU0VoSUtjTi9FeEVSbFJKSFNoRlZUWHJYZTYyS2JETWlmOHpudmZuTy84WTgzNzhiQ3lHR0N5R2VDd2tKMlFOZ3U5Rm90RG1kemswN2QrN2NWYWhsS3BFUXdxZlZ2aXBDYVFzcUN5SDhrb3dxU0hOcUNESTRPMVgwRDNwRmsxS2VGa0tjcWVCbUk2U1V1cnc0OUNVZWRUcmQwSkNRa0VRQTI5dTJiYnRMMDdRTmpNZXk4VmM4eHNiR1h2RnJWQlNwU1FUcVpWUVZEOGZ5cXNqWHdjSlpyU3NzSVNGaHI2cXEzU3dXeTAreHNiRzE5WHI5UHdBTUI2QURjRjVLT2RCbXMyVUFnTmxzdHNYRnhmWFE2L1cvQU5pVVB5R1ZuNklvODd4dGR5Vno3Z1V3T0c4VlBiUFovS09xcWwvcGRMcEZxcXBtNTQyOGlvK1BEOUUwN1RNQW1ibTV1Yy91MnJYcmVQNjJYTWxBU0NtUDc5aXg0N2ZTM3JmRllsbG9NcGtlbEZJT2lZdUxtNWh2TkpSUUZHV09sUEt2ckt5c0lVV2MvcFJyVmIxVnFxcUdBS2dONEEzWFZMeG1lUWVwcWpvS2dNbHF0YTZxNnZYRmlJaXFHeWFsaUtxbUVDSEVHMEtJQ3Z0V1ZrcXBTQ2tEQzlZWktxcnVrT3VOZVpBUVFwVlNHaFZGeVJGQ25ERWFqZnZzVG1uSnNFdU90S1J5VVFBRUd3elBDU0dxZENGWklZUVRRSnJyN3dvaHBWUUFCSHU1VmxISEEwQWdBRlZLYWRUcGREbUtvcHd4R28zN0hBNGtwRHMweGlPVml3QVFaRkFlVlJTbFZXWDM1VXFweU5kQkFFdlMwdEsrVFVwS1N2TjY4aFZpc1ZoK3d1VmFUZ0pBckpUeUxvdkZjalJ2djZxcXJ3RjQyZlZRQUtnQjRFRlZWZThYUW9RQUdHazJtei9PTzk3aGNOeHFzOWtTMnJadEc2M1Q2WGJoOGpkaTNRQk1sMUl1c0ZncytaTldtc1ZpZVZSVjFSb0F2bXpidHUyOU8zYnNXS2RwMnFkQ2lCZ0F6eFJNU0pXVnlXU0swelROWGNWY1NybGRTcG1vS0VxdmZJblRPQUMzQ2lIbUJ3VUYzWk0vb1NxRU9HK3hXRlk2bmM0SmlxSzBrRktlRTBKTUFMQTNPenY3ZjE0dW1TeUVFSEZ4Y1hWdE50djUyTmpZWm9xaVJDbUtjZ09BR3dCa1dTeVdOeXJpM29pSXlCT1RVa1JWaUtacHB4VkZPZTJxeWFCSUtZTjhPTTBuUWdnaFpla1RTZm0rTmRZTElVSUJOQlJDQm5QeUwxVUVjZmtiL3FyNjA1VFhMeUdsRE00YkxWQWhEVmRnUEVMUmFsVFpaNUN1S29vUWhvcDgzYWxxS2pUdWdMQWFOV3BjMmJuWUJaaE1waWdwWmRkTGx5NTlZVEFZSGdVUUpZVDRPZjhLZEpxbS9kTnF0VTdHM3lPVWpqdWR6azRBMHZSNmZaS21hUjZqSzNVNm5ST0FRNi9YTzZXVTBPbDBKZ0N6QVpnQmpHblNwRWx3Z1dsL2R3b2gvaWVsdkU1UmxLOGpJeU9qWExXNTVwdk41bzhxNmw2bGxQY3FpakplU3BtUnQ4MWI4dEMxdjU4UW9sK0JYVFlBSy9PbUdacE1wcWVsbFBXa2xIMFNFeE56bzZLaUFtdlVxQkdsS01vTlFvZ2JBSFJ4UFI4SkpwT3BZYjdQU0JjQkhKSlNicTZvZXlNaUlrOU1TaEZWSVRhYjdZQ3FxbzlJS2V0WGROdFN5Z2doeEh3QUlRVzJBMTdlN0xrZU82U1VCNldVZjJxYVpwRlNicmJaYkFtUk54cHZoOENERmQxSHVyWm9BREx0OWxraEJzUEZ5dTVMRVpvTElRYTdSaldObDFKdXE2aUdYZkU0enpXS0lmOTJ3SWQ0bEZMdTBEVHRWNXZObGhBWkZYY3pESUx4U09VaUFXVG1PajhMTVNnSEs3c3ZWMHBGdmc1V1pKTGFWMUxLOWtLSU9hR2hvVHVGRUtNQnZDMmxEQmRDREpSU1BnRUFkcnY5bktxcW96Uk5XNWgvV3FKZXIxY0JiTFNzZGdXWUFBQWdBRWxFUVZSYXJWdUt1NFlRNG95VWNoT0FrVUtJUGZYcjEzLzV4SWtUN21TVG9palRBWnhWRk9WZVRkTnVTMHBLK2lzc0xPeWhTNWN1WlpsTXByNmFwb1VYYkZOUmxOcXV0dU9NUnVQajNxNnIwK25XZWx2NVVFclp4R3ExbG1zMG1pdVpOMVVJTWROaXNXd0JnUER3OE40QWxydXVjUjdBY2RmLzl6WXA1UW9wNVVGTjB3NENxRzJ6MmZhVjUvcEVSRlE4SnFXSXFoYk5ZckVrQWtpczZJYmo0dUthNkhRNkxlOXhjVVZlcFpTcFVzcFZVc3FsbXFZbDV1VGtwT3pidCs5U1JmZXB1a3BMUzhPbVRac1FIeCtQeG8wYlYzWjNxaXhGcHlEWHFXemF2N3RxRmxhT2k0dTdWYS9YOTNkTjM3R1p6ZWFLWG5qQVBSM1FsM2gwT0J6TGhSQzJheUVlRHgwNmhETm56cUI5Ky9aRlRxM3lKajA5SGNIQndVWFdpN0xiN2NqSXlFRE5talZMMVc1KzI3WnRRMFpHQnU2ODg4NHluVjlWQ1VVZzF5a09WdFY0ckFqVjRIWHdKZ0NaUW9od0lVU3kyV3dlcTZycVFDbGxtc1ZpK1FvQVltSmlRb1VRa3hSRjJlaDBPdDFUNmN4bTgzY0F2dlBTWm51VHlWVFA2WFEyVVJRRkRvZmpwTTFtNjQzTHlad0VBRU1CZklUTHo1OEpRQnROMHdaWnJkYlRlVW1kblR0M3BnSkFuVHAxcHJpbXUza2xoTGhIQ0hHUHQzMmFwblVEa0Q4cEpYQTVwalZ2eC9zcUxpNnVocFR5S3lIRVNVM1RQbEJWdGFzUW9vMm1hVWxDaUhaU3lvT3VwSmVpcXVvRkFBY3NGc3ZudUR3VnNoT0FkU2FUYVpMWmJCNVhubjRRRVZIUm1KUWl1b1lJSWJSOC93WXV2L0dXQURMeC8remRlWHhVMWZrLzhNOXpaN0l2SUNRb0VOdW8wWmdBeWR5SldNVWlXaEVxN3FoVUVEY1EvSXBTRVVFQi9WVkFKQXFpSWtVVXRJSVFGelpsRVJwb1FhQ0FvcG1aSkJBSUlDQkxnQUFCSVpCbFp1NzUvWkhKbUdXeUVoT1d6L3YxNm92TXVlZWUrOHcwNTVYazhaem5BQ2NOdzhoVVNuMXk1TWlScFRrNU9XZWFNdGJ6V1U1T0RzYU1HWVB4NDhjektVVlZVaVZuMHdNVjVxT0llT2NqZ0ZtNXVibmZYTWp6OGRDaFF6Q1pUSWlNL0syMFdFcEtDaFl0V29RZmZ2aWhUa1g0azVPVHNYWHJWc3lkTzlmbmZhdFdyY0tvVWFPUW1wcUtpSWlJZXNXYmtwS0NmZnYyWFhCSnFZdkZlZjV6TUZFcFpTOHVMdjRoSUNCZ2tOVnE3YWlVc2dBb3RscXRONkFrOFpxTGt2ZmtYY2xsTXBrK3RGcXQrUUJ3OHVUSlhqdDM3anhwR0lab21nWVJlVXNwWldpYVZpbExxNVNhTENMenJGYnIvVGFiN1d1ejJmeUNVdXJJaVJNbnZ2UVZuSWpjVUZCUVVHbmkrZm41dFRhWlREWUE3eFVXRnI1VnhYdkxxL0RhSHlVMXI4NnF0cWJKWkJvc0lvbEtLYVZwMm5aUGN3R0FQbmE3L2FjeVhRMEFQNG5JVFNqWnB0Z0p3RGNpa3UxME90OC9teGlJaUtoNlRFb1JYVndFdi8waWZoS0FBOENQQUw1WFN2M29jRGgrcVhFRUltb1E0cG1Jbm45T0FiQjc1dU9QU3Fudkw1YjVPSEhpUkd6WXNBRXJWcXhBV0ZoWXZjZkp5Y25CeXBVcjhjUVRUelRKYVpKMDNqaWZmdzdxQUw0S0NBaTRCY0JjVDF0cFhhdi9vU1FKTXdJbDc2OXNMYVlkU3FsakFOQ3NXYlBTWkZVSVNoSlAxOW50OXF5a3BLUnJsVkpieXo3TWJyY3YxSFhkQVdCS1ltTGlDYVZVSHdERDkrelpVK2dydUxTMHRLTysyaE1TRXN3b1dRMTFPaXNyNjFBdDMydHpBSzZxbmxWYklySWV3SFFSMlFwZ3EyRVkyWjcvajMyZG52aHZwZFI0WGRjSEE1Z0lZSnZMNWVwV1hGemM2RnMxaVlndUp2eXRqZWppb3BSU0dRRG1PNTNPNVlaaDdBOEtDanFXbHBibWJPckFMa1MrdG9ZQXdKa3paeEFjSE96ekdsMDhsRktHcHhqdmZNTXdVcDFPNTk2TGJUN201dVppM2JwMTZONjkrMWtscEFCZ3hvd1phTmFzR1I1Ly9ISEFzd0pyelpvMTVmcHMyN1lOQUxCNDhXS0VoSlFyNXdXTHhZTFkyTmhhUGF1cXVWMVlXQWgvZjM5b1dxUFd2NmE2T1M5L0RyWnYzLzV5RWJsVUtaVm1zOWtXZW42SEYxM1g5NHJJTXB2TjlqUThXK3cwVFlQYjdmWitFN3BjcmtrWkdSa1ZDNXhmQ2dCRlJVVVZWeWlWWlNpbG50VTBiYTNKWkZxaGxOcGFWRlQwejkveGJaYjFCNlhVNGJNZHhHYXpyUU93cm1MN3RkZGUyM0xidG0zSHlyWVpockhDWkRLOUNlQjlwZFFDdDl2OWVFWkd4bWxkMTEvWGRiMm4zVzd2NEZsUlJVUkVEWWhKS2FLTFJGNWUzckdXTFZ0MlNrOVAzOHBmcWhySER6LzhnTC8rOWEvbDJuNzg4VWVNR0RFQ0V5ZE9STmtUaytqaWtwZVhkeXd5TXZJV3U5MmVlVEhQeDA4Ly9SUnV0eHR4Y1hHdzIrM2U5cnk4a3IrVDA5UFRxMHp3WEhYVlZRZ1BMNm1wdkdmUEhpeGR1aFFqUjQ3MEpwdCsrZVVYdlA5KytWMDNibmRKR2E5UFB2bWswbmpQUGZkY3JaTlMrL2J0dzhHREI5RzZkV3R2bTh2bHdyQmh3eEFhR29weDQ4Wnh0ZFk1Nkh6K09lam41L2NubEh3UDIwcmJyRmJyblFDaUFQVFRkWDJ6M1c2ZllqS1pkSlFrblVhNTNlNlhxaG15SFlDVFdWbFpOU1YrY3BSU2gwU2tyWWprbXMzbTVnQnlHK3A5VlVFQVdBRnNhNkR4VEltSmlRa21rNm1UVXVvbUFKMUU1QlNBRGlpcHcrVWZHQmc0Q01Dcm52NkZSVVZGejJWbFpaMUd5V3FyV0tXVStYejduaUVpT2wvd055YWlpOFQrL2ZzTDl1L2Z2NldwNDdnUTdOcTFDeXRYcnZSNTdkNTc3L1YrdldMRkNyejQ0b3NJRFEwRkFHemR1aFZEaHc2RmlGUlppSmt1RHA3NW1ON1VjVFNsZ3djUFl1SENoUUNBU1pNbStld3pjT0RBS3U5Lzc3MzMwTGx6WjhDekJUQTJOaGIzM1hjZkNnc0w4ZFJUVCtHT08rN0ErdlhsVDNGUFRVM0ZxRkdqc0dqUm9pcHJTczJkT3hmSGp4K3YxTjYyYlZ2Y2RkZGRnR2VsMU1LRkMvSHNzODk2WDQ4ZVBSb2JOMjVFdDI3ZGF2MFpVT002ejM4TzNneWdJQ01qWXlzQXhNVEVoQ3VsM2dId0g2WFVUQkg1ekdxMUdnQzZLS1YrQWZDdzJXdytVTTE0WFFHa1ZiR05EUUEwaThYU1QwUW1BSEFDZUJ2QUVKUEp0TmxxdFE2MjJXenpBYmdCSUNrcHFabmI3YTd5NUFBUkNVZkpLWHdCRm91bGVWWDlDZ29LM05uWjJhZDBYZitMaUVRQm1GTDdqOGMzWGRkbkFuaEFSRUtWVW9hSXBBUDRXaW4xYlZKU1VqUERNQjREOEFLQUt3QjhZeGpHVEJHWkd4Z1ltSktVbEhSM1dscmFHUUFKQUg0NDIxaUlpTWczSnFXSWlPcm9sMTkrd1dlZmZWYXV6VEFNRkJjWDQwOS8raFA4L2YwQnoxYWUrZlBuNDRrbm5zQ1dMVnN3ZVBCZ2FKcUdxVk9ub24zNzlrMFVQZEc1SVRrNUdZWmhJRGs1dVZ5UmN3Q1lOV3NXMXExYmgrblRwMWU3VWdvQWxpNWRpazJiTm1IV3JGblFOQTNUcDAvSDFxMWJNV3pZTUV5WU1BRTVPVGw0NzczM3FvemovdnZ2UisvZXZkR3JWeThBd0pJbFM3QnIxNjV5ZllxS2l0Q3hZMGR2VWdvQUZpeFlnSDc5K3NIZjN4L2p4bzNEOHVYTDBhTkhENHdlUFpwSlovbzlKQ21sTWdHNG82S2lnc0xEdytjcHBWcUxTQSs3M2I3VFlyR1lEY000YURLWjNnUFFUeW5WWGtSZUFnQ3oyZHpiWXJGc0IrQW5JcnZkYm5lbWlOeXVsSHJaVTB1cWpXRVl0M2orZzRuSllyRU1FcEhuUmVRYUFLdEU1TW0wdExTOWlZbUppelJOK3dyQWw3cXU3d2Z3NmZIang4Y2JobkZBMDdTUW10OENobW1hTnF5cWk4SEJ3VnNBSklySWFBQUZaODZjcWJ5a3NZNUVKTXRUVCtzN3BkUTZ1OTErSWpZMk5pd2tKR1NTWVJqZmlFaUlVbXE5VXVwSnU5MitCaVdKckdlVVVoOEQrTjVUVXlzV3dPaXpqWVdJaUh4alVvcUlxSTV1dmZYV1Npc3dQdjMwVTN6NDRZZUlpWW5CM3IxN0FRQmhZV0dZUFhzMnJyenlTb3dhTlFvaElTR1lObTFhcmJjSUVWMm9saXhaZ3ZYcjE2TjM3OTQrVnhZdFdWSnljbjFpWW1LTjIrQSsvZlJUbUV3bWpCdzVFc1hGeFRoeTVBZ2VlT0FCV0N3V3pKOC8zK2VxcDdKeWMzTngrclMzSmpSbXo1NWQ3cnJUNlVUWHJsMFJGeGZuYlFzSkNjSEpreWVSa3BLQ2JkdTJZZlhxMWVqVnF4ZUdEeC9PZWxMMHV6aHo1c3hmQXdNREV3RWdNakx5UXdDM0FyalhaclB0QkFDSHd6SExhclV1QlhERTdYWXZ6TWpJbUcyeFdOSTFUZnM3Z0NHYXBnV2paRlZmZjdQWmZGb3BkYWE0dUhoT1FFREF2UUQrSlNJdUFITUEzS3hwMnZ0S3FTeTMyLzIzOVBUMGVhV3JxZExUMC84WEd4dDdiVkJRMEhPYXByMEk0Tkk5ZS9ZVXRtalJvajhBdjdOOWp5Snl3bUt4M0FYZ3owcXAvMWV4NWxOOTJHeTJDUlhic3JPelQxbXRWck9JZksyVW1semhGRDdZN2ZaL1dhM1dYS1hVNndCNkFmakticmZQTzl0WWlJaklOeWFsaUlnYXdNcVZLM0hqalRkNnQrb0JRSjgrZlRCanhneTg4TUlMaUltSndlVEprM0haWlpjMWFaeEVUVzNidG0xSVRrNUdWRlFVQmcwYWROYmo5ZS9mSHdjT0hFQjRlRGhtekppQlZxMWE0Zm5ubjIrUVdBRmd3NFlOeU0vUHgrMjMzKzV0aTRpSVFMdDI3VEJ0MmpTSUNJWU1HWUpISDMyMHdaNUpWRkYyZHZhcDBoUDJYQzdYMjJheitVdTczYjY4YkIrbDFCdEtxVXN6TWpKT295UlI5VG1BejMyTmw1U1VwRy9ac2lVUHdLZWUvNGtuK1NTSmlZbjI5UFQwLzFVVFIzSjhmUHlVNHVKaUowb1NQMTgxNEZzVnE5WDZrdDF1OTcybnQ0SFliTForTlZ4ZkNtRHA3eGtERVJHVllGS0tpT2dzN2RpeEE5bloyZWpUcDArNTlqLys4WSs0ODg0N3NXVEpFcnp5eWl0TVNCR1YxSTJCbjU4ZjNubm5uUVk1aGJKSGp4NEFnRVdMRnVINDhlT1lNbVZLcFpQMXpzYVNKVXZRcGsyYmNpdWxBT0RwcDU5R2Ftb3FPbmJzeUlRVU5hck16TXhNQUprVjIrMTIrOGJhanBHV2xyYTNRbE5wYlNsVlZVS3FyS3lzclB6YVBxdU9sTTFtbS9nN2pVMUVST2NnSnFXSWlNN1NSeDk5aEJZdFdwUmJTVkhxbVdlZXdlclZxekYrL0hoODl0bG4zbnBUUkJjclhkZXhZTUVDRkJZV1l2SGl4VDc3bEc2Qi9mYmJieUZTdVg1eXk1WXRjZE5OTjNsZkh6eDRFSk1tVFVMUG5qM1JxVk9uQm90MSsvYnRXTDE2TllZT0hWcnBXbFJVRkhyMzdvMDVjK1lnTlRVVjNidDNiN0RuRWhFUkVWMHNtSlFpSWpvTFc3ZHV4ZXJWcS9IM3YvOGRBUUVCbGE1ZmV1bWxHRDU4T0Y1NzdUVzgrZWFiK01jLy90RWtjUktkU3lJaUlyQnMyVEtNR1RPbTJuNWp4NDcxMlo2WW1PaE5TaFVYRjJQRWlCRm8yYklsQmd3WWdNMmJOMlAzN3QzZXJiVGJ0MjlIejU0OUFjQmJPNnAvLy83ZVl1U0ZoWVZWUG4vYXRHbG8zcnk1OS82S0JnMGFoUFhyMTJQOCtQR0lpWW54Rmw4bklpSWlvdHBoVW9xSXFKNmNUaWZHakJtRDVzMmI0OEVISDZ5eTMxMTMzWVcxYTlkaTBhSkZhTjI2TlFZTUdOQ29jUktkaTI2NzdUWmNmLzMxUHErOSsrNjcrUGUvLzQzbHk1ZjdMQnp1NS9kYlRlV1VsQlJzM3J3WlpyTVpkOXh4aDdlOWYvLys2TnExSzZLam83MXRPM2Z1eE1xVkszSGJiYmQ1dHc3T21ESERad3dyVnF6QTJyVnJNWGp3WUFRRkJmbnNFeEFRZ05kZmZ4MVBQdmtrQmc4ZWpKa3paNkpWcTFaMStCU0lpSWlJTG01TVNoRVIxZE9ISDM2SUhUdDJJRGs1dWNZYU5tUEdqTUhCZ3dmeDRZY2ZRaW1GZ1FNSE5scWNST2VpZ0lBQW42c0xTNjhCUUlzV0xXbzhmUzhtSmdZMzNYUVRvcU9qY2NVVlYzai9iZDY4T1FEZ2xsdHU4ZlpOVFUzRnlwVXIwYWRQSDBSRVJBQUFldmJzV1NtT28wZVBJams1R1RFeE1lamJ0MisxejQrTGk4UFlzV014Y3VSSURCZ3dBQjk4OEFIYXRtMWJ5MCtCaUlpSTZPTEdwQlFSVVQyc1dyVUtzMmJOUXBjdVhYd2VhVjlSVUZBUTNuLy9mVHo1NUpQNDZLT1BjT1RJRVF3ZlBwdzFwb2pPVXVmT25kRzVjK2Q2MzkraVJRdWtwS1FnSXlNRHljbkpLQzR1eHJCaHc1Q2ZuNCtwVTZmV21CUURnRzdkdXVIbzBhT1lOR2tTK3ZYcmh3a1RKaUF4TWJIZU1SRVJFUkZkTENxdmlTY2lvbXBsWm1iaTFWZGZSZHUyYmV0VUkrcVNTeTdCakJremNNMDExMkRod29VWU1HQUFYQzdYN3hvcjBjWEVNQXpzM2JzWEsxZXV4Snc1YzJwOVgyNXVMdExTMGdBQXI3NzZLakl6TXpGa3lCREV4OGZYZW93K2ZmcGcrUERoT0hic0dBWU1HSURWcTFmWDZ6MFFFUkVSWFV5NFVvcUlxSTUrL1BGSCtQdjdZL0xreWQ0dFFtVWRQbndZQUh3ZWR4OFpHWWxQUHZrRUkwYU13TDMzM2x1clZSaEVGNUxpNG1JVUZSVlYyOGZwZEFJQTh2UHp2UVhKZlFrS0NrSktTZ3AyN3R5SjNidDNZL2Z1M2Q3QzVYRnhjWlcyM3BYV3A2cVlETjY3ZHkraW82T1JsNWVIclZ1MzRxR0hIc0lqanp6aTg1bTV1YmsrNXpZQVBQend3MmpkdWpXKytPSUwzSGpqamRXK1J5SWlJaUppVW9xSXFNNzY5ZXVISGoxNjRMTExMZ01BbkRwMUNtUEdqRUd6WnMyZ2xNS2FOV3RnTnB0eDlkVlgrN3cvT0RnWTc3Ly9maU5IVFhSdStQTExMekY1OHVSYTliM3R0dHVxdmY3V1cyOWgyYkpsT0hMa0NPTGo0OUczYjE5Y2M4MDFpSW1Kd2VXWFgxNnBmMVJVRkFCZzZ0U3A2Tml4SXdEZ3hJa1QyTGh4SS9yMjdZdUlpQWpNbkRrVExWcTA4TjR6Yjk0OFpHUmtJQ2dvQ0h2MzdzWDI3ZHZ4d0FNUFZCbFRseTVkMEtWTGwxcTlQeUlpSXFLTEhaTlNSRVQxVUpxUUFvQ3dzRERZYkRiOCt1dXZFQkcwYWRNR1E0Y09MZGVIaUVwMDd0elpXMlQ4YkxWdjN4N1RwMDlIczJiTmF0VS9MaTRPRHo3NElKWXVYWXBseTVZQkFNeG1NM1JkeDZPUFBncDRWak9XNVhLNXZIMkRnNFBScFVzWFBQUE1NdzBTUHhFUkVkSEZqa2twSXFvenQzTGxtOFhrTk53R3pwdzUwOVRobkJOV3JWclYxQ0djTjg2Y09RT1gyd1VvdU4zS2xkL1U4Wnp2WEdaMTJnL2lOTndHOGsrZmJ1cHdhblRGRlZmZ2lpdXVhTExuanh3NUVpTkhqcXgxLzk2OWU2TjM3OTYvYTB4TmlmT1JpSWlJbWhJTG5STlJuU2xWZkJBS0JjVk9KM0tQSEczcWNPZzhrM3ZrS0FvTGl3Q2dTS25pZzAwZHovbXV1RWpsbHM3SFE0ZHltem9jT3M5d1BoSVJFVkZUWWxLS2lPcHMvL2J0aHhWdzJ1bDBZa3ZXTmhRVUZEWjFTSFNlS0M1MkltdGJ0cWZRdFNyYXYzMzc0YWFPNlh5WHUzdnpVZTk4M01yNVNMWEgrVWhFUkVSTmpVa3BJcW9QRjVUeGxWTEtXTFIwR1g2eTJWRlFXQWlsVkZQSFJlY29wUlFLQ3d1UnVTVUxYeTlhQ3NNd0RFRE5BdUNxeGUxVVBYZnBmRnp4MzFXY2oxUWp6a2NpSWlJNlYwaFRCMEJFNTZjMmJkb0UrNGUzV2k2Q204UER3bkJybDg1SVRHaVB0bTFhSXl3MHRLbkRvM1BJcWZ4OEhEaVFnOHd0V2ZqdmQrdHc4dVJKR0VxdGQ1NDgwaTBuSitlY0xVcVdrSkJ3Zzlscy9sb3BGU2dpdlcwMjI3K2JPcWFxK0pxUENlM2pFUlhWbHZPUnlqbGY1eU1SRVJGZG1KaVVJcUo2YXhPYkVPc0grVmdFblVSRTgvZnpRM0J3TU14bW5xRkF2M0c2bkRoenBnQk9weE5LS1FXRi83bmdmbTUvOXVhTXBvNnRPdWRUVWdxZStlZ1ArUUNDVzBSRTgvUHpRd2puSTFWd3ZzNUhJaUlpdWpEeE4xVWlxcmVjN0l6c1M2Njg4cTV3LzdCeEFuVnZrYlBZcitoWHB4OEFVMVBIUnVjVU42Q2NBamlWcU5SVHJqTXY1dTNjZWJLcGc3clE1R1JuWkVkRXhONFhFaEU0WHFEdUxYWVcreFZ6UGxKbG5JOUVSRVIwenVCS0tTSnFFSkdSOGFIQkxjeVJobkpIbURTL2tLYU9oODRkTGtPZE1ZazZjaWJQZGVUSWtheno1c2o1ODIybFZGbVJrZkdocHBaR2hKOWhpdVI4cExMTzEvbElSRVJFRnlhdWxDS2lCbkhrU0ZZK2ppQWZ3TzZtam9Yb1lsZG1QdTVwNmxpSWlJaUlpS3JDMC9l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YkhwQlFSRVJFUkVSRVJFVFU2SnFXSWlJaUlpSWlJaUtqUk1TbEZSRVJFUkVSRVJFU05qa2twSWlJaUlpSWlJaUpxZEV4S0VSRVJFUkVSRVJGUm8yTlNpb2lJaUlpSWlJaUlHaDJUVWtSRVJFUkVSRVJFMU9pWWxDSWlJaUlpSWlJaW9rWW5UUjBBRVJIUk9jWnN0VnFIS3FXZUFSQU5RQ21sbGp1ZHprZTNiTm1TVjlQTnVxNS9KaUtQVm5INWJwdk50dFRYQll2RkVpMGlNd0Y4YjdmYlI5UW1VS3ZWT2gzQUFLWFVKM2E3L2FuYTNFTkVSRVJFZEs0d04zVUFSRVJFNXhDeFdxMXpBZHl2bE5vdElnVUEvRFZONitIdjc3ODJQajcraHF5c3JQd2F4b2hRU2hrQXZxNDB1TWpCaW0yNnJyY0JNRlJFbmdVUXFKVDZ2amFCSmlVbFhhdVU2bGVYTjBkRVJFUkVkQzVoVW9xSWlNaEQxL1crbm9UVTRvS0NnZ2toSVNIekRjTUlWRXB0MWpUdHo0R0JnYzhEZUtPR1lWb0NPR3EzMngrczZYbFdxL1U5QU05NmZoNm5BVWlxYmF5R1lVd1E0WUpuSWlJaUlqcC9zYVlVRVJIUmI1NVRTaW1YeS9WQ1FFQ0FHeVdybXdEZ0U1VHM0M3U4cGdGRUpBTEFrZG84VENrVnI1VDZEc0ROU3FrM2F4dWt4V0s1VDBUdVZrcE5yZTA5UkVSRVJFVG5HaWFsaUlpSUFMUnIxNjRGZ0k0aXNqa3pNM05YMld1YXBoMENrQzBpVjhmSHgxOVd3MUFSSXBKYm0yZTYzZTc3N1hiNzdUYWJiVjF0NDR5SmlRa1hrWDhDK0IrQTJiVzlqNGlJaUlqb1hNUHRlMFJFUkFETVpuTzhpSWhTS3RQWGRhWFVOaEdKOWZQeml3RndxS3BoQUlRcnBhN1VkZjFqQUFVaXNzdnBkQzZxbU9nQ2dJeU1qTk4xalRNOFBQeHRBSmNCNkFIQXY2NzNFeEVSRVJHZEs3aFNpb2lJcUVRYmxDU2ZEdnU2V0xyNnlXUXlYVkxWQVBIeDhSR2V2bjhVa2Y0aThoeUFkOHhtOHc1ZDE4ZWNiWUFXaStVK0FBTUF2R3V6MlRMT2Rqd2lJaUlpb3FiRWxWSkVSRVFsaWFSZ3o3K0Z2cTRycFFwRkJFcXBnS3JHeU1yS09wcVVsQlFKNE5kZmYvMVZDdzBOL1lPSVBBemdaUkg1aDlWcTNXT3oyVDZ0VDN5NnJyY1JrWStWVWx0T25UcjFhblY5SXlQalEwMHRqUWcvd3hScDB2eEM2dk04dWpDNURIWEdKT3JJNldORlI0OGV6VDdWMVBFUUVSSFJ4WTFKS1NJaW9wSzZVUzZVSktXcSt0bm9qNUxrMUpscWhuR2xwYVVkTGZONkI0RFhkVjNmQ2VCenBkVHpBT3FjbElxUGovY1hrUVVBZ2wwdVYrK2RPM2NXK2VwMzZhVUpJVUdYNEJXQjNBMlJRR2dxVUluaXozcnk4dFBnZ21pRm9aR0JSYUVSaVN0T2E4NS9ITW5LeW0vcXVJaUlpT2ppeEY5VWlZaUlBQmlHY1Z6VE5DaWxXbFRSSlFJbHlTdWYyL3VxWTdmYjUxcXQxazlFcEIwQUFhRHFjbjlBUU1BSEFHNEEwQzh6TTlObnphdTJNUWxSZm1adEtxRHVnb2htTXBrUUVPQVBrOGxVMTNEcEF1WjJHeWd1S29MTDdZYUNpZ3N4L05vRnhyUWZ0Ry9uNXArYk9qWWlJaUs2K0RBcFJVUkVWR0s3NTkrNEtxNWZDOER0Y3JtMjFXTnN0MUtxUUVUODZucGorL2J0THhXUi9wNlgvN0phcmYrcTJFZEUrbDhhYnU3dmNpc1VLai9jZHN2TjZKaWtJNnB0RzRTRmhkVWpYTHBRNVo4K2pmMEhjbUN6cDJQRmYxZHB4Y1hPYmlheitWK1hYcHJRNC9EaHVoZmVKeUlpSWpvYlRFb1JFUkVCY0RnY08zVmRQeUFpSFhWZGozUzczZDVyU3FsV0FPS1ZVbXZxYzJKZWh3NGRPb2hJQ3dBWmRWMGw1WFE2ei9qNyswK3Q0bklrZ0Y1dXc4aDF1aEdwbWN6eXhtdXY0UGEvM0lydzhEQ0lTRjFEcFl1QVVnbzk3NzBMM1cvL0M0YVArZ2NLQ2dyL0hOZ2NJM0VZMWRZcUl5SWlJbXBvVEVvUkVSR1ZVQ0x5TVlEWEFFeDBPcDBmbXMxbUtLVWdJaytKaUJpR01ibTBjMUpTVWpQRE1CN1RORzFaV2xyYXp3Q1FrSkRRWHRPMElvZkRzYU8wWDBKQ1FwVFpiSjdwZVRtanJrRmxaMmVmQXZDY3IydTZybDhuSXIxY2J2Z1Z1Q0IzL09VVzNOR3RLMEpDV051Y3FpWWlDQThMdzIyMzNJeS8zbjRidmxteVRCT1JSNk9pb3Q3WXYzOS9RVlBIUjBSRVJCY1BKcVdJaUlnOFhDN1hSTFBaZkwrSVBCNFFFSENEVXFxWnBtbitBRG9EbU9Od09MNHA3ZXQydTBkcG12YVNVcXFYNXpwTUpsTjdBQ202cm04VWtlMEEyaWlsL2d3Z0JNQlhOcHZ0Zzk4amJnVXhtYzBtZEdnZno0UVUxVnBnWUNBc0NSMndMUFUvS0NvdTl2UHpDMnNGNEplbWpvdUlpSWd1SGt4S0VSRVJlV1JrWkp5MldDeGRORTE3UTBUK0JpRElNQXhEUkQ2eTIrMkRLblRmQ09DVVV1cTcwZ2EzMjIwM21VeXBJdExSVTVqOHRJallEY1A0eE9Gd3pLcnIxcjNhRWxFbWZ6OS9STFZwL1hzTVgwNStmajZDZ29LcUxLRHVkRHB4K3ZScE5HdldyTjdiQnpkdDJvVFRwMC9qMWx0dnJkZjlYMy85TmZidTNZdm5uMysreHI0ZmZmUVJ6R1l6K3ZmdjcvTjZRVUVCQ2dzTGNja2xsOVFybHByazVPU2dUWnMydjh2WXRkSDZza3NSRkJTSW9xSmlmM2VBT2FLbXBKVFZhazFRU28wRjBGbEVBZ0ZrR29ieFp0bUViVlU2ZE9od3BaK2ZYMVVGMWROc050dDFWVnpUZEYwZktDTHY1T1hsdGRpelowOWhUYyt5V0N6UklwSXRJdjR1bCt2eWpJeU0vVFhkUTBSRVJJMlBTU2tpSXFJeUhBN0hDUURQSmlRa3pEYWJ6VjhEQ0JTUmJ3QVlGZnA5QXlDOGJGdEdSa1kyZ0I3MWVhN2RicC92T1ptdkx2ZjhGQjJUY0NQODVPdndRQzJrTVlxYUp5Y25ZK3ZXclpnN2R5N001c3EvUnF4YXRRcWpSbzFDYW1vcUlpSWk2dldNbEpRVTdOdTNyMDVKcWM4Ly94eWRPblZDZEhRMEhBNEhIQTVIclpKU0d6WnNnTCsvZjVWSnFYLys4NTlZdUhBaDVzMmJoNmlvcURxOWo1cE1uVG9WczJmUHhvSUZDOUMyYmRzR0hidTJ3c0xDNEdmMkF3UW1UWm1xL1FheVdxMDNBRmp0K1Q1ZHFwUnlpc2c5bXFaOWJiRllublE0SERPcnUxL1R0Tkp2aU0xS3FleXkxNVJTdnBKVm91djYzU0x5R2dCclhkNlhwbW5qQVBqWDVSNGlJaUpxZkV4S0VSRVJVYTNrNU9SZzVjcVZlT0tKSjN3bXBKcktzV1BITUduU0pPVG41MlBnd0lIVjluVzVYQ2d1TGtad2NIQ040NmFscGVHcnI3NUNYRndjZHV6WWdSMDdkbFRidjFtelpyQmFhNTg3dWZQT08vSFpaNTloMnJScEdEZHVYSzN2YXlJbXBkUXNFVEVycGJvNEhJNE4rSzJ1MlFZUmVTYzJObmFCcHdhYVQ1cW10VVJKQXVvRHU5MCtyYnFISlNVbFhXc1l4a29SaVFLd1Z5bDFSRVFpYXhPbzFXcE5Va3IxRVJFM0FOOUwrb2lJaU9pY2NPNzhSa2xFUkVUbnRCa3pacUJaczJaNC9QSEhBUUNIRGgzQ21qVnJ5dlhadG0wYkFHRHg0c1dWNmx0WkxCYkV4c2JXNmxsSytkN3BXRmhZQ0g5L2YyaWE1bTFidjM0OVVKTElxSEhjdVhQbll0S2tTZGl3WVFNQ0FnS3E3SGY0OEdHTUdERUNTaW44L1BQUGVQWFZxZyttTXd3RHhjWEY2TkNoQTJiTy9HMngwTHZ2dm9zNWMrYlVHTlB5NWN1eGZQbnlLcTlmZmZYVitQTExMMnNjNS9lazYzbzNFYmxHS1RXck5DRUZ6Mm85WGRlL0VKSEhnb0tDN2did2VhQ1hCbTRBQUNBQVNVUkJWRFhEbEs2VU9sTFQ4MXd1VjRTbWFRRUF4aFFXRnI0ZEVCRHd2ZWUweVpxWUFFd1hrV3dBZXdGMHE5VWJKQ0lpb2liQnBCUVJFUkhWYU0rZVBWaTZkQ2xHamh6cFRUYjk4c3N2ZVAvOTk4djFjN3ZkQUlCUFB2bWswaGpQUGZkY3JaTlMrL2J0dzhHREI5RzY5Vzkxc2x3dUY0WU5HNGJRMEZDTUd6Zk91MXByNmRLbEFJQVhYbmdCSW9MQ3drSzQzVzUwNmRMRmU2L0paTUtxVmF0cTllemp4NDlqMEtCQk1Bd0R6WnMzeHpYWFhJTjMzbmtIUVVGQmxmcnUzNzhmdzRZTnc2NWR1L0RrazArV3U5YWpSdy9FeDhlWGE5dTFheGV1dlBMS0twOTk5T2pSU3RzZXc4UERxK3pmaVA2S2twUDdGdnU0dGh6QVl5TFN1YnFrbElpVXZySGNtaDcyNjYrLy9yUm56NTdXQU53b1NZclZLa2hkMTRjQXNDcWxiaGVSSWJXNmlZaUlpSm9NazFKRVJFUlVvNGtUSnlJMk5oYjMzWGNmQ2dzTDhkUlRUK0dPTys3d3JsSXFsWnFhaWxHalJtSFJva1ZWMXBTYU8zY3VqaDgvWHFtOWJkdTJ1T3V1dXdEUFNxbUZDeGZpMldlZjliNGVQWG8wTm03Y2lHN2RmbHY4WXJmYmtaYVdoanZ2dk5PYnVGaThlREgyN3QyTDU1NTd6dHV2N01xcTZodzVjZ1RQUGZjY2poNDlpdW5UcDhQcGRPTHBwNS9Hb0VHRE1HSENCRVJHL3JaWVovWHExUmd6Wmd5Y1RpY21UWnFFenAwN2x4c3JOamEyWEJKdXpabzErUGpqanpGKy9IaDA3OTY5MHJQMzd0Mkx2LzN0YnhnOGVERDY5T2xUcTNnYlVUdVVyQXJMckhoQktiWE5VOVQrNnVvR01BeWpwYVpwRUpFaFZxdjFFYVZVbmxMcWU0ZkQ4UzBBVjltK3RTbG1YcEhGWXJrYXdCZ0E4K3gyKzMrc1ZpdVRVa1JFUk9jNEpxV0lpSWlvV2t1WExzV21UWnN3YTlZc2FKcUc2ZE9uWSt2V3JSZzJiQmdtVEppQW5Kd2N2UGZlZTFYZWYvLzk5Nk4zNzk3bzFhc1hBR0RKa2lYWXRXdFh1VDVGUlVYbzJMR2pOeWtGQUFzV0xFQy9mdjNnNysrUGNlUEdZZm55NWVqUm93ZEdqeDd0UGYxdjNyeDV1T1NTU3pCaXhBaHZuU2lIdzRHOHZEemNmLy85ZFhxZitmbjVlT0tKSjFCWVdJZ1BQdmpBbTFENjV6Ly9pWkVqUitMKysrL0h3SUVEMGJGalIweWVQQmsvL3ZnalltTmo4Y1liYitDS0s2Nm9jZndiYjd3UlYxNTVKZDU0NHcwa0ppYmlzc3N1SzNmOS9mZmZoOXZ0UmtKQ1FwM2liaVJ0VVBJWkhhNTRRVVJ5UGY5V2UwUmhtWlZTOTN0ZVEwUmd0VnEzdVZ5dSt6d0hCZFJMVWxLU24yRVlud053dWx5dW9mVWRoNGlJaUJvWGsxSkVSRVJVclU4Ly9SUW1rd2tqUjQ1RWNYRXhqaHc1Z2djZWVBQVdpd1h6NTgvM3VlcXByTnpjWEp3K2ZkcjdldmJzMmVXdU81MU9kTzNhRlhGeGNkNjJrSkFRbkR4NUVpa3BLZGkyYlJ0V3IxNk5YcjE2WWZqdzRkNVZUMG9wdlBEQ0MvajU1NS9oZHJ0eDZ0UXA3M2lHWVhoZmw2cHB0VlJvYUNnR0RCZ0FpOFdDNk9ob2I3dXU2MGhKU2NGVFR6MkZ5Wk1uZTlzZmVPQUJ2UFRTUzdVdSt1N3Y3NC9SbzBmajhjY2Z4MWRmZlZYdWRNRDE2OWRqOWVyVmVQYlpaOUcrZmZ0YWpkZklnbEh5SGlxdFlDb3VMaTRNQ0FpQVVxcnFJbDBsLzMrTjBEUnRhRnBhV3FHdTZ5MEJKSHBPMXZ1enlXUmFHaDhmM3k0cks2dTRQc0VaaGpGV1JLNHpES052UmtiRy92cU1RVVJFUkkyUFNTa2lJaUtxVnYvKy9YSGd3QUdFaDRkanhvd1phTldxVmJtRXl0bmFzR0VEOHZQemNmdnR0M3ZiSWlJaTBLNWRPMHliTmcwaWdpRkRodURSUng4dGQ5K3hZOGZ3MTcvK3RjcHhiN25sbG5LdnI3enl5aHBYVDkxMzMzM2VyMy85OVZmOCtPT1AyTEJoQTlhc1dZTVRKMDRnT2pvYTBkSFJXTDkrUFJZc1dJRDE2OWNqSVNFQmNYRnh1UHp5eTlHMmJWdTBhTkVDelpzM0wxZnp5akFNNzdqZHUzZEhkSFEwRmkvK3JUeFRhUkg1bGkxYmxtc0hnT3V2djc3U3FxckdKaUl1QUFnS0NqSURLSmM0VWtyNWU3NDhVOTBZRG9malJPblhkcnY5Q0lEL3hNVEVyQXNQRDk4a0lnbisvdjQ5QUh4VDE5Z3NGc3U5QUY0R01NZmhjS1RVOVg0aUlpSnFPa3hLRVJFUlViVjY5T2dCQUZpMGFCR09IeitPS1ZPbVZEcFo3MndzV2JJRWJkcTBLYmRTQ2dDZWZ2cHBwS2Ftb21QSGpwVVNVZ0RRckZrelRKa3lwVkw3N05tenNXdlhMcnoyMm12bDJvT0RnNUdWbFZWbEhGdTNic1dtVFp1d2MrZE9iTm15QmIvODhndmdxWFhWbzBjUDNINzc3ZDZ0ZFNkUG5zVGF0V3V4WWNNR3BLV2xZY1dLRmQ1eFJBU2ZmUElKRWhNVEFRQmp4b3lCcG1ubFZsUjk5OTEzUG1PWU1HRkNwYlkzMzN5enlaTlNTcW5qSWdLbjA5bWlZdkxKYkRaSG9PUjlWOXJhVjVPZE8zY1dXYTNXcndBa2lFaUh1aWFsZEYyUEY1SFpTcWx0THBmci8rcjZmQ0lpSW1wYVRFb1JFUkZSalE0ZVBJaEpreWFoWjgrZTZOU3BVNE9OdTMzN2RxeGV2UnBEaDFZdUF4UVZGWVhldlh0anpwdzVTRTFOclZRYzNNL1B6MmNzcWFtcHlNbko4WG10dXFSVVFVRUJwazZkaXVqb2FEUnIxZ3k5ZXZWQ1VsSVNMci84Y20rZjdPemZ5aDVkZmZYVnVQcnFxL0g0NDQ4ak56Y1grL2J0QXp6YkFFc1RVcVVlZXVnaERCczJyTWJQNHh5MkhjQjFtcWJGQVNpM1BjNWtNbDJMa3NUVmx2b01ySlE2NVNtVXJ1cHgrMkFBWVNJU1p6YWI4NjFXYTZVT1pyTjVuOVZxaFdFWTl6c2NqanF2eENJaUlxTGZENU5TUkVSRVZLM2k0bUtNR0RFQ0xWdTJ4SUFCQTdCNTgyYnMzcjBib2FHaGdDZXgxTE5uVHdEdzFvN3EzNysvdHhoNVlXSFZCNmxObXpZTnpaczM5OTVmMGFCQmc3QisvWHFNSHo4ZU1URXh1T3FxcXlyMVdiaHdJYlp1M2VwOW5aR1JnZVBIaitPTk45NG8xKy9sbDErdTluMWFyVmFzWDc4ZWZuNStlUHp4eDdGZ3dZSktXK21LaTB0MnJ2bjcrNWRyZHpxZGlJdUx3Nnhac3lxTnE1U0NKK2x5M2xKS2ZTY2lmVFJOdXhQQXlncVg3L0Q4dTd5ZXc5K0NrcFZXZFU1cWljaDNBTnkrcmltbDdoU1JhQUF6QVp6V05HMlhyMzVFUkVUVWRKaVVJaUlpb21xbHBLUmc4K2JOTUp2TnVPT09PN3p0L2Z2M1I5ZXVYY3NWQmQrNWN5ZFdybHlKMjI2N3pYc2Ezb3daTTN5T3UyTEZDcXhkdXhhREJ3OUdVRkNReno0QkFRRjQvZlhYOGVTVFQyTHc0TUdZT1hNbVdyVnFWYTdQeG8wYjhkTlBQM20zMWhVV0ZzTHRkaU0zTnhjQWNQandZZXpZc2FOV0s1WDgvUHk4WDk5Nzc3MTQ1WlZYeWwwdlhkSDF6anZ2bEd0LzQ0MDNzSDM3OWtyanVkMXVLS1hLalh1ZW1xZVVtaUFpQXhJU0VqN095TWpZakpMdGM5Y0I2S3VVY3RqdDlyV2xuWFZkN3lvaWw5bHN0am1sYlZhcjlXNmJ6YlljZ0t0TXYyZEVwS2RTYXYveDQ4ZnJuTlN5Mld4ZkFmaksxeldyMVJvTklOcmxjdjAvRmo4bklpSTZOekVwUlVSRVJOV0tpWW5CVFRmZGhPam9hRnh4eFJYZWY1czNidzVVS0NpZW1wcUtsU3RYb2srZlBvaUlpQUFBOU96WkV3RUI1UTltTzNyMEtKS1RreEVURTRPK2ZmdFcrL3k0dURpTUhUc1dJMGVPeElBQkEvREJCeCtnYmR1MmxXSXNQUm52dGRkZWc4UGg4TDVldkhneHhvd1owMENmUnQyVW5nRFlrRFc0bW9MRDRUaWg2L3JmQVh4bU1wbSsxM1Y5c1lob0FPNVJTaFVycFo0czNYNFhHeHNiSmlMTEFaaDFYVDlvdDl2LzZ4bG1vcTdyTTBSa3JWTEtDY0FpSXZFQWZsVksvVzNQbmoxVkw2bWpDNHJGWW9sMk9CeDdtam9PSWlKcWVreEtFUkVSVWJVNmQrNk16cDA3MS92K0ZpMWFJQ1VsQlJrWkdVaE9Ua1p4Y1RHR0RSdUcvUHg4VEowNnRWd0I4S3AwNjlZTlI0OGV4YVJKazlDdlh6OU1tRENoVXQybTJvaUtpa0tYTGwyOFd3dXJzMmpSSWl4YnRxeGNXK24ydlp0dXVxbGNlK24ydllvT0hUb0VlRDZEODUzZGJwOXR0VnBQaU1nckFPNVRTaFVBV0s1cDJpdHBhV25iU3Z0bFoyZWZ0bHF0M3dQNG85dnQ5aGJoVWtyTkJQQVlnTHRGeEtTVXlnRXczZVZ5dlptUmtiRzd5ZDdZQlNZcEtlbmFzN25mTUl5VGRyczlwK0VpS2k4aEllRUtUZE4yV0szV0lUYWI3WjlKU1VsK2JyZTdYUzF1UFZGVklpcytQdDQvSUNEQUppTHpiRGFiTndOdHRWcUhLS1Z1c2R2dDkvbTZqNGlJbWg2VFVrUkVSSTBzT2pvNk1EdzhQQ1lqSXlNTGdOSFU4ZFNGWVJqWXYzOC9zck96Y2ZqdzRScFhPWlhLemMxRldsb2FBT0RWVjE5RlptWW1oZzRkaXZqNCtGby91MCtmUHRBMERXKy8vVFlHREJpQXQ5NTZDN2ZlZW11dFlvYm5WTHliYjc0Wk45OThjNjJlMTdWclZ6enp6RFBsMnNhUEh3OEFHRFZxVkxuMmFkT200Y0NCQTVYR0tLMTFWWGFMNC9uTVpyTXRBYkNraG02R3pXYXJsTVcwMisxdkFuaXpQcysxMiszdDYzcVB6V2E3cSt6cjZPam93TkRRMENzMmI5NmNmYjdOdXpvd0s2VzIxcUpmbFVUa0t3QVBBOEMxMTE3Yk1pZ282SmV6SE85Qm04MzJiMitBWnZQZkFad1JrUzlSa3RDOTFHdzIyMnN4MUJ3QWxZL2hMTm5tZTdlSXRBUHdXWVZMMTRuSXZXY1RQeEVSL2I2WWxDSWlJbXBrNGVIaEVTYVRhWjJ1Nno4cnBlWW9wWmFKU0s3RDRUaFZWZEhtcGpScjFpenMzTGtUdTNmdnh1N2R1NzJGeStQaTRpb2xwVFJOQXdDNFhLNXk3WHYzN2tWMGREVHk4dkt3ZGV0V1BQVFFRM2pra1VkOFBpODNOOWRiajZxaWh4OStHSzFidDhZWFgzeUJHMis4c2RxNE4yM2FoTU9IRDJQUm9rVUlEUTJ0Vkp3Y251MTFyVnUzOW5sL1NFaEl1WlAzQUhoclgxVnNyMnA3M3RLbFN4RVdGb1oyN1dxekVJUitUK0hoNFJGbXMzbWpydXM3bFZKek5FMWJhaGpHMFhOMTNwME5wZFNiU2ltZnRiYXFvMmxhdWFST1NFaUlLS1ZDbEZLYkFLeXVUeXdpNGwzZHBPdDZwRkpxZ0lpOG5aYVdkaFFsQnhNY1RFaEl1THk2TWN4bTgzY0FqbFh6akNlVVVrVUFQcTFOVEIwNmRMakViRFozdDl2dFg5YnQzUkFSVVVOalVvcUlpS2dKZU9yeEpBR3dhcG8yUmlsbDAzWDlCeEhaSkNJYjA5TFNEaloxaktXV0xWdUdJMGVPSUQ0K0huMzc5c1UxMTF5RG1KaVlTb2taZUxiSEFjRFVxVlBSc1dOSEFNQ0pFeWV3Y2VORzlPM2JGeEVSRVpnNWMyYTU3V3p6NXMxRFJrWUdnb0tDc0hmdlhtemZ2aDBQUFBCQWxmRjA2ZElGWGJwMHFURnVoOE9CV2JObUlUUTBGTTgvL3p3QVlOdTJiVmk4ZURHQ2dvSnc4T0JCL1BMTEwralVxWlBQK3c4ZE9vUjE2OWFWYTh2THl3T0FTdTJsMi9USzJyQmhBeHdPQng1NzdER2ZDVEZxRXBxSUpBR3dLcVZlRXhHSHJ1cy9LS1crTjVsTVA1eEw4KzVzaU1nQnU5M3VxT3Q5VnF2MVRCV1gxdG50OWhIeDhmR2hmbjUremRMVDB5c3ZDL1N3V0N6M0FmQnpPQnp6Zk1RMVhDbDE1dlRwMDVQYXQyOS9xWitmbjlWdXR5ODNtVXlHVXFxNlNkSk1LWlhuNjRLdTYvR2VreFkvdHRsc1IycnhOczErZm43ekFmekZhcldlOXF6K0l5S2lKc0trRkJFUlVSTVNFUUVRTGlLM0tLVnVWa3I5Q2lCWDEvVk5BTDRvS2lyNmIxWldWbkZUeGpoOStuUTBhOWFzVm4zajR1THc0SU1QWXVuU3BkNTZUR2F6R2JxdTQ5RkhTM2JlUkVaR2xydkg1WEo1K3dZSEI2TkxseTZWdHMxVjU2V1hYb0xiWFhtaHk4Q0JBekZ3NE1CeWJYNStmdmpxcTVJRkpKcW1vVU9IRG5qc3NjZDhqcHVSa2VGelN4NEF2UHZ1dStWZUh6dDJyTklXdlNsVHBpQWlJc0w3dnFucEthVkVSRXJuWFhNQXR5aWxiaGFSRTBxcEk3cXViMUpLelM0dUxsN1QxUE91SVZpdDFyVktLV3ROL1pSU0x6a2NqZzlxNmhjUUVEQlhSQ3k2cnQ5anQ5dC84dkc4R0FDemxGSUZIVHAwK0U5bVp1YngwbXNXaXlWYUtmVjNBRU95czdOUFdhM1dOd0VNc0ZnczdRRE0welN0MmlKeEl1SXpLUVhnSlFES01JeUpOY1h2aVhFcWdMOEFtTXVFRkJGUjAyTlNpb2lJcUFrcHBjcSsxQUJjQXVBU0VZa0Y4R2hBUU1BQlhkZS9jcnZkODRxTGkzZG9tbmFxc2Y5WXJtMUNxdFRJa1NNeGN1VElXdmZ2M2JzM2V2ZnVYWS9JU2xSTWNsVjMwdDVWVjEyRm4zNzZDWVpoUUVTODJ3MHJtalZyVnIzaktUVnExQ2dVRlJWZEVFWE9MeFFpb3VCNzNyVUEwRUpFWWtYRU8rK1VVbDhXRmhidWFvcDUxeERjYnZjNFRkTnEvQVpVU3RscU01NWhHTU0xVFVzVmtUVldxN1d2eldiN3V2UmFWRlJVa0ZKcW5vZ0VHWVp4WjltRUZFcVN3Rk9VVXR2c2R2c01UL0pxQUlESkRvZGpSL3YyN2UvMjkvY1A4UFZNcFZTSWlEZ013NmlVbE9yUW9VTUhFZWtMNExqZGJ0OVJVL3hXcTNVMGdJRktxZldhcGoxWm0vZE1SRVMvTHlhbGlJaUlxbWMyRENQQllyRTA1SEgxa1VvcFU4bGlqWklDM0tqd2gzS1pyOXVLeUZDVHlmUnNjSEJ3Rm9BZkV4TVROeHVHOFYxbVp1Ym1Cb3pwb2lFaXRUcDk3MngxNk5EaGQzOUdRMUdHUW9CWnhWZ3NscVlPNWZjVVdmWjMzOXJNT3hFWkZCd2N2QlhBanhhTEpjUHRkcS8xekR0VmFmUnpVSHA2K29vR0htOUxVbEpTSjZWVXFsSnF2dFZxL2J2Tlpwc0tRQ0lqSTJlTGlBWEEvNlducC8rdjdIMFdpNlVqZ0xzQVpPbTZ2aHpBVlVxcFhFM1R4bGtzbHVZQVRobUdjY3JYTTkxdWQ1Q2ZueDlFcE1oaXNUUS9ldlJvMGY3OSt3dFFzdkx4UFFDMW1jeWk2L3BrQUlNQjJEUk51ek10TGEycXJZcEVSTlNJbUpRaUlpS3FYckNJdkN3aURiWktRaW1sQVFpcTJGNzZSN0tQL2dBUUFFQlhTbGxNSmxPUnBtbUhMUlpMdHN1RnRIeVg0ZnRHb2xvU0FJRisycU9hcGwzVDFMSDhYcFJTbWxJcW9PSThxMkhlQllxSXJwU3lhSnBXSkNLSExSWkxOb0F2VHB3NDhjMmVQWHRPTkU3MGRXZXhXSzRXa1ZvdmMzUzVYRC9YcGw5YVd0cmVhNis5OXM5QlFVSExBUHhUMS9YTFBUWHlIZ0F3MFdhemZWVHhIcFBKdEVVcE5SZkFNUkc1Q3NDVkFCNVVTa1ZxbWxidENxZlMxWXdpTWw5RTBLcFZxNm43OSs5L3ptcTE5dlZzdzZ1eFNMM1ZhcDBONEJFQTZ3ekR1TWZoY1B4YW0vZEtSRVMvUHlhbGlJaUlmRkJLNVFJNENDQVFnS2FVQ215b3NVVkVsRkoxVGlTVldjVmhGcEZRQUpkQk0wTEFsQlExQUUzRXJ5Ry96ODgxRFRydmdMQ1FrQkRmZXovUEVacW1UUUhRdmJiOXpXYnpRN1h0dTIzYnRtTUpDUWwvTVp2TkMwVGtaWlI4VGwvYTdmYVhmZlgzckVyNlcweE1URUI0ZUhpNlVtcUozVzVmRUIwZEhkaXNXYlBPSnBQSjMrMTJleFAvSnBQcC93RGM1WGE3NzZvNGxtRVlPZTNidDc5Y0tUVkZST3hLcVVNaWNuME5JVDhDWUc1ZVh0N2plL2JzYWNoVnIwUkVkSmFZbENJaUl2SWhNek56ajY3cmZaVlNyUnA2YktWVXBJaDhDaUNrUWp2Z1krV0c1N1ZMS2JWVEtmV1RVaXJkTUl4MUdSa1phZEV4Q2RmQlQzbzFkSXgwY1ZFQXpoUzcveFhzcCsxczZsaCtMNTU1TnhOQWNJVjJvQmJ6empBTXUxSnFmVVpHUmhvQVY2TUdYdzlPcDdPMzIrME9RRW1COGs5RkpLU3dzTENYNS9XL0FXd3BLaXA2c2JSL2NYSHg4ZkR3OEdHMUhUOGpJK08wcnV2ZmlVaHA0aXNvSmliR2YrZk9uVVZWM1JNV0ZqWUdRQnUzMjkwVkFQYnMyVk5vc1ZpdVVrcU5NZ3pqanN6TXpGMG9PVkh2TGdCaFNxa0RHUmtadTFHeThtdWtpSVNucDZlL291djZPQkVKVkVyMUJURGV4Nk5FMS9XbkFkd05UeTBzaDhQeGR1MC9QU0lpYWl4TVNoRVJFZmxtMk8zMkxBQlpEVDF3UWtKQ2xObHM5bTQ1cVZCMEdTaGY3K2E0VW1xcHkrVmFJQ0laUlVWRlI3T3pzMzNXWHJsUS9Qenp6emg4K0RCdXZQSEdLcmRXMVVkT1RnNkNnb0p3eVNXWDFIdU1UWnMyNGZUcDA3ajExbHNiTEs1emdXaUNZcmZzM0w3RjhWMVR4L0o3U1VoSWlES1pURWJwNjlyTU82WFVWNFpoWkoyUDg2NXNvWEZkMTVzQjJKdVZsWFVJSmR2WlhFcXBnakt2dXdjRUJHVFdaWHlyMWZvR2dGRUFWbm0yNVQwVUhoNitMRDQrL3Q2c3JLejhpdjExWGU4S1lMaGhHSU0xVFF1eVdxMTNHWWFoM0c3M1lqOC92Lzh6bTgwYmRWMi9zL1JVUHhIUnpHYnppd0FHV3l5V1NacW12UUJnTWdEbGRycy9ONWxNQisxMmU1YXU2K1dlazVpWWVMMm1hZStLU0tmU05pYWtpSWpPWFV4S0VSRVJOUUZWY2pZOVVQNFBZU1VpWndDY05Bd2pFOENzM056Y2IzSnljaTdZZ3J5SERoMkN5V1FxZDRKZVNrb0tGaTFhaEI5KytBRm1jL1cvcWhpR2diZmZmaHQvK2N0ZmNOMTExMVhiZCt6WXNYQzVYUGo0NDQvckhXOUtTZ3IyN2R0M3dTV2xMaFlpWXBUNUd2RE1Pd0RlZWFlVSt1VElrU05MTDVSNUZ4MGRIUWdnQVVCcVZYMlVVc05FNUhBdGh6VHB1djVQQVA4SFlHbGVYdDVEZS9ic2NlbTZyb25JQXdFQkFmKzFXQ3pkSFE1SHhYcGJNMFJFRTVISnBYK0RpTWo3bVptWjM4Ykd4bllMRGc3K3Q0Z2t4Y1RFbEUyT1BhM3IrdVVBN2xKS2piVGI3VytpWkpYV1pnRGxEbnBJU2txS01BempFeEc1UnltVlp4akdFRTNUT2dIZ1NsSWlvblBZT2IwWG5vaUk2RUlsbnIrSVBmK2NBckFXd0RzQStpdWxiblE0SE4wZERzZm5GOG9meGxXWk9IRWk3cm5uSHB3NlZiOUZLR2ZPbkVGbVppYWVmZlpaZlB2dHQxWDJNd3dEV1ZsWnFMaXFnaTQ2WmVmZHlUTHo3b25TZVplZW5qNzNRcHAzTFZxMEdDb2lJUzZYYTBscG15Y1JWemJqZXpXQXJUV05sWlNVMUZyWDlWVWk4bjhBNW9sSVQwK05KcGZkYm44WXdEY2ljcjJtYWF1dXZmYmFsbVh2RlpGWlNxbGt3ekNlQW5DajArbHNZYmZibndlQTdPenNVMjYzdTV0aEdKZUhoWVhaUmNRRTRKaFNhcVVueWZSWWFVS3FLbWxwYVhrQWdwVlM3eWlscm5JNEhKTUJPS3ZxbjVpWWVLdXU2NE05cC84UkVWRVQ0VW9wSWlLaUpxQ1VNZ0JrQUpodkdFYXEwK25jR3hRVWRDd3RMYTNLUDZJdU5MbTV1VmkzYmgyNmQrK09zTEN3ZW8wUkdocUs2ZE9uWThpUUlmakhQLzRCbDh1RlRwMDZJVDA5dlZ5L3ZMdzhuRDU5R2k2WEMvLzV6MzhxalhQRERUY2dORFMwVnMvMHRlMExBQW9MQytIdjcrODlMWXpPU1VvcGxRRmd2dFBwWEc0WXh2NExlZDVacmRZaFNxblhBWHlSa1pGaEszUHBBSUE3ZEYwZkNpQkdSUDdvU2REZFhjMVlmekVNNHdzUmFhV1VldE51dDc4Q3dDalR4U1VpdlF6RG1DOGk5d1FIQjY4RTBMSDBkRHlielRhNm1ySC9DbUFxZ0Q4Q21GTDZONHBTYWhDQU5FM1RYa2hLU2twTlMwczdXczNiTmV4MisrMjEvV3hFSkVsRUpocUdZUWZ3djlyZVIwUkVEWXRKS1NJaW9rYVdsNWQzTERJeThoYTczWjVaNFkrNmk4cW5uMzRLdDl1TnVMZzQyTzEyYjN0ZVhoNEFJRDA5dmNvRXoxVlhYWVh3OEhBQVFGQlFFQ1pQbm95MzNub0xOOXh3QXpadjNveVhYL1o1Q0JnKysrd3puKzJmZi80NVltTmpheFgzdm4zN2NQRGdRYlJ1M2RyYjVuSzVNR3pZTUlTR2htTGN1SEUxYmp1a3hwZVhsM2VzWmN1V25kTFQwN2RlRFBQT1lyRThEK0JkQUd2Y2J2ZUFzdGRFNUI5S3FROEF2QUNnVUNuMXV0MXVYMmUxV3FzYjhneEtFa1c5N1hiN2w3NDZwS1dsT2VQajR4OEtDQWlZQzJCT2FVS3FWSHg4dkwvWmJOWTFUZXNzSXAwQnBJbElPODhXTzV2TDVYb29JeVBEcHV2Nm15SUNoOE94SnpFeDhVR1R5YlRNTUl5TnVxNy8zVzYzTDIrSXowZlR0Q3M4WCs1dWlQR0lpS2grK0JzVEVSRlJJOXUvZjMvQi92MzcwMnZSOVlKMThPQkJMRnk0RUFBd2FkSWtuMzBHRGh4WTVmM3Z2ZmNlT25mdTdIMGRHQmlJMTE1N0RRQ1FsVlZTbS83TEw3OUUyN1p0QVFDUFAvNDRjbkp5a0pxYVdpN1JsWmFXaGlGRGhuaGZ6NTA3RjhlUEgwZEZiZHUyeFYxM2xaeE9yNVRDd29VTDhleXp6M3Bmang0OUdoczNia1MzYnQzcStFbFFZL0hNdXkxTkhVZGpPWEhpeEVmTm16ZjNLeTR1Zmo4cks2dTQ3RFdielpZQjRNOTFHQzdBTUl4dEpwUEo0bmE3QzJyYThxYVVlZ0lsaWJIbVI0OGVMWXFNakx4R1JENVVTdWtpRWdEZ2tGTHFPNlhVZndIY0xDSXYyV3kyZDBxVFdDSVNxcFJ5b3lRNXZkcGlzWFFWa1FVaXNzeHF0ZmEwMld4ZjF5Wm9wVlNSaUNBbUppWjg1ODZkSnl0YzZ5Z2lKOVBUMHcvVTRYTWdJcUlHeHFRVUVSRVJOYnJrNUdRWWhvSGs1T1J5UmM0QllOYXNXVmkzYmgybVQ1OWU3VXFwMHI0NU9UbDQ4Y1VYNGUvdlg2NVBZR0FnZ29PRDRYQTRzR3ZYTHNCekF0ODExMXpqN1ZQeG5pVkxsbmo3bGlvcUtrTEhqaDI5U1NrQVdMQmdBZnIxNndkL2YzK01HemNPeTVjdlI0OGVQVEI2OUdpWVRLWjZmeTVFRFVFcGRVdUxGaTNNQUZ5QmdZR0RhbGdCVmZhK3kwUmtUOFYyRVhsT1JKNVRTdFY1ZTJwa1pPUW5McGRydU5sc3poR1JGS1hVS3MvSnBxVzZKaVFrdExKYXJXTUJuQUFRREtDdmlIaHJYRGtjanZVZE9uU0lNNWxNTnpzY2prVjFlSHc2QUlTRmhTM1dkWDFWbVJWeWlTTFNVU24xUlozZURCRVJOVGdtcFlpSWlLaFJMVm15Qk92WHIwZnYzcjE5cml4YXNxU2tIbk5pWW1LTjIrQ0tpb293Zi81OFpHWm00cTIzM3NMbGwxOE9xOVdLanovK0dLMWF0UUk4Vy9iKzhJYy93REFNYk5xMHFWeFNxbDI3ZHZqNDQ0L3hoei84QVFBd2UvYnNjdU03blU1MDdkb1ZjWEZ4M3JhUWtCQ2NQSGtTS1NrcDJMWnRHMWF2WG8xZXZYcGgrUERockNkRjU0cmJsRkkzMU9PK2NobmlYMy85OVZSb2FPaVRaeG5MOXN6TXpPTUFIcWlxdzVrelozNE5Dd3NiSmlMK25sTkl0eHVHOFdMWlBwNHg2cEtRd3FsVHB6NEtEdzl2QitCT0FHV1A1OHhYU3MwSDhIeDkzaEFSRVRVY0pxV0lpSWlvMFd6YnRnM0p5Y21JaW9yQ29FR0R6bnE4Z1FNSElqWTJGcU5HamNJVFR6eUJiNzc1QnMyYU5mT2VzcmRod3dhc1diTUdyN3p5Q3JaczJZTC8vZTkvNk51M0wrRFpkamRseWhSRVJVVlZlU3JmaGcwYmtKK2ZqOXR2LzYxK2NrUkVCTnExYTRkcDA2WkJSREJreUJBOCt1aWpaLzFlaUJxQXkyYXorWG0yd2ZtdXlGOEhPM2Z1TEFJd3MyRkNxL0U1QVo3VEVhVXVOYi9zZHZ0OU5ZejdkSU1GU2tSRURZNy9PWStJaUlnYVRVRkJBZno4L1BET08rOGdPRGk0UWNiczBxVUxQdjc0WTd6eXlpdmxUdkVyS0NqQVcyKzloU3V2dkJMMzNITVAvdnpuUHlNdExRMTVlWGx3dTkwWVAzNDg1cytmajV5Y0hCaUc3NytCbHl4WmdqWnQycFJiS1FVQVR6LzlORXdtRS83MHB6OHhJVVhuR2xkREpLU2FpTG9ZaXRBVEVkRnZ1RktLaUlpSUdvMnU2MWl3WUFFS0N3dXhlUEZpbjMzMjd0MExBUGoyMjI4aElwV3V0MnpaRWpmZGRGTzV0cmk0dUVxSm83Rmp4MkwvL3YwWU1XSUV6R1l6T25YcWhLQ2dJSHp4eFJmSXpzN0c5OTkvajVkZmZobTlldlh5R2NmMjdkdXhldlZxREIwNnROSzFxS2dvOU83ZEczUG16RUZxYWlxNmQrOWVwOCtCaUlpSWlKaVVJaUlpb2tZV0VSR0JaY3VXWWN5WU1kWDJHenQyck0vMnhNVEVTa21wTFZ1MklEZzRHRmRjVVhMSysrZWZmNDRWSzFZQWdMY3VWVUJBQU82KysyNzg2MS8vUW9zV0xmRFJSeDlWdVcwUEFLWk5tNGJtelp1alo4K2VQcThQR2pRSTY5ZXZ4L2p4NHhFVEUrTXR2azVFUkVSRXRjT2tGQkVSRVRXNjIyNjdEZGRmZjczUGErKysreTcrL2U5L1kvbnk1VDRMaC92NStWVnFTMGxKd1gvLysxK3NYYnNXYTlhc3didnZ2b3NiYnJnQjMzLy9mYmwrZmZyMHdmejU4M0h2dmZkV201QmFzV0lGMXE1ZGk4R0RCeU1vS01obm40Q0FBTHorK3V0NDhza25NWGp3WU15Y09kTmJYSjJJaUlpSWFzYWFVa1JFUk5Ub0FnSUNFQkVSNGZOL0FRRUJBSUFXTFZyNHZONnNXYk5LNHprY0RyUnIxdzRiTjI3RXE2KytpcXV1dWdySnljbVYrclZ0MnhhOWV2WEM3Tm16c1huelpwK3hIVDE2QVdGVTlnQUFCVUpKUkVGVUZNbkp5WWlKaWZFV1JhOUtYRndjeG80ZGk4T0hEMlBBZ0FFNGNPQkF2VDhUSWlJaW9vc05rMUpFUkVSMFhzdkp5Y0hodzRkeDNYWFg0Y3N2djhUbGwxK09Eejc0b01wQzZvTUdEY0psbDEyRzU1OS9IbnYyN0NsM3JiQ3dFTU9HRFVOK2ZqNWVlKzAxNzlhLzZuVHIxZzB2dnZnaTl1L2ZqMzc5K2lFOVBiM0IzaHNSRVJIUmhZeEpLU0lpSWpxdi9mVFRUd0NBNjY2N0RtKzg4UVkrK3VnanRHalJvbEsvd3NKQ2ZQSEZGM0M3M1pnNGNTS0tpb3JRcjE4L3BLV2xBUUFNdzhDcnI3Nkt6TXhNREJreUJQSHg4YldPb1UrZlBoZytmRGlPSFR1R0FRTUdZUFhxMVEzNERvbUlpSWd1VEt3cFJVUkVSSTJtdUxnWVJVVkYxZlp4T3AwQWdQejhmSmhNcGlyN0JRVUZ3V3cyWTkyNmRUQ2J6VWhJU0VCZ1lHQ2xmZ1VGQmZqc3M4OHdlL1pzNU9YbDRZNDc3c0ExMTF5RGQ5OTlGME9HRE1IVFR6K05KNTU0QWc4Ly9EQzJidDJLaHg1NkNJODg4b2pQWitibTVsYTVBdXYvdDNmL29GVmRBUmpBdjZ1K3RrWWpRbCtLSmk3UFJaVGdJaGtjN0t1SVhUdGtNWk96MHEycmM4SEJ3YVdUZzUyMEtKUktzYlJnS2JRRmg5S0N4ajhKUWtFMHRZazR4T1RsejMxNXQwdExLMnAxRUYvaSsvM0dldzZINzU3eDQ5NXpqaHc1a3UzYnQrZmN1WFBadjMvL0MzWUNBQUNsRkFEdzJwdy9mejZuVDU5K3FibUhEaDM2My9HVEowK20yV3ptNnRXckdSNGVmcXFRdW5YclZwTGsxS2xUS1lvaWh3OGZ6dEdqUjdOMTY5WWt5Y2pJU002Y09aTVRKMDVrWkdRazlYbzlaOCtlZmVJcnF3c1hMdVRhdFd2WnVIRmo3dDY5bThuSnlZeU9qajQzVTdQWlRMUFpmS24zQXdEb2RVb3BBT0MxT1hEZ1FPcjEraXRaYTNoNE9PUGo0Mm0xV3RtM2I5OVQ0eE1URTBtU2d3Y1A1dmp4NDltNWMrZFRjM2J2M3AyTEZ5K21LSW9reWNEQXdCUGo3WFk3bHk5ZlRwTDA5ZldsMld6bTJMRmpyeVEvQUVDdlUwb0J3QnJXM2xETjExS1VuWlZPNXVibnV4M25oUnFOUmhxTnhpdGJiOXUyYmJsMDZkSXpmL01iSFIxTm85RjRabUgxWC84VVVzOHlOamFXc2JHeFY1SjFOV3ExV21tdnRKTXFLeXRWZTY3YmVRQ0EzcUtVQW9BMWJIbXBtcTY5bllYbHNzeURCOVBkanRNVlEwTkR6M3hlRk1VTEM2bGVOejN6TUl1TFMwbXlWRlhMZjNRN0R3RFFXOXkrQndCcjJQVHY0dytyWkw0c3k5eTRkVHNMQzR2ZGpzUWFzYnhjNXVidGliOFBucStXN2sxTy90bnRUQUJBYjFGS0FjRGF0cEtxODBWVlZaM3ZybnlmWDM3OUxRdUxpNm1xcXR1NVdLV3Fxc3JpNG1LdTM3aVpMNy82T3AxT3A1TlVueWRwZHpzYkFOQmJubitJQWdDd0pnd09EdmE5dGVXOWI0b2k3Mi9wNzgvQjVvSHNIZDZUSFR1RzByOTVjN2Zqc1lvOG5wdkwvZnRUdVg3alpxNzg4R05tWjJmVHFhcWZ5OW1aRDZlbXBscmR6Z2NBOUJhbEZBQzhBUVozN2QzMVZvclBVdVNEb2lqVzFXcTFiT3JyeTRZTmpvL2tYMlc3VEt1MWtMSXNVMVZWbFNvL3RiUHk4YjJKOFd2ZHpnWUE5QjZsRkFDOEllcjFYZjJiNnU5OHVxN0lSMVZTUzRwYWtxZXZwYU9YclNSVldTUmxKOVczajh2V0o0L3UzSm50ZGlnQW9EY3BwUURnRFRNd3NHZnorbmM3OVZwbi9jRDZkYlZOM2M3RDZ0SHVWSzMxUlRYVGV0U2VtWm01T2RmdF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t2ZlgzbjhKNEpMVkIvOUFBQUFBRWxGVGtTdVFtQ0MiLAoJIlRoZW1lIiA6ICIiLAoJIlR5cGUiIDogImZsb3ciLAoJIlVzZXJJZCIgOiAiMTI1Njg1NzczMyIsCgkiVmVyc2lvbiIgOiAiMT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DE08C-B814-4A05-B2FB-7EBAECDF7396}">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63</Pages>
  <Words>100</Words>
  <Characters>103</Characters>
  <Lines>306</Lines>
  <Paragraphs>86</Paragraphs>
  <TotalTime>18</TotalTime>
  <ScaleCrop>false</ScaleCrop>
  <LinksUpToDate>false</LinksUpToDate>
  <CharactersWithSpaces>135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夏小正</cp:lastModifiedBy>
  <cp:lastPrinted>2020-12-29T02:43:00Z</cp:lastPrinted>
  <dcterms:modified xsi:type="dcterms:W3CDTF">2026-03-20T03:04:47Z</dcterms:modified>
  <dc:title>附件2</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7E6B358E85DA4334800B5D64F07F8420_13</vt:lpwstr>
  </property>
  <property fmtid="{D5CDD505-2E9C-101B-9397-08002B2CF9AE}" pid="4" name="commondata">
    <vt:lpwstr>eyJoZGlkIjoiZTU3N2FmYzU2OWRhNWFmYzM0ZTY0MjBkOTQwOGE3ZjYifQ==</vt:lpwstr>
  </property>
  <property fmtid="{D5CDD505-2E9C-101B-9397-08002B2CF9AE}" pid="5" name="KSOTemplateDocerSaveRecord">
    <vt:lpwstr>eyJoZGlkIjoiOThhZWU0YmEyNjc4MTIzNTBiODQzMzA1Yjk4MzU2MTUiLCJ1c2VySWQiOiIxMjU2ODU3NzMzIn0=</vt:lpwstr>
  </property>
</Properties>
</file>